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4930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493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8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TREU JESSE I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VERACYTE,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VCYT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6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C/O DOMAIN ASSOCIATES, LLC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05/19/2015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6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ONE PALMER SQUARE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1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80" w:type="dxa"/>
            <w:vAlign w:val="bottom"/>
            <w:gridSpan w:val="1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PRINCETON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NJ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08542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7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4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8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6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10.41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05/19/2015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05/18/2025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340" w:type="dxa"/>
            <w:vAlign w:val="bottom"/>
            <w:gridSpan w:val="2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6"/>
              </w:rPr>
              <w:t>1. The option becomes exercisable in full on the earlier of the first anniversary of the date of grant or the Issuer's next annual meeting of stockholders.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Kathleen K. Schoemaker,</w:t>
            </w:r>
          </w:p>
        </w:tc>
        <w:tc>
          <w:tcPr>
            <w:tcW w:w="9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05/20/2015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14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-3350260</wp:posOffset>
            </wp:positionV>
            <wp:extent cx="24765" cy="22053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05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13425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2019-12-23T16:11:26Z</dcterms:created>
  <dcterms:modified xsi:type="dcterms:W3CDTF">2019-12-23T16:11:26Z</dcterms:modified>
</cp:coreProperties>
</file>