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2, 2020</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7"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340" w:space="720"/>
            <w:col w:w="3460"/>
          </w:cols>
          <w:pgMar w:left="320" w:top="607" w:right="339" w:bottom="1440" w:gutter="0" w:footer="0" w:header="0"/>
          <w:type w:val="continuous"/>
        </w:sectPr>
      </w:pP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620"/>
          </w:cols>
          <w:pgMar w:left="320" w:top="60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40" w:firstLine="5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2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 2020, Veracyte, Inc. issued a press release announcing its financial results for the quarter ended September 30, 2020.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14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952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Veracyte, Inc. dated November 2, 2020.</w:t>
              </w:r>
            </w:hyperlink>
          </w:p>
        </w:tc>
        <w:tc>
          <w:tcPr>
            <w:tcW w:w="320" w:type="dxa"/>
            <w:vAlign w:val="bottom"/>
          </w:tcPr>
          <w:p>
            <w:pPr>
              <w:spacing w:after="0"/>
              <w:rPr>
                <w:sz w:val="24"/>
                <w:szCs w:val="24"/>
                <w:color w:val="auto"/>
              </w:rPr>
            </w:pPr>
          </w:p>
        </w:tc>
      </w:tr>
      <w:tr>
        <w:trPr>
          <w:trHeight w:val="230"/>
        </w:trPr>
        <w:tc>
          <w:tcPr>
            <w:tcW w:w="140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2, 2020</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Kennedy</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60"/>
              <w:spacing w:after="0" w:line="195" w:lineRule="exact"/>
              <w:rPr>
                <w:sz w:val="20"/>
                <w:szCs w:val="20"/>
                <w:color w:val="auto"/>
              </w:rPr>
            </w:pPr>
            <w:r>
              <w:rPr>
                <w:rFonts w:ascii="Arial" w:cs="Arial" w:eastAsia="Arial" w:hAnsi="Arial"/>
                <w:sz w:val="18"/>
                <w:szCs w:val="18"/>
                <w:color w:val="auto"/>
              </w:rPr>
              <w:t>Keith Kennedy</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Chief Operating Officer and Chief Financial Officer</w:t>
            </w:r>
          </w:p>
        </w:tc>
      </w:tr>
      <w:tr>
        <w:trPr>
          <w:trHeight w:val="230"/>
        </w:trPr>
        <w:tc>
          <w:tcPr>
            <w:tcW w:w="900" w:type="dxa"/>
            <w:vAlign w:val="bottom"/>
          </w:tcPr>
          <w:p>
            <w:pPr>
              <w:spacing w:after="0"/>
              <w:rPr>
                <w:sz w:val="20"/>
                <w:szCs w:val="20"/>
                <w:color w:val="auto"/>
              </w:rPr>
            </w:pP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154305</wp:posOffset>
            </wp:positionV>
            <wp:extent cx="1499870" cy="1019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87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2020 Financial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of $31.1 Million; Product and Testing Revenue Increased 79% Over Second Quarter of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Key Reimbursement Milestones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4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SOUTH SAN FRANCISCO, Calif., November 2, 2020-- Veracyte, Inc. (Nasdaq: VCYT) today announced financial results for the third quarter ended September 30, 2020 and provided an update on recent business progress. For the third quarter of 2020, revenue was $31.1 million, compared to $20.7 million in the second quarter of 2020 and $31.0 million in the third quarter of 2019. Product and testing revenue was $30.3 million, an increase of 79% over the second quarter of 2020 and 13% over the third quarter of 2019.</w:t>
      </w:r>
    </w:p>
    <w:p>
      <w:pPr>
        <w:spacing w:after="0" w:line="200" w:lineRule="exact"/>
        <w:rPr>
          <w:sz w:val="20"/>
          <w:szCs w:val="20"/>
          <w:color w:val="auto"/>
        </w:rPr>
      </w:pPr>
    </w:p>
    <w:p>
      <w:pPr>
        <w:spacing w:after="0" w:line="203"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“We are pleased with the strong rebound in our business during the third quarter, with revenue returning to pre-pandemic levels, led by our Afirma franchise,” said Bonnie Anderson, Veracyte’s chairman and chief executive officer. “We also achieved important reimbursement and clinical-evidence milestones for our tests, which we believe will help further drive adoption and revenue growth. We also remain on track to launch four new clinical products in 2021. Moreover, we believe we are well-positioned in the near- and long-term with our tests that help patients avoid unnecessary invasive diagnostic procedures and accelerate access to appropriate treatment.”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third quarter of 2020:</w:t>
      </w:r>
    </w:p>
    <w:p>
      <w:pPr>
        <w:spacing w:after="0" w:line="225" w:lineRule="exact"/>
        <w:rPr>
          <w:sz w:val="20"/>
          <w:szCs w:val="20"/>
          <w:color w:val="auto"/>
        </w:rPr>
      </w:pPr>
    </w:p>
    <w:p>
      <w:pPr>
        <w:ind w:left="660" w:right="44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$31.1 million, comprising $30.3 million in testing and product revenue and $0.8 million in biopharmaceutical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$24.8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$4.1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$0.08;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$1.8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$345.1 million at September 30, 2020</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For the nine-month period ended September 30, 2020:</w:t>
      </w:r>
    </w:p>
    <w:p>
      <w:pPr>
        <w:spacing w:after="0" w:line="225" w:lineRule="exact"/>
        <w:rPr>
          <w:sz w:val="20"/>
          <w:szCs w:val="20"/>
          <w:color w:val="auto"/>
        </w:rPr>
      </w:pPr>
    </w:p>
    <w:p>
      <w:pPr>
        <w:ind w:left="660" w:right="4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$82.9 million, comprising $77.6 million in testing and product revenue and $5.3 million in biopharmaceutical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$80.0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$26.9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$0.52;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$12.0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 and Reimbursement Expansion:</w:t>
      </w:r>
    </w:p>
    <w:p>
      <w:pPr>
        <w:spacing w:after="0" w:line="225"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reported genomic testing volume (Afirma, Percepta and Envisia) to 10,242, an increase of 90% over the second quarter of 2020 and 3% over the third quarter of 2019.</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$7.0 million in year-to-date 2020 revenue from our Prosigna breast cancer test, achieving our pre-pandemic, full-year 2020 revenue goal.</w:t>
      </w: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Advanced Diagnostic Laboratory Test (ADLT) status and new Medicare pricing for the Envisia classifier, beginning October 1, 2020, positioning the test for expanded revenue growth.</w:t>
      </w:r>
    </w:p>
    <w:p>
      <w:pPr>
        <w:ind w:left="660" w:right="4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new CPT codes and preliminary national Medicare pricing for the Afirma Medullary Thyroid Carcinoma (MTC) classifier and the Xpression Atlas, providing a pathway for increased reimbursement.</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Obtained coverage for the Prosigna breast cancer test from the Federal Joint Committee (G-BA) in Germany, our third largest European market.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225"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Prosigna:</w:t>
      </w:r>
    </w:p>
    <w:p>
      <w:pPr>
        <w:spacing w:after="0" w:line="23" w:lineRule="exact"/>
        <w:rPr>
          <w:rFonts w:ascii="Arial" w:cs="Arial" w:eastAsia="Arial" w:hAnsi="Arial"/>
          <w:sz w:val="18"/>
          <w:szCs w:val="18"/>
          <w:color w:val="auto"/>
        </w:rPr>
      </w:pPr>
    </w:p>
    <w:p>
      <w:pPr>
        <w:ind w:left="880" w:right="20" w:hanging="251"/>
        <w:spacing w:after="0" w:line="250"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Launched the PROCURE study, led by a distinguished, independent scientific committee of breast cancer experts and including input from 180 clinicians throughout Europe, intended to achieve consensus on the evidence supporting the most frequently used breast cancer genomic tests, including Prosigna.</w:t>
      </w:r>
    </w:p>
    <w:p>
      <w:pPr>
        <w:spacing w:after="0" w:line="1" w:lineRule="exact"/>
        <w:rPr>
          <w:rFonts w:ascii="Arial" w:cs="Arial" w:eastAsia="Arial" w:hAnsi="Arial"/>
          <w:sz w:val="18"/>
          <w:szCs w:val="18"/>
          <w:color w:val="auto"/>
        </w:rPr>
      </w:pPr>
    </w:p>
    <w:p>
      <w:pPr>
        <w:jc w:val="both"/>
        <w:ind w:left="880" w:right="120" w:hanging="251"/>
        <w:spacing w:after="0" w:line="250"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Data from the TransATAC study were published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elucidating the foundational molecular biology on which the Prosigna test is based and its higher likelihood of predicting long-term risk of recurrence among certain groups of women with early-stage breast cancer, compared to other breast cancer genomic tests.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Afirma:</w:t>
      </w:r>
    </w:p>
    <w:p>
      <w:pPr>
        <w:spacing w:after="0" w:line="9" w:lineRule="exact"/>
        <w:rPr>
          <w:rFonts w:ascii="Arial" w:cs="Arial" w:eastAsia="Arial" w:hAnsi="Arial"/>
          <w:sz w:val="18"/>
          <w:szCs w:val="18"/>
          <w:color w:val="auto"/>
        </w:rPr>
      </w:pPr>
    </w:p>
    <w:p>
      <w:pPr>
        <w:ind w:left="880" w:right="420" w:hanging="251"/>
        <w:spacing w:after="0" w:line="250"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An independent study published in </w:t>
      </w:r>
      <w:r>
        <w:rPr>
          <w:rFonts w:ascii="Arial" w:cs="Arial" w:eastAsia="Arial" w:hAnsi="Arial"/>
          <w:sz w:val="18"/>
          <w:szCs w:val="18"/>
          <w:i w:val="1"/>
          <w:iCs w:val="1"/>
          <w:color w:val="auto"/>
        </w:rPr>
        <w:t>Cytopathology</w:t>
      </w:r>
      <w:r>
        <w:rPr>
          <w:rFonts w:ascii="Arial" w:cs="Arial" w:eastAsia="Arial" w:hAnsi="Arial"/>
          <w:sz w:val="18"/>
          <w:szCs w:val="18"/>
          <w:color w:val="auto"/>
        </w:rPr>
        <w:t xml:space="preserve"> by UCLA researchers showed that use of the Afirma GSC further reduced unnecessary surgeries in thyroid cancer diagnosis compared to the original Afirma test.</w:t>
      </w: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Pulmonology:</w:t>
      </w:r>
    </w:p>
    <w:p>
      <w:pPr>
        <w:spacing w:after="0" w:line="9" w:lineRule="exact"/>
        <w:rPr>
          <w:rFonts w:ascii="Arial" w:cs="Arial" w:eastAsia="Arial" w:hAnsi="Arial"/>
          <w:sz w:val="18"/>
          <w:szCs w:val="18"/>
          <w:color w:val="auto"/>
        </w:rPr>
      </w:pPr>
    </w:p>
    <w:p>
      <w:pPr>
        <w:ind w:left="880" w:right="320" w:hanging="251"/>
        <w:spacing w:after="0" w:line="281"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Presented three e-Posters at the American Thoracic Society 2020 Virtual Meeting featuring real-world data that reinforce previous findings suggesting that the Percepta and Envisia classifiers improve the diagnosis of lung cancer and interstitial lung diseases (ILDs).</w:t>
      </w:r>
    </w:p>
    <w:p>
      <w:pPr>
        <w:spacing w:after="0" w:line="1" w:lineRule="exact"/>
        <w:rPr>
          <w:rFonts w:ascii="Arial" w:cs="Arial" w:eastAsia="Arial" w:hAnsi="Arial"/>
          <w:sz w:val="16"/>
          <w:szCs w:val="16"/>
          <w:color w:val="auto"/>
        </w:rPr>
      </w:pPr>
    </w:p>
    <w:p>
      <w:pPr>
        <w:ind w:left="880" w:right="240" w:hanging="251"/>
        <w:spacing w:after="0" w:line="265" w:lineRule="auto"/>
        <w:tabs>
          <w:tab w:leader="none" w:pos="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Published data in the journal </w:t>
      </w:r>
      <w:r>
        <w:rPr>
          <w:rFonts w:ascii="Arial" w:cs="Arial" w:eastAsia="Arial" w:hAnsi="Arial"/>
          <w:sz w:val="17"/>
          <w:szCs w:val="17"/>
          <w:i w:val="1"/>
          <w:iCs w:val="1"/>
          <w:color w:val="auto"/>
        </w:rPr>
        <w:t>CHEST</w:t>
      </w:r>
      <w:r>
        <w:rPr>
          <w:rFonts w:ascii="Arial" w:cs="Arial" w:eastAsia="Arial" w:hAnsi="Arial"/>
          <w:sz w:val="17"/>
          <w:szCs w:val="17"/>
          <w:color w:val="auto"/>
        </w:rPr>
        <w:t xml:space="preserve"> suggesting that the Percepta classifier reduces unnecessary invasive procedures following inconclusive bronchoscopy results for patients with lung nodules and that these results are durable for over one year of follow-up.</w:t>
      </w:r>
    </w:p>
    <w:p>
      <w:pPr>
        <w:ind w:left="880" w:right="80" w:hanging="251"/>
        <w:spacing w:after="0" w:line="255"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an oral and e-Poster presentation at CHEST Annual Meeting 2020 supporting advancement of our lung cancer nasal swab classifier, along with the potential to integrate radiologic data to further augment genomics in the diagnosis of ILDs, including idiopathic pulmonary fibrosis.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ind w:left="740" w:right="120" w:hanging="368"/>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and sold 6,900,000 shares of common stock in August 2020 in a registered public offering, including the underwriters’ exercise in full of their option to purchase an additional 900,000 shares, at a price to the public of $30.00 per share. Net proceeds from the offering were approximately $194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Guidance</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While Veracyte experienced improved business trends in the third quarter, due to the continued uncertainties with respect to the COVID-19 pandemic, the company will not be providing guidance at this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u w:val="single" w:color="auto"/>
          <w:color w:val="auto"/>
        </w:rPr>
        <w:t>https://edge.media-server.com/mmc/p/rxzuzy8m</w:t>
      </w:r>
      <w:r>
        <w:rPr>
          <w:rFonts w:ascii="Arial" w:cs="Arial" w:eastAsia="Arial" w:hAnsi="Arial"/>
          <w:sz w:val="18"/>
          <w:szCs w:val="18"/>
          <w:color w:val="auto"/>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 w:cs="Arial" w:eastAsia="Arial" w:hAnsi="Arial"/>
          <w:sz w:val="18"/>
          <w:szCs w:val="18"/>
          <w:u w:val="single" w:color="auto"/>
          <w:color w:val="auto"/>
        </w:rPr>
        <w:t>https://investor.veracyte.com/events-presentations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860" w:type="dxa"/>
            <w:vAlign w:val="bottom"/>
          </w:tcPr>
          <w:p>
            <w:pPr>
              <w:spacing w:after="0"/>
              <w:rPr>
                <w:sz w:val="18"/>
                <w:szCs w:val="18"/>
                <w:color w:val="auto"/>
              </w:rPr>
            </w:pPr>
          </w:p>
        </w:tc>
      </w:tr>
      <w:tr>
        <w:trPr>
          <w:trHeight w:val="216"/>
        </w:trPr>
        <w:tc>
          <w:tcPr>
            <w:tcW w:w="5960" w:type="dxa"/>
            <w:vAlign w:val="bottom"/>
          </w:tcPr>
          <w:p>
            <w:pPr>
              <w:ind w:left="620"/>
              <w:spacing w:after="0"/>
              <w:rPr>
                <w:sz w:val="20"/>
                <w:szCs w:val="20"/>
                <w:color w:val="auto"/>
              </w:rPr>
            </w:pPr>
            <w:r>
              <w:rPr>
                <w:rFonts w:ascii="Arial" w:cs="Arial" w:eastAsia="Arial" w:hAnsi="Arial"/>
                <w:sz w:val="18"/>
                <w:szCs w:val="18"/>
                <w:color w:val="auto"/>
              </w:rPr>
              <w:t>U.S./Canada participant dial-in number (toll-free):</w:t>
            </w:r>
          </w:p>
        </w:tc>
        <w:tc>
          <w:tcPr>
            <w:tcW w:w="2860" w:type="dxa"/>
            <w:vAlign w:val="bottom"/>
          </w:tcPr>
          <w:p>
            <w:pPr>
              <w:ind w:left="1720"/>
              <w:spacing w:after="0"/>
              <w:rPr>
                <w:sz w:val="20"/>
                <w:szCs w:val="20"/>
                <w:color w:val="auto"/>
              </w:rPr>
            </w:pPr>
            <w:r>
              <w:rPr>
                <w:rFonts w:ascii="Arial" w:cs="Arial" w:eastAsia="Arial" w:hAnsi="Arial"/>
                <w:sz w:val="18"/>
                <w:szCs w:val="18"/>
                <w:color w:val="auto"/>
                <w:w w:val="90"/>
              </w:rPr>
              <w:t>(855) 541-0980</w:t>
            </w:r>
          </w:p>
        </w:tc>
      </w:tr>
      <w:tr>
        <w:trPr>
          <w:trHeight w:val="216"/>
        </w:trPr>
        <w:tc>
          <w:tcPr>
            <w:tcW w:w="5960" w:type="dxa"/>
            <w:vAlign w:val="bottom"/>
          </w:tcPr>
          <w:p>
            <w:pPr>
              <w:ind w:left="620"/>
              <w:spacing w:after="0"/>
              <w:rPr>
                <w:sz w:val="20"/>
                <w:szCs w:val="20"/>
                <w:color w:val="auto"/>
              </w:rPr>
            </w:pPr>
            <w:r>
              <w:rPr>
                <w:rFonts w:ascii="Arial" w:cs="Arial" w:eastAsia="Arial" w:hAnsi="Arial"/>
                <w:sz w:val="18"/>
                <w:szCs w:val="18"/>
                <w:color w:val="auto"/>
              </w:rPr>
              <w:t>International participant dial-in number:</w:t>
            </w:r>
          </w:p>
        </w:tc>
        <w:tc>
          <w:tcPr>
            <w:tcW w:w="2860" w:type="dxa"/>
            <w:vAlign w:val="bottom"/>
          </w:tcPr>
          <w:p>
            <w:pPr>
              <w:ind w:left="1720"/>
              <w:spacing w:after="0"/>
              <w:rPr>
                <w:sz w:val="20"/>
                <w:szCs w:val="20"/>
                <w:color w:val="auto"/>
              </w:rPr>
            </w:pPr>
            <w:r>
              <w:rPr>
                <w:rFonts w:ascii="Arial" w:cs="Arial" w:eastAsia="Arial" w:hAnsi="Arial"/>
                <w:sz w:val="18"/>
                <w:szCs w:val="18"/>
                <w:color w:val="auto"/>
                <w:w w:val="90"/>
              </w:rPr>
              <w:t>(970) 315-0440</w:t>
            </w:r>
          </w:p>
        </w:tc>
      </w:tr>
      <w:tr>
        <w:trPr>
          <w:trHeight w:val="230"/>
        </w:trPr>
        <w:tc>
          <w:tcPr>
            <w:tcW w:w="5960" w:type="dxa"/>
            <w:vAlign w:val="bottom"/>
          </w:tcPr>
          <w:p>
            <w:pPr>
              <w:ind w:left="620"/>
              <w:spacing w:after="0"/>
              <w:rPr>
                <w:sz w:val="20"/>
                <w:szCs w:val="20"/>
                <w:color w:val="auto"/>
              </w:rPr>
            </w:pPr>
            <w:r>
              <w:rPr>
                <w:rFonts w:ascii="Arial" w:cs="Arial" w:eastAsia="Arial" w:hAnsi="Arial"/>
                <w:sz w:val="18"/>
                <w:szCs w:val="18"/>
                <w:color w:val="auto"/>
              </w:rPr>
              <w:t>Conference I.D.:</w:t>
            </w:r>
          </w:p>
        </w:tc>
        <w:tc>
          <w:tcPr>
            <w:tcW w:w="2860" w:type="dxa"/>
            <w:vAlign w:val="bottom"/>
          </w:tcPr>
          <w:p>
            <w:pPr>
              <w:ind w:left="1720"/>
              <w:spacing w:after="0"/>
              <w:rPr>
                <w:sz w:val="20"/>
                <w:szCs w:val="20"/>
                <w:color w:val="auto"/>
              </w:rPr>
            </w:pPr>
            <w:r>
              <w:rPr>
                <w:rFonts w:ascii="Arial" w:cs="Arial" w:eastAsia="Arial" w:hAnsi="Arial"/>
                <w:sz w:val="18"/>
                <w:szCs w:val="18"/>
                <w:color w:val="auto"/>
              </w:rPr>
              <w:t>3190445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auto"/>
        </w:rPr>
        <w:t>www.veracyte.com</w:t>
      </w:r>
      <w:r>
        <w:rPr>
          <w:rFonts w:ascii="Arial" w:cs="Arial" w:eastAsia="Arial" w:hAnsi="Arial"/>
          <w:sz w:val="18"/>
          <w:szCs w:val="18"/>
          <w:color w:val="auto"/>
        </w:rPr>
        <w:t xml:space="preserve"> and follow the company on Twitter (@veracyte).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This press release contains forward-looking statements, including, but not limited to, our statements related to our plans, objectives, expectations (financial and otherwise) or intentions with respect to our Prosigna, Afirma, Percepta, Envisia, and nasal swab tests and products for use in diagnosing and treating diseases. Forward-looking statements can be identified by words such as: “appears,” "anticipate," "intend," "plan," "expect," "believe," "should," "may," "will"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achieve and maintain Medicare coverage for its tests; the benefits of Veracyte’s tests, the applicability of clinical results to actual outcomes and the effects of the COVID-19 pandemic on Veracyte’s business and performance. Factors that may impact these forward-looking statements can be found in Item 1A – “Risk Factors” in our Annual Report on Form 10-K filed with the SEC on February 25, 2020 and in our Quarterly Report on Form 10-Q to be filed with the SEC on November 2, 2020. A copy of these documents can be found at the Investors section of our website</w:t>
      </w:r>
    </w:p>
    <w:p>
      <w:pPr>
        <w:spacing w:after="0" w:line="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u w:val="single" w:color="auto"/>
          <w:color w:val="auto"/>
        </w:rPr>
        <w:t>www.veracyte.com</w:t>
      </w:r>
      <w:r>
        <w:rPr>
          <w:rFonts w:ascii="Arial" w:cs="Arial" w:eastAsia="Arial" w:hAnsi="Arial"/>
          <w:sz w:val="16"/>
          <w:szCs w:val="16"/>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Testing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28,270</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70,473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78,798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Biopharmaceutical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30,973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82,947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90,638</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testing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biopharmaceutical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10,408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20,448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110,264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97,568</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(4,124)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(26,865)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(5,141)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54,858,052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9"/>
              </w:rPr>
              <w:t>48,588,296</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7"/>
              </w:rPr>
              <w:t>51,632,750</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45,141,502</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right="1160"/>
        <w:spacing w:after="0" w:line="250" w:lineRule="auto"/>
        <w:rPr>
          <w:sz w:val="20"/>
          <w:szCs w:val="20"/>
          <w:color w:val="auto"/>
        </w:rPr>
      </w:pPr>
      <w:r>
        <w:rPr>
          <w:rFonts w:ascii="Arial" w:cs="Arial" w:eastAsia="Arial" w:hAnsi="Arial"/>
          <w:sz w:val="18"/>
          <w:szCs w:val="18"/>
          <w:color w:val="auto"/>
        </w:rPr>
        <w:t>Cash and cash equivalents Accounts receivable Supplies</w:t>
      </w:r>
    </w:p>
    <w:p>
      <w:pPr>
        <w:spacing w:after="0" w:line="1" w:lineRule="exact"/>
        <w:rPr>
          <w:sz w:val="20"/>
          <w:szCs w:val="20"/>
          <w:color w:val="auto"/>
        </w:rPr>
      </w:pPr>
    </w:p>
    <w:p>
      <w:pPr>
        <w:ind w:left="340" w:right="60" w:hanging="161"/>
        <w:spacing w:after="0" w:line="258" w:lineRule="auto"/>
        <w:rPr>
          <w:sz w:val="20"/>
          <w:szCs w:val="20"/>
          <w:color w:val="auto"/>
        </w:rPr>
      </w:pPr>
      <w:r>
        <w:rPr>
          <w:rFonts w:ascii="Arial" w:cs="Arial" w:eastAsia="Arial" w:hAnsi="Arial"/>
          <w:sz w:val="18"/>
          <w:szCs w:val="18"/>
          <w:color w:val="auto"/>
        </w:rPr>
        <w:t>Prepaid expenses and other current assets Total current assets</w:t>
      </w: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 operating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Liabilities and Stockholders’ Equity Current liabilities: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340" w:hanging="161"/>
        <w:spacing w:after="0" w:line="258" w:lineRule="auto"/>
        <w:rPr>
          <w:sz w:val="20"/>
          <w:szCs w:val="20"/>
          <w:color w:val="auto"/>
        </w:rPr>
      </w:pPr>
      <w:r>
        <w:rPr>
          <w:rFonts w:ascii="Arial" w:cs="Arial" w:eastAsia="Arial" w:hAnsi="Arial"/>
          <w:sz w:val="18"/>
          <w:szCs w:val="18"/>
          <w:color w:val="auto"/>
        </w:rPr>
        <w:t>Current portion of operating lease liability Total current liabilities</w:t>
      </w:r>
    </w:p>
    <w:p>
      <w:pPr>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Acquisition-related contingent consideration</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34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24"/>
        </w:trPr>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8"/>
              </w:rPr>
              <w:t>(See Note 1)</w:t>
            </w:r>
          </w:p>
        </w:tc>
        <w:tc>
          <w:tcPr>
            <w:tcW w:w="20" w:type="dxa"/>
            <w:vAlign w:val="bottom"/>
          </w:tcPr>
          <w:p>
            <w:pPr>
              <w:spacing w:after="0"/>
              <w:rPr>
                <w:sz w:val="19"/>
                <w:szCs w:val="19"/>
                <w:color w:val="auto"/>
              </w:rPr>
            </w:pPr>
          </w:p>
        </w:tc>
      </w:tr>
      <w:tr>
        <w:trPr>
          <w:trHeight w:val="61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345,080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159,317</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17,629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19,329</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6,806</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3,150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2,235</w:t>
            </w:r>
          </w:p>
        </w:tc>
      </w:tr>
      <w:tr>
        <w:trPr>
          <w:trHeight w:val="195"/>
        </w:trPr>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370,315</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187,687</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8,094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8,808</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61,197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65,019</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2,303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454,151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275,212</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10,445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13,734</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r>
      <w:tr>
        <w:trPr>
          <w:trHeight w:val="195"/>
        </w:trPr>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13,919</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17,469</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28"/>
        </w:trPr>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-3067050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-2792730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-2518410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-2235200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-1961515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-1686560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-1412240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-1104265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-829310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-554990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-272415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220" w:space="260"/>
            <w:col w:w="776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31,426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35,757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422,725</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454,151</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275,212</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2019 has been derived from the audited financial statements at that date included in the Company's Form 10-K filed with the Securities and Exchange Commission dated 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(26,865)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(5,141)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disposal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6,965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on end-of-term debt obligation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Write-down of excess supplies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of acquisition-related contingent consideration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Effect of foreign currency on operations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(5,022)</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equity securities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(1,633)</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193,831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Payment of finance lease liability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185,763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117,667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345,683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196,265</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Interest paid on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560"/>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159,317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left="240" w:hanging="187"/>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ind w:right="924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650-380-4413 </w:t>
      </w:r>
      <w:r>
        <w:rPr>
          <w:rFonts w:ascii="Arial" w:cs="Arial" w:eastAsia="Arial" w:hAnsi="Arial"/>
          <w:sz w:val="16"/>
          <w:szCs w:val="16"/>
          <w:u w:val="single" w:color="auto"/>
          <w:color w:val="auto"/>
        </w:rPr>
        <w:t>tracy.morris@veracyte.com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2020-11-02T15:26:57Z</dcterms:created>
  <dcterms:modified xsi:type="dcterms:W3CDTF">2020-11-02T15:26:57Z</dcterms:modified>
</cp:coreProperties>
</file>