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March 13,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VERACYTE,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71" w:type="dxa"/>
        <w:jc w:val="left"/>
        <w:tblInd w:w="0" w:type="dxa"/>
        <w:tblLayout w:type="fixed"/>
        <w:tblCellMar>
          <w:top w:w="28" w:type="dxa"/>
          <w:left w:w="28" w:type="dxa"/>
          <w:bottom w:w="28" w:type="dxa"/>
          <w:right w:w="28" w:type="dxa"/>
        </w:tblCellMar>
      </w:tblPr>
      <w:tblGrid>
        <w:gridCol w:w="911"/>
        <w:gridCol w:w="800"/>
        <w:gridCol w:w="808"/>
        <w:gridCol w:w="109"/>
        <w:gridCol w:w="109"/>
        <w:gridCol w:w="109"/>
        <w:gridCol w:w="742"/>
        <w:gridCol w:w="742"/>
        <w:gridCol w:w="750"/>
        <w:gridCol w:w="109"/>
        <w:gridCol w:w="109"/>
        <w:gridCol w:w="109"/>
        <w:gridCol w:w="749"/>
        <w:gridCol w:w="749"/>
        <w:gridCol w:w="1066"/>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001-36156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20-5455398</w:t>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No.)</w:t>
            </w:r>
          </w:p>
        </w:tc>
      </w:tr>
    </w:tbl>
    <w:tbl>
      <w:tblPr>
        <w:tblW w:w="7017" w:type="dxa"/>
        <w:jc w:val="left"/>
        <w:tblInd w:w="0" w:type="dxa"/>
        <w:tblLayout w:type="fixed"/>
        <w:tblCellMar>
          <w:top w:w="28" w:type="dxa"/>
          <w:left w:w="28" w:type="dxa"/>
          <w:bottom w:w="28" w:type="dxa"/>
          <w:right w:w="28" w:type="dxa"/>
        </w:tblCellMar>
      </w:tblPr>
      <w:tblGrid>
        <w:gridCol w:w="2024"/>
        <w:gridCol w:w="1780"/>
        <w:gridCol w:w="1791"/>
        <w:gridCol w:w="109"/>
        <w:gridCol w:w="109"/>
        <w:gridCol w:w="109"/>
        <w:gridCol w:w="320"/>
        <w:gridCol w:w="320"/>
        <w:gridCol w:w="455"/>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6000 Shoreline Court, Suite 300, 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(650) 243-6300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494"/>
        <w:gridCol w:w="1312"/>
        <w:gridCol w:w="1312"/>
        <w:gridCol w:w="2085"/>
        <w:gridCol w:w="1646"/>
        <w:gridCol w:w="235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93" w:type="dxa"/>
        <w:jc w:val="left"/>
        <w:tblInd w:w="0" w:type="dxa"/>
        <w:tblLayout w:type="fixed"/>
        <w:tblCellMar>
          <w:top w:w="28" w:type="dxa"/>
          <w:left w:w="28" w:type="dxa"/>
          <w:bottom w:w="28" w:type="dxa"/>
          <w:right w:w="28" w:type="dxa"/>
        </w:tblCellMar>
      </w:tblPr>
      <w:tblGrid>
        <w:gridCol w:w="1303"/>
        <w:gridCol w:w="1142"/>
        <w:gridCol w:w="1155"/>
        <w:gridCol w:w="109"/>
        <w:gridCol w:w="109"/>
        <w:gridCol w:w="109"/>
        <w:gridCol w:w="584"/>
        <w:gridCol w:w="584"/>
        <w:gridCol w:w="586"/>
        <w:gridCol w:w="109"/>
        <w:gridCol w:w="109"/>
        <w:gridCol w:w="109"/>
        <w:gridCol w:w="1137"/>
        <w:gridCol w:w="1137"/>
        <w:gridCol w:w="1611"/>
      </w:tblGrid>
      <w:tr>
        <w:trPr/>
        <w:tc>
          <w:tcPr>
            <w:tcW w:w="1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300"/>
        <w:gridCol w:w="2848"/>
        <w:gridCol w:w="4057"/>
      </w:tblGrid>
      <w:tr>
        <w:trPr/>
        <w:tc>
          <w:tcPr>
            <w:tcW w:w="330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16, 2026, Veracyte, Inc. (the “Company”) announced the appointment of Dr. Kevin Haas, 40, as its Chief Development and Technology Officer, effective March 24,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joining the Company, Dr. Haas served as Chief Technology Officer of Myriad Genetics, Inc. (NASDAQ: MYGN), a genetic testing and precision medicine company, a position he held since February 2021. Previously, Dr. Haas served as Senior Vice President of Technology and Senior Vice President of Engineering at Myriad and as Vice President and Senior Director of Bioinformatics at Myriad Women’s Health. Dr. Haas received a B.S. in Chemical Engineering from the University of Wisconsin–Madison and a Ph.D. in Chemical Engineering from the University of California, Berkeley.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Dr. Haas’s appointment, on March 13, 2026, the Company entered into an offer letter (the “Offer Letter”) with Dr. Haas, which provides for: (i) an initial annual base salary of $500,000, (ii) eligibility to participate in the Company’s annual performance-based cash bonus program with a target bonus opportunity equal to 55% of his eligible annual earnings, with any bonus for 2026 prorated based on his start date, (iii) a restricted stock unit award with a target value of $1,500,000, vesting over four years, and (iv) a performance-based restricted stock unit award with a target value of $1,500,000, with vesting subject to achievement of performance objectives established by the Compensation Committee and continued service. The equity awards will be granted under the Company’s 2023 Equity Incentive Plan and the applicable award agreements.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also enter into an indemnification agreement with Dr. Haas on the form previously approved by the Board and entered into with the Company’s other executive officers, which was filed as Exhibit 10.1 to the Company’s Registration Statement on Form S-1 filed with the U.S. Securities and Exchange Commission on October 7, 2013 (File No. 333-191282).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Dr. Haas and any other person pursuant to which he was selected as an officer of the Company, and there are no family relationships between Dr. Haas and any of the Company’s directors or executive officers. There are no transactions to which the Company is a party and in which Dr. Haas has a direct or indirect material interest that would be required to be disclosed under Item 404(a) of Regulation 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Offer Letter does not purport to be complete and is subject to, and qualified in its entirety by, the Offer Letter, which will be filed as an exhibit 10.1 to the Company’s Quarterly Report on Form 10-Q for the quarter ending March 31, 2026.</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311" w:type="dxa"/>
        <w:jc w:val="left"/>
        <w:tblInd w:w="0" w:type="dxa"/>
        <w:tblLayout w:type="fixed"/>
        <w:tblCellMar>
          <w:top w:w="28" w:type="dxa"/>
          <w:left w:w="28" w:type="dxa"/>
          <w:bottom w:w="28" w:type="dxa"/>
          <w:right w:w="28" w:type="dxa"/>
        </w:tblCellMar>
      </w:tblPr>
      <w:tblGrid>
        <w:gridCol w:w="260"/>
        <w:gridCol w:w="229"/>
        <w:gridCol w:w="231"/>
        <w:gridCol w:w="464"/>
        <w:gridCol w:w="464"/>
        <w:gridCol w:w="466"/>
        <w:gridCol w:w="266"/>
        <w:gridCol w:w="266"/>
        <w:gridCol w:w="266"/>
        <w:gridCol w:w="699"/>
        <w:gridCol w:w="699"/>
        <w:gridCol w:w="100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VERACYTE, INC.</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4333</Characters>
  <CharactersWithSpaces>5077</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