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June 24, 2015</w:t>
      </w:r>
    </w:p>
    <w:p>
      <w:pPr>
        <w:spacing w:after="0" w:line="27" w:lineRule="exact"/>
        <w:rPr>
          <w:sz w:val="24"/>
          <w:szCs w:val="24"/>
          <w:color w:val="auto"/>
        </w:rPr>
      </w:pPr>
    </w:p>
    <w:p>
      <w:pPr>
        <w:ind w:left="94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w:t>
      </w:r>
    </w:p>
    <w:p>
      <w:pPr>
        <w:jc w:val="center"/>
        <w:ind w:right="-1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219075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5" w:right="239" w:bottom="51"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60"/>
          </w:cols>
          <w:pgMar w:left="240" w:top="445" w:right="239" w:bottom="51" w:gutter="0" w:footer="0" w:header="0"/>
          <w:type w:val="continuous"/>
        </w:sectPr>
      </w:pPr>
    </w:p>
    <w:p>
      <w:pPr>
        <w:spacing w:after="0" w:line="1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South San Francisco, California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445" w:right="239" w:bottom="51" w:gutter="0" w:footer="0" w:header="0"/>
          <w:type w:val="continuous"/>
        </w:sectPr>
      </w:pPr>
    </w:p>
    <w:p>
      <w:pPr>
        <w:spacing w:after="0" w:line="30" w:lineRule="exact"/>
        <w:rPr>
          <w:sz w:val="24"/>
          <w:szCs w:val="24"/>
          <w:color w:val="auto"/>
        </w:rPr>
      </w:pPr>
    </w:p>
    <w:p>
      <w:pPr>
        <w:jc w:val="center"/>
        <w:ind w:left="500"/>
        <w:spacing w:after="0"/>
        <w:rPr>
          <w:sz w:val="20"/>
          <w:szCs w:val="20"/>
          <w:color w:val="auto"/>
        </w:rPr>
      </w:pPr>
      <w:r>
        <w:rPr>
          <w:rFonts w:ascii="Arial" w:cs="Arial" w:eastAsia="Arial" w:hAnsi="Arial"/>
          <w:sz w:val="16"/>
          <w:szCs w:val="16"/>
          <w:b w:val="1"/>
          <w:bCs w:val="1"/>
          <w:color w:val="auto"/>
        </w:rPr>
        <w:t>Veracyte, Inc. Employee Stock Purchase Plan</w:t>
      </w:r>
    </w:p>
    <w:p>
      <w:pPr>
        <w:spacing w:after="0" w:line="50"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Bonnie H. Anderson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7000 Shoreline Court, Suite 250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(Name and address agent for service)</w:t>
      </w:r>
    </w:p>
    <w:p>
      <w:pPr>
        <w:sectPr>
          <w:pgSz w:w="11900" w:h="16838" w:orient="portrait"/>
          <w:cols w:equalWidth="0" w:num="1">
            <w:col w:w="11420"/>
          </w:cols>
          <w:pgMar w:left="240" w:top="445" w:right="239" w:bottom="51"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760" w:type="dxa"/>
            <w:vAlign w:val="bottom"/>
          </w:tcPr>
          <w:p>
            <w:pPr>
              <w:ind w:left="1660"/>
              <w:spacing w:after="0"/>
              <w:rPr>
                <w:sz w:val="20"/>
                <w:szCs w:val="20"/>
                <w:color w:val="auto"/>
              </w:rPr>
            </w:pPr>
            <w:r>
              <w:rPr>
                <w:rFonts w:ascii="Arial" w:cs="Arial" w:eastAsia="Arial" w:hAnsi="Arial"/>
                <w:sz w:val="18"/>
                <w:szCs w:val="18"/>
                <w:b w:val="1"/>
                <w:bCs w:val="1"/>
                <w:color w:val="auto"/>
              </w:rPr>
              <w:t>Copies to:</w:t>
            </w:r>
          </w:p>
        </w:tc>
        <w:tc>
          <w:tcPr>
            <w:tcW w:w="3580" w:type="dxa"/>
            <w:vAlign w:val="bottom"/>
          </w:tcPr>
          <w:p>
            <w:pPr>
              <w:spacing w:after="0"/>
              <w:rPr>
                <w:sz w:val="20"/>
                <w:szCs w:val="20"/>
                <w:color w:val="auto"/>
              </w:rPr>
            </w:pPr>
          </w:p>
        </w:tc>
      </w:tr>
      <w:tr>
        <w:trPr>
          <w:trHeight w:val="418"/>
        </w:trPr>
        <w:tc>
          <w:tcPr>
            <w:tcW w:w="328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Stanton D. Wong</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4"/>
              </w:rPr>
              <w:t>Gabriella A. Lombardi</w:t>
            </w:r>
          </w:p>
        </w:tc>
        <w:tc>
          <w:tcPr>
            <w:tcW w:w="358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Julie A. Brooks</w:t>
            </w:r>
          </w:p>
        </w:tc>
      </w:tr>
      <w:tr>
        <w:trPr>
          <w:trHeight w:val="216"/>
        </w:trPr>
        <w:tc>
          <w:tcPr>
            <w:tcW w:w="3280" w:type="dxa"/>
            <w:vAlign w:val="bottom"/>
          </w:tcPr>
          <w:p>
            <w:pPr>
              <w:jc w:val="center"/>
              <w:ind w:right="410"/>
              <w:spacing w:after="0"/>
              <w:rPr>
                <w:sz w:val="20"/>
                <w:szCs w:val="20"/>
                <w:color w:val="auto"/>
              </w:rPr>
            </w:pPr>
            <w:r>
              <w:rPr>
                <w:rFonts w:ascii="Arial" w:cs="Arial" w:eastAsia="Arial" w:hAnsi="Arial"/>
                <w:sz w:val="18"/>
                <w:szCs w:val="18"/>
                <w:color w:val="auto"/>
                <w:w w:val="93"/>
              </w:rPr>
              <w:t>Pillsbury Winthrop Shaw Pittman LLP</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Pillsbury Winthrop Shaw Pittman LLP</w:t>
            </w:r>
          </w:p>
        </w:tc>
        <w:tc>
          <w:tcPr>
            <w:tcW w:w="3580" w:type="dxa"/>
            <w:vAlign w:val="bottom"/>
          </w:tcPr>
          <w:p>
            <w:pPr>
              <w:ind w:left="480"/>
              <w:spacing w:after="0"/>
              <w:rPr>
                <w:sz w:val="20"/>
                <w:szCs w:val="20"/>
                <w:color w:val="auto"/>
              </w:rPr>
            </w:pPr>
            <w:r>
              <w:rPr>
                <w:rFonts w:ascii="Arial" w:cs="Arial" w:eastAsia="Arial" w:hAnsi="Arial"/>
                <w:sz w:val="18"/>
                <w:szCs w:val="18"/>
                <w:color w:val="auto"/>
                <w:w w:val="89"/>
              </w:rPr>
              <w:t>Executive Vice President, General Counsel</w:t>
            </w:r>
          </w:p>
        </w:tc>
      </w:tr>
      <w:tr>
        <w:trPr>
          <w:trHeight w:val="216"/>
        </w:trPr>
        <w:tc>
          <w:tcPr>
            <w:tcW w:w="3280" w:type="dxa"/>
            <w:vAlign w:val="bottom"/>
          </w:tcPr>
          <w:p>
            <w:pPr>
              <w:jc w:val="center"/>
              <w:ind w:right="410"/>
              <w:spacing w:after="0"/>
              <w:rPr>
                <w:sz w:val="20"/>
                <w:szCs w:val="20"/>
                <w:color w:val="auto"/>
              </w:rPr>
            </w:pPr>
            <w:r>
              <w:rPr>
                <w:rFonts w:ascii="Arial" w:cs="Arial" w:eastAsia="Arial" w:hAnsi="Arial"/>
                <w:sz w:val="18"/>
                <w:szCs w:val="18"/>
                <w:color w:val="auto"/>
                <w:w w:val="90"/>
              </w:rPr>
              <w:t>Four Embarcadero Center, 22nd Flr.</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2550 Hanover Street</w:t>
            </w:r>
          </w:p>
        </w:tc>
        <w:tc>
          <w:tcPr>
            <w:tcW w:w="3580" w:type="dxa"/>
            <w:vAlign w:val="bottom"/>
          </w:tcPr>
          <w:p>
            <w:pPr>
              <w:jc w:val="center"/>
              <w:ind w:left="430"/>
              <w:spacing w:after="0"/>
              <w:rPr>
                <w:sz w:val="20"/>
                <w:szCs w:val="20"/>
                <w:color w:val="auto"/>
              </w:rPr>
            </w:pPr>
            <w:r>
              <w:rPr>
                <w:rFonts w:ascii="Arial" w:cs="Arial" w:eastAsia="Arial" w:hAnsi="Arial"/>
                <w:sz w:val="18"/>
                <w:szCs w:val="18"/>
                <w:color w:val="auto"/>
                <w:w w:val="87"/>
              </w:rPr>
              <w:t>and Secretary</w:t>
            </w:r>
          </w:p>
        </w:tc>
      </w:tr>
      <w:tr>
        <w:trPr>
          <w:trHeight w:val="216"/>
        </w:trPr>
        <w:tc>
          <w:tcPr>
            <w:tcW w:w="3280" w:type="dxa"/>
            <w:vAlign w:val="bottom"/>
          </w:tcPr>
          <w:p>
            <w:pPr>
              <w:jc w:val="center"/>
              <w:ind w:right="410"/>
              <w:spacing w:after="0"/>
              <w:rPr>
                <w:sz w:val="20"/>
                <w:szCs w:val="20"/>
                <w:color w:val="auto"/>
              </w:rPr>
            </w:pPr>
            <w:r>
              <w:rPr>
                <w:rFonts w:ascii="Arial" w:cs="Arial" w:eastAsia="Arial" w:hAnsi="Arial"/>
                <w:sz w:val="18"/>
                <w:szCs w:val="18"/>
                <w:color w:val="auto"/>
                <w:w w:val="89"/>
              </w:rPr>
              <w:t>San Francisco, California 94111</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Palo Alto, California 94304</w:t>
            </w:r>
          </w:p>
        </w:tc>
        <w:tc>
          <w:tcPr>
            <w:tcW w:w="3580" w:type="dxa"/>
            <w:vAlign w:val="bottom"/>
          </w:tcPr>
          <w:p>
            <w:pPr>
              <w:jc w:val="center"/>
              <w:ind w:left="450"/>
              <w:spacing w:after="0"/>
              <w:rPr>
                <w:sz w:val="20"/>
                <w:szCs w:val="20"/>
                <w:color w:val="auto"/>
              </w:rPr>
            </w:pPr>
            <w:r>
              <w:rPr>
                <w:rFonts w:ascii="Arial" w:cs="Arial" w:eastAsia="Arial" w:hAnsi="Arial"/>
                <w:sz w:val="18"/>
                <w:szCs w:val="18"/>
                <w:color w:val="auto"/>
                <w:w w:val="90"/>
              </w:rPr>
              <w:t>Veracyte, Inc.</w:t>
            </w:r>
          </w:p>
        </w:tc>
      </w:tr>
      <w:tr>
        <w:trPr>
          <w:trHeight w:val="216"/>
        </w:trPr>
        <w:tc>
          <w:tcPr>
            <w:tcW w:w="3280" w:type="dxa"/>
            <w:vAlign w:val="bottom"/>
          </w:tcPr>
          <w:p>
            <w:pPr>
              <w:jc w:val="center"/>
              <w:ind w:right="410"/>
              <w:spacing w:after="0"/>
              <w:rPr>
                <w:sz w:val="20"/>
                <w:szCs w:val="20"/>
                <w:color w:val="auto"/>
              </w:rPr>
            </w:pPr>
            <w:r>
              <w:rPr>
                <w:rFonts w:ascii="Arial" w:cs="Arial" w:eastAsia="Arial" w:hAnsi="Arial"/>
                <w:sz w:val="18"/>
                <w:szCs w:val="18"/>
                <w:color w:val="auto"/>
                <w:w w:val="92"/>
              </w:rPr>
              <w:t>(415) 983-1000</w:t>
            </w: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(650) 233-4500</w:t>
            </w:r>
          </w:p>
        </w:tc>
        <w:tc>
          <w:tcPr>
            <w:tcW w:w="3580" w:type="dxa"/>
            <w:vAlign w:val="bottom"/>
          </w:tcPr>
          <w:p>
            <w:pPr>
              <w:jc w:val="center"/>
              <w:ind w:left="450"/>
              <w:spacing w:after="0"/>
              <w:rPr>
                <w:sz w:val="20"/>
                <w:szCs w:val="20"/>
                <w:color w:val="auto"/>
              </w:rPr>
            </w:pPr>
            <w:r>
              <w:rPr>
                <w:rFonts w:ascii="Arial" w:cs="Arial" w:eastAsia="Arial" w:hAnsi="Arial"/>
                <w:sz w:val="18"/>
                <w:szCs w:val="18"/>
                <w:color w:val="auto"/>
                <w:w w:val="90"/>
              </w:rPr>
              <w:t>7000 Shoreline Court, Suite 250</w:t>
            </w:r>
          </w:p>
        </w:tc>
      </w:tr>
      <w:tr>
        <w:trPr>
          <w:trHeight w:val="216"/>
        </w:trPr>
        <w:tc>
          <w:tcPr>
            <w:tcW w:w="3280" w:type="dxa"/>
            <w:vAlign w:val="bottom"/>
          </w:tcPr>
          <w:p>
            <w:pPr>
              <w:jc w:val="center"/>
              <w:ind w:right="410"/>
              <w:spacing w:after="0"/>
              <w:rPr>
                <w:sz w:val="20"/>
                <w:szCs w:val="20"/>
                <w:color w:val="auto"/>
              </w:rPr>
            </w:pPr>
            <w:r>
              <w:rPr>
                <w:rFonts w:ascii="Arial" w:cs="Arial" w:eastAsia="Arial" w:hAnsi="Arial"/>
                <w:sz w:val="18"/>
                <w:szCs w:val="18"/>
                <w:color w:val="auto"/>
                <w:w w:val="91"/>
              </w:rPr>
              <w:t>(415) 983-1200 facsimile</w:t>
            </w: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(650) 233-4545 facsimile</w:t>
            </w:r>
          </w:p>
        </w:tc>
        <w:tc>
          <w:tcPr>
            <w:tcW w:w="3580" w:type="dxa"/>
            <w:vAlign w:val="bottom"/>
          </w:tcPr>
          <w:p>
            <w:pPr>
              <w:jc w:val="center"/>
              <w:ind w:left="450"/>
              <w:spacing w:after="0"/>
              <w:rPr>
                <w:sz w:val="20"/>
                <w:szCs w:val="20"/>
                <w:color w:val="auto"/>
              </w:rPr>
            </w:pPr>
            <w:r>
              <w:rPr>
                <w:rFonts w:ascii="Arial" w:cs="Arial" w:eastAsia="Arial" w:hAnsi="Arial"/>
                <w:sz w:val="18"/>
                <w:szCs w:val="18"/>
                <w:color w:val="auto"/>
                <w:w w:val="90"/>
              </w:rPr>
              <w:t>South San Francisco, California 94080</w:t>
            </w:r>
          </w:p>
        </w:tc>
      </w:tr>
      <w:tr>
        <w:trPr>
          <w:trHeight w:val="216"/>
        </w:trPr>
        <w:tc>
          <w:tcPr>
            <w:tcW w:w="3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580" w:type="dxa"/>
            <w:vAlign w:val="bottom"/>
          </w:tcPr>
          <w:p>
            <w:pPr>
              <w:jc w:val="center"/>
              <w:ind w:left="450"/>
              <w:spacing w:after="0"/>
              <w:rPr>
                <w:sz w:val="20"/>
                <w:szCs w:val="20"/>
                <w:color w:val="auto"/>
              </w:rPr>
            </w:pPr>
            <w:r>
              <w:rPr>
                <w:rFonts w:ascii="Arial" w:cs="Arial" w:eastAsia="Arial" w:hAnsi="Arial"/>
                <w:sz w:val="18"/>
                <w:szCs w:val="18"/>
                <w:color w:val="auto"/>
                <w:w w:val="90"/>
              </w:rPr>
              <w:t>(650) 243-6300</w:t>
            </w:r>
          </w:p>
        </w:tc>
      </w:tr>
      <w:tr>
        <w:trPr>
          <w:trHeight w:val="230"/>
        </w:trPr>
        <w:tc>
          <w:tcPr>
            <w:tcW w:w="3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580" w:type="dxa"/>
            <w:vAlign w:val="bottom"/>
          </w:tcPr>
          <w:p>
            <w:pPr>
              <w:jc w:val="center"/>
              <w:ind w:left="450"/>
              <w:spacing w:after="0"/>
              <w:rPr>
                <w:sz w:val="20"/>
                <w:szCs w:val="20"/>
                <w:color w:val="auto"/>
              </w:rPr>
            </w:pPr>
            <w:r>
              <w:rPr>
                <w:rFonts w:ascii="Arial" w:cs="Arial" w:eastAsia="Arial" w:hAnsi="Arial"/>
                <w:sz w:val="18"/>
                <w:szCs w:val="18"/>
                <w:color w:val="auto"/>
                <w:w w:val="92"/>
              </w:rPr>
              <w:t>(650) 243-6301 facsimile</w:t>
            </w:r>
          </w:p>
        </w:tc>
      </w:tr>
    </w:tbl>
    <w:p>
      <w:pPr>
        <w:spacing w:after="0" w:line="202"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Large accelerated filer o</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3"/>
          </w:tcPr>
          <w:p>
            <w:pPr>
              <w:ind w:left="1000"/>
              <w:spacing w:after="0"/>
              <w:rPr>
                <w:sz w:val="20"/>
                <w:szCs w:val="20"/>
                <w:color w:val="auto"/>
              </w:rPr>
            </w:pPr>
            <w:r>
              <w:rPr>
                <w:rFonts w:ascii="Arial" w:cs="Arial" w:eastAsia="Arial" w:hAnsi="Arial"/>
                <w:sz w:val="18"/>
                <w:szCs w:val="18"/>
                <w:color w:val="auto"/>
              </w:rPr>
              <w:t>Accelerated filer o</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520"/>
              <w:spacing w:after="0"/>
              <w:rPr>
                <w:sz w:val="20"/>
                <w:szCs w:val="20"/>
                <w:color w:val="auto"/>
              </w:rPr>
            </w:pPr>
            <w:r>
              <w:rPr>
                <w:rFonts w:ascii="Arial" w:cs="Arial" w:eastAsia="Arial" w:hAnsi="Arial"/>
                <w:sz w:val="18"/>
                <w:szCs w:val="18"/>
                <w:color w:val="auto"/>
                <w:w w:val="96"/>
              </w:rPr>
              <w:t>Non-accelerated filer x (Do not check if a smaller reporting company)</w:t>
            </w:r>
          </w:p>
        </w:tc>
        <w:tc>
          <w:tcPr>
            <w:tcW w:w="320" w:type="dxa"/>
            <w:vAlign w:val="bottom"/>
          </w:tcPr>
          <w:p>
            <w:pPr>
              <w:spacing w:after="0"/>
              <w:rPr>
                <w:sz w:val="20"/>
                <w:szCs w:val="20"/>
                <w:color w:val="auto"/>
              </w:rPr>
            </w:pPr>
          </w:p>
        </w:tc>
        <w:tc>
          <w:tcPr>
            <w:tcW w:w="3660" w:type="dxa"/>
            <w:vAlign w:val="bottom"/>
            <w:gridSpan w:val="3"/>
          </w:tcPr>
          <w:p>
            <w:pPr>
              <w:ind w:left="1000"/>
              <w:spacing w:after="0"/>
              <w:rPr>
                <w:sz w:val="20"/>
                <w:szCs w:val="20"/>
                <w:color w:val="auto"/>
              </w:rPr>
            </w:pPr>
            <w:r>
              <w:rPr>
                <w:rFonts w:ascii="Arial" w:cs="Arial" w:eastAsia="Arial" w:hAnsi="Arial"/>
                <w:sz w:val="18"/>
                <w:szCs w:val="18"/>
                <w:color w:val="auto"/>
              </w:rPr>
              <w:t>Smaller reporting company o</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80" w:type="dxa"/>
            <w:vAlign w:val="bottom"/>
            <w:gridSpan w:val="3"/>
          </w:tcPr>
          <w:p>
            <w:pPr>
              <w:jc w:val="right"/>
              <w:ind w:right="321"/>
              <w:spacing w:after="0"/>
              <w:rPr>
                <w:sz w:val="20"/>
                <w:szCs w:val="20"/>
                <w:color w:val="auto"/>
              </w:rPr>
            </w:pPr>
            <w:r>
              <w:rPr>
                <w:rFonts w:ascii="Arial" w:cs="Arial" w:eastAsia="Arial" w:hAnsi="Arial"/>
                <w:sz w:val="18"/>
                <w:szCs w:val="18"/>
                <w:b w:val="1"/>
                <w:bCs w:val="1"/>
                <w:color w:val="auto"/>
              </w:rPr>
              <w:t>CALCULATION OF REGISTRATION FEE</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5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Title of Securities</w:t>
            </w:r>
          </w:p>
        </w:tc>
        <w:tc>
          <w:tcPr>
            <w:tcW w:w="2280" w:type="dxa"/>
            <w:vAlign w:val="bottom"/>
            <w:vMerge w:val="restart"/>
          </w:tcPr>
          <w:p>
            <w:pPr>
              <w:jc w:val="center"/>
              <w:ind w:left="559"/>
              <w:spacing w:after="0"/>
              <w:rPr>
                <w:sz w:val="20"/>
                <w:szCs w:val="20"/>
                <w:color w:val="auto"/>
              </w:rPr>
            </w:pPr>
            <w:r>
              <w:rPr>
                <w:rFonts w:ascii="Arial" w:cs="Arial" w:eastAsia="Arial" w:hAnsi="Arial"/>
                <w:sz w:val="14"/>
                <w:szCs w:val="14"/>
                <w:b w:val="1"/>
                <w:bCs w:val="1"/>
                <w:color w:val="auto"/>
                <w:w w:val="91"/>
              </w:rPr>
              <w:t>Amount To</w:t>
            </w:r>
          </w:p>
        </w:tc>
        <w:tc>
          <w:tcPr>
            <w:tcW w:w="320" w:type="dxa"/>
            <w:vAlign w:val="bottom"/>
          </w:tcPr>
          <w:p>
            <w:pPr>
              <w:spacing w:after="0"/>
              <w:rPr>
                <w:sz w:val="9"/>
                <w:szCs w:val="9"/>
                <w:color w:val="auto"/>
              </w:rPr>
            </w:pPr>
          </w:p>
        </w:tc>
        <w:tc>
          <w:tcPr>
            <w:tcW w:w="1680" w:type="dxa"/>
            <w:vAlign w:val="bottom"/>
          </w:tcPr>
          <w:p>
            <w:pPr>
              <w:jc w:val="center"/>
              <w:ind w:right="241"/>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700" w:type="dxa"/>
            <w:vAlign w:val="bottom"/>
          </w:tcPr>
          <w:p>
            <w:pPr>
              <w:jc w:val="center"/>
              <w:ind w:right="206"/>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32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7"/>
              </w:rPr>
              <w:t>Maximum Offering</w:t>
            </w:r>
          </w:p>
        </w:tc>
        <w:tc>
          <w:tcPr>
            <w:tcW w:w="280" w:type="dxa"/>
            <w:vAlign w:val="bottom"/>
          </w:tcPr>
          <w:p>
            <w:pPr>
              <w:spacing w:after="0"/>
              <w:rPr>
                <w:sz w:val="12"/>
                <w:szCs w:val="12"/>
                <w:color w:val="auto"/>
              </w:rPr>
            </w:pPr>
          </w:p>
        </w:tc>
        <w:tc>
          <w:tcPr>
            <w:tcW w:w="170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94"/>
              </w:rPr>
              <w:t>Maximum Aggregate</w:t>
            </w: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To Be Registered</w:t>
            </w:r>
          </w:p>
        </w:tc>
        <w:tc>
          <w:tcPr>
            <w:tcW w:w="228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b w:val="1"/>
                <w:bCs w:val="1"/>
                <w:color w:val="auto"/>
                <w:w w:val="89"/>
              </w:rPr>
              <w:t>Be Registered(1)</w:t>
            </w: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2"/>
              </w:rPr>
              <w:t>Price Per Share(2)</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226"/>
              <w:spacing w:after="0"/>
              <w:rPr>
                <w:sz w:val="20"/>
                <w:szCs w:val="20"/>
                <w:color w:val="auto"/>
              </w:rPr>
            </w:pPr>
            <w:r>
              <w:rPr>
                <w:rFonts w:ascii="Arial" w:cs="Arial" w:eastAsia="Arial" w:hAnsi="Arial"/>
                <w:sz w:val="14"/>
                <w:szCs w:val="14"/>
                <w:b w:val="1"/>
                <w:bCs w:val="1"/>
                <w:color w:val="auto"/>
                <w:w w:val="94"/>
              </w:rPr>
              <w:t>Offering Price</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Common Stock, par value $0.001 per share</w:t>
            </w:r>
          </w:p>
        </w:tc>
        <w:tc>
          <w:tcPr>
            <w:tcW w:w="2280" w:type="dxa"/>
            <w:vAlign w:val="bottom"/>
          </w:tcPr>
          <w:p>
            <w:pPr>
              <w:jc w:val="right"/>
              <w:ind w:right="59"/>
              <w:spacing w:after="0"/>
              <w:rPr>
                <w:sz w:val="20"/>
                <w:szCs w:val="20"/>
                <w:color w:val="auto"/>
              </w:rPr>
            </w:pPr>
            <w:r>
              <w:rPr>
                <w:rFonts w:ascii="Arial" w:cs="Arial" w:eastAsia="Arial" w:hAnsi="Arial"/>
                <w:sz w:val="18"/>
                <w:szCs w:val="18"/>
                <w:color w:val="auto"/>
              </w:rPr>
              <w:t>750,000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1"/>
              <w:spacing w:after="0"/>
              <w:rPr>
                <w:sz w:val="20"/>
                <w:szCs w:val="20"/>
                <w:color w:val="auto"/>
              </w:rPr>
            </w:pPr>
            <w:r>
              <w:rPr>
                <w:rFonts w:ascii="Arial" w:cs="Arial" w:eastAsia="Arial" w:hAnsi="Arial"/>
                <w:sz w:val="18"/>
                <w:szCs w:val="18"/>
                <w:color w:val="auto"/>
              </w:rPr>
              <w:t>9.77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6"/>
              <w:spacing w:after="0"/>
              <w:rPr>
                <w:sz w:val="20"/>
                <w:szCs w:val="20"/>
                <w:color w:val="auto"/>
              </w:rPr>
            </w:pPr>
            <w:r>
              <w:rPr>
                <w:rFonts w:ascii="Arial" w:cs="Arial" w:eastAsia="Arial" w:hAnsi="Arial"/>
                <w:sz w:val="18"/>
                <w:szCs w:val="18"/>
                <w:color w:val="auto"/>
              </w:rPr>
              <w:t>7,327,500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2"/>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00" w:right="100" w:hanging="592"/>
        <w:spacing w:after="0" w:line="25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(the “Securities Act”), this registration statement also covers any additional securities that may be offered or become issuable under the Veracyte, Inc. Employee Stock Purchase Plan (“ESPP”) in connection with any stock split, stock dividend, recapitalization or any other similar transaction effected without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600" w:right="40" w:hanging="592"/>
        <w:spacing w:after="0" w:line="25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under the Securities Act solely for the purpose of calculating the registration fee on the basis of 85% of the average of the high and low prices of the Common Stock as reported on The Nasdaq Capital Market on June 22, 2015. Pursuant to the ESPP, the purchase price of Common Stock will be at least 85% of the lower of the fair market value of the common stock on the first trading day of the offering period or on the exercise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-1113155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51" w:gutter="0" w:footer="0" w:header="0"/>
          <w:type w:val="continuous"/>
        </w:sectPr>
      </w:pPr>
    </w:p>
    <w:bookmarkStart w:id="1" w:name="page2"/>
    <w:bookmarkEnd w:id="1"/>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(this “Registration Statement”) in accordance with the provisions of Rule 428 under the Securities Act of 1933, as amended (the “Securities Act”), and the introductory note to Part I of Form S-8.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documents filed by the Registrant with the Securities and Exchange Commission (the “Commission”) are hereby incorporated by reference in this Registration Statement:</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2015.</w:t>
      </w:r>
    </w:p>
    <w:p>
      <w:pPr>
        <w:spacing w:after="0" w:line="225" w:lineRule="exact"/>
        <w:rPr>
          <w:rFonts w:ascii="Arial" w:cs="Arial" w:eastAsia="Arial" w:hAnsi="Arial"/>
          <w:sz w:val="18"/>
          <w:szCs w:val="18"/>
          <w:color w:val="auto"/>
        </w:rPr>
      </w:pPr>
    </w:p>
    <w:p>
      <w:pPr>
        <w:ind w:left="980" w:right="420" w:hanging="324"/>
        <w:spacing w:after="0" w:line="264" w:lineRule="auto"/>
        <w:tabs>
          <w:tab w:leader="none" w:pos="99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September 14, 2014 (as amended on November 6, 2014, December 10, 2014 and May 21, 2015), January 12, 2015, March 5, 2015, March 13, 2015, March 31, 2015, April 7, 2015, April 24, 2015, May 1, 2015 and May 19, 2015.</w:t>
      </w:r>
    </w:p>
    <w:p>
      <w:pPr>
        <w:spacing w:after="0" w:line="181" w:lineRule="exact"/>
        <w:rPr>
          <w:rFonts w:ascii="Arial" w:cs="Arial" w:eastAsia="Arial" w:hAnsi="Arial"/>
          <w:sz w:val="18"/>
          <w:szCs w:val="18"/>
          <w:color w:val="auto"/>
        </w:rPr>
      </w:pPr>
    </w:p>
    <w:p>
      <w:pPr>
        <w:ind w:left="980" w:right="400" w:hanging="324"/>
        <w:spacing w:after="0" w:line="264" w:lineRule="auto"/>
        <w:tabs>
          <w:tab w:leader="none" w:pos="98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Registrant’s registration statement on Form 8-A, filed on October 28, 2013 pursuant to Section 12(b) of the Securities Exchange Act of 1934 (the “Exchange Act”), including any amendment or report filed for the purpose of updating such description.</w:t>
      </w:r>
    </w:p>
    <w:p>
      <w:pPr>
        <w:spacing w:after="0" w:line="18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Registrant’s amended and restated certificate of incorporation contains provisions that limit the personal liability of its directors for monetary damages to the fullest extent permitted by the General Corporation Law of the State of Delaware, or the DGCL. Consequently, the Registrant’s directors will not be personally liable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Registrant or its stockholders for monetary damages for any breach of fiduciary duties as directors, except liability for:</w:t>
      </w:r>
    </w:p>
    <w:p>
      <w:pPr>
        <w:spacing w:after="0" w:line="22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 any transaction from which the director derived an improper personal benefit.</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Registrant’s amended and restated certificate of incorporation and amended and restated bylaws provide that it is required to indemnify its directors, in each case to the fullest extent permitted by the DGCL. The Registrant’s bylaws also provide that it shall advance expenses incurred by a director in advance of the final disposition of any action or proceeding, and permit the Registrant to secure insurance on behalf of any officer, director, employee or other agent for any liability arising out of his or her actions in that capacity regardless of whether the Registrant would otherwise be permitted to indemnify him or her under the provisions of the DGCL. The Registrant has entered into agreements to indemnify its directors and the Registrant expects to continue to enter into agreements to indemnify its directors. Prior to the closing of the Registrant’s initial public offering, it plans to amend and restate its indemnification agreements with its directors and to enter into similar agreements with each of its officers. With certain exceptions, these agreements provide for indemnification for related expenses including, among other things, attorneys’ fees, judgments, fines and settlement amounts incurred by any of the Registrant’s directors in any action or proceeding.</w:t>
      </w:r>
    </w:p>
    <w:p>
      <w:pPr>
        <w:sectPr>
          <w:pgSz w:w="11900" w:h="16917" w:orient="portrait"/>
          <w:cols w:equalWidth="0" w:num="1">
            <w:col w:w="11420"/>
          </w:cols>
          <w:pgMar w:left="240" w:top="1053" w:right="239" w:bottom="0" w:gutter="0" w:footer="0" w:header="0"/>
        </w:sectPr>
      </w:pPr>
    </w:p>
    <w:bookmarkStart w:id="2" w:name="page3"/>
    <w:bookmarkEnd w:id="2"/>
    <w:p>
      <w:pPr>
        <w:ind w:right="260"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in the Registrant’s certificate of incorporation and bylaws may discourage stockholders from bringing a lawsuit against the Registrant’s directors for breach of their fiduciary duty of care. They may also reduce the likelihood of derivative litigation against the Registrant’s directors and officers, even though an action, if successful, might benefit the Registrant and other stockholders. Further, a stockholder’s investment may be adversely affected to the extent that the Registrant pays the costs of settlement and damage awards against directors and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78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 Pillsbury Winthrop Shaw Pittman LLP.</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23.2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23.3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23.4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24.1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Power of Attorney (contained on signature page hereto).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5660" w:right="1700" w:hanging="5211"/>
        <w:spacing w:after="0" w:line="528" w:lineRule="auto"/>
        <w:tabs>
          <w:tab w:leader="none" w:pos="6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hanging="21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60" w:firstLine="449"/>
        <w:spacing w:after="0" w:line="293" w:lineRule="auto"/>
        <w:tabs>
          <w:tab w:leader="none" w:pos="703"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00" w:firstLine="449"/>
        <w:spacing w:after="0" w:line="277" w:lineRule="auto"/>
        <w:tabs>
          <w:tab w:leader="none" w:pos="7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ind w:right="540" w:firstLine="449"/>
        <w:spacing w:after="0" w:line="264"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60" w:firstLine="449"/>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60" w:firstLine="449"/>
        <w:spacing w:after="0" w:line="30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firstLine="449"/>
        <w:spacing w:after="0" w:line="291" w:lineRule="auto"/>
        <w:tabs>
          <w:tab w:leader="none" w:pos="68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24th day of June, 2015.</w:t>
      </w:r>
    </w:p>
    <w:p>
      <w:pPr>
        <w:spacing w:after="0" w:line="17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VERACYTE,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Bonnie H. Anderson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399"/>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4"/>
                <w:szCs w:val="14"/>
                <w:color w:val="auto"/>
              </w:rPr>
            </w:pPr>
          </w:p>
        </w:tc>
        <w:tc>
          <w:tcPr>
            <w:tcW w:w="46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4"/>
                <w:szCs w:val="14"/>
                <w:color w:val="auto"/>
              </w:rPr>
            </w:pPr>
          </w:p>
        </w:tc>
      </w:tr>
      <w:tr>
        <w:trPr>
          <w:trHeight w:val="35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center"/>
              <w:ind w:right="659"/>
              <w:spacing w:after="0"/>
              <w:rPr>
                <w:sz w:val="20"/>
                <w:szCs w:val="20"/>
                <w:color w:val="auto"/>
              </w:rPr>
            </w:pPr>
            <w:r>
              <w:rPr>
                <w:rFonts w:ascii="Arial" w:cs="Arial" w:eastAsia="Arial" w:hAnsi="Arial"/>
                <w:sz w:val="18"/>
                <w:szCs w:val="18"/>
                <w:color w:val="auto"/>
                <w:w w:val="91"/>
              </w:rPr>
              <w:t>/s/ Bonnie H. Anderson</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(Principal</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20" w:type="dxa"/>
            <w:vAlign w:val="bottom"/>
            <w:gridSpan w:val="3"/>
          </w:tcPr>
          <w:p>
            <w:pPr>
              <w:jc w:val="center"/>
              <w:ind w:right="639"/>
              <w:spacing w:after="0"/>
              <w:rPr>
                <w:sz w:val="20"/>
                <w:szCs w:val="20"/>
                <w:color w:val="auto"/>
              </w:rPr>
            </w:pPr>
            <w:r>
              <w:rPr>
                <w:rFonts w:ascii="Arial" w:cs="Arial" w:eastAsia="Arial" w:hAnsi="Arial"/>
                <w:sz w:val="18"/>
                <w:szCs w:val="18"/>
                <w:color w:val="auto"/>
                <w:w w:val="91"/>
              </w:rPr>
              <w:t>Bonnie H. Anderson</w:t>
            </w:r>
          </w:p>
        </w:tc>
        <w:tc>
          <w:tcPr>
            <w:tcW w:w="2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Executive Officer) and Director</w:t>
            </w: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center"/>
              <w:ind w:right="639"/>
              <w:spacing w:after="0"/>
              <w:rPr>
                <w:sz w:val="20"/>
                <w:szCs w:val="20"/>
                <w:color w:val="auto"/>
              </w:rPr>
            </w:pPr>
            <w:r>
              <w:rPr>
                <w:rFonts w:ascii="Arial" w:cs="Arial" w:eastAsia="Arial" w:hAnsi="Arial"/>
                <w:sz w:val="18"/>
                <w:szCs w:val="18"/>
                <w:color w:val="auto"/>
                <w:w w:val="93"/>
              </w:rPr>
              <w:t>/s/ Shelly D. Guyer</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center"/>
              <w:ind w:right="1059"/>
              <w:spacing w:after="0"/>
              <w:rPr>
                <w:sz w:val="20"/>
                <w:szCs w:val="20"/>
                <w:color w:val="auto"/>
              </w:rPr>
            </w:pPr>
            <w:r>
              <w:rPr>
                <w:rFonts w:ascii="Arial" w:cs="Arial" w:eastAsia="Arial" w:hAnsi="Arial"/>
                <w:sz w:val="18"/>
                <w:szCs w:val="18"/>
                <w:color w:val="auto"/>
                <w:w w:val="91"/>
              </w:rPr>
              <w:t>Shelly D. Guyer</w:t>
            </w:r>
          </w:p>
        </w:tc>
        <w:tc>
          <w:tcPr>
            <w:tcW w:w="2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center"/>
              <w:ind w:right="659"/>
              <w:spacing w:after="0"/>
              <w:rPr>
                <w:sz w:val="20"/>
                <w:szCs w:val="20"/>
                <w:color w:val="auto"/>
              </w:rPr>
            </w:pPr>
            <w:r>
              <w:rPr>
                <w:rFonts w:ascii="Arial" w:cs="Arial" w:eastAsia="Arial" w:hAnsi="Arial"/>
                <w:sz w:val="18"/>
                <w:szCs w:val="18"/>
                <w:color w:val="auto"/>
                <w:w w:val="94"/>
              </w:rPr>
              <w:t>/s/ Brian G. Atwood</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center"/>
              <w:ind w:right="1059"/>
              <w:spacing w:after="0"/>
              <w:rPr>
                <w:sz w:val="20"/>
                <w:szCs w:val="20"/>
                <w:color w:val="auto"/>
              </w:rPr>
            </w:pPr>
            <w:r>
              <w:rPr>
                <w:rFonts w:ascii="Arial" w:cs="Arial" w:eastAsia="Arial" w:hAnsi="Arial"/>
                <w:sz w:val="18"/>
                <w:szCs w:val="18"/>
                <w:color w:val="auto"/>
                <w:w w:val="94"/>
              </w:rPr>
              <w:t>Brian G. Atwood</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center"/>
              <w:ind w:right="1059"/>
              <w:spacing w:after="0"/>
              <w:rPr>
                <w:sz w:val="20"/>
                <w:szCs w:val="20"/>
                <w:color w:val="auto"/>
              </w:rPr>
            </w:pPr>
            <w:r>
              <w:rPr>
                <w:rFonts w:ascii="Arial" w:cs="Arial" w:eastAsia="Arial" w:hAnsi="Arial"/>
                <w:sz w:val="18"/>
                <w:szCs w:val="18"/>
                <w:color w:val="auto"/>
                <w:w w:val="92"/>
              </w:rPr>
              <w:t>/s/ John L. Bishop</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center"/>
              <w:ind w:right="1059"/>
              <w:spacing w:after="0"/>
              <w:rPr>
                <w:sz w:val="20"/>
                <w:szCs w:val="20"/>
                <w:color w:val="auto"/>
              </w:rPr>
            </w:pPr>
            <w:r>
              <w:rPr>
                <w:rFonts w:ascii="Arial" w:cs="Arial" w:eastAsia="Arial" w:hAnsi="Arial"/>
                <w:sz w:val="18"/>
                <w:szCs w:val="18"/>
                <w:color w:val="auto"/>
                <w:w w:val="90"/>
              </w:rPr>
              <w:t>John L. Bishop</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center"/>
              <w:ind w:right="1079"/>
              <w:spacing w:after="0"/>
              <w:rPr>
                <w:sz w:val="20"/>
                <w:szCs w:val="20"/>
                <w:color w:val="auto"/>
              </w:rPr>
            </w:pPr>
            <w:r>
              <w:rPr>
                <w:rFonts w:ascii="Arial" w:cs="Arial" w:eastAsia="Arial" w:hAnsi="Arial"/>
                <w:sz w:val="18"/>
                <w:szCs w:val="18"/>
                <w:color w:val="auto"/>
                <w:w w:val="89"/>
              </w:rPr>
              <w:t>/s/ Fred E. Cohen</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20" w:type="dxa"/>
            <w:vAlign w:val="bottom"/>
            <w:gridSpan w:val="3"/>
          </w:tcPr>
          <w:p>
            <w:pPr>
              <w:jc w:val="center"/>
              <w:ind w:right="639"/>
              <w:spacing w:after="0"/>
              <w:rPr>
                <w:sz w:val="20"/>
                <w:szCs w:val="20"/>
                <w:color w:val="auto"/>
              </w:rPr>
            </w:pPr>
            <w:r>
              <w:rPr>
                <w:rFonts w:ascii="Arial" w:cs="Arial" w:eastAsia="Arial" w:hAnsi="Arial"/>
                <w:sz w:val="18"/>
                <w:szCs w:val="18"/>
                <w:color w:val="auto"/>
                <w:w w:val="92"/>
              </w:rPr>
              <w:t>Fred E. Cohen, M.D., D.Phil.</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center"/>
              <w:ind w:right="1059"/>
              <w:spacing w:after="0"/>
              <w:rPr>
                <w:sz w:val="20"/>
                <w:szCs w:val="20"/>
                <w:color w:val="auto"/>
              </w:rPr>
            </w:pPr>
            <w:r>
              <w:rPr>
                <w:rFonts w:ascii="Arial" w:cs="Arial" w:eastAsia="Arial" w:hAnsi="Arial"/>
                <w:sz w:val="18"/>
                <w:szCs w:val="18"/>
                <w:color w:val="auto"/>
                <w:w w:val="90"/>
              </w:rPr>
              <w:t>/s/ Karin Eastham</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center"/>
              <w:ind w:right="1059"/>
              <w:spacing w:after="0"/>
              <w:rPr>
                <w:sz w:val="20"/>
                <w:szCs w:val="20"/>
                <w:color w:val="auto"/>
              </w:rPr>
            </w:pPr>
            <w:r>
              <w:rPr>
                <w:rFonts w:ascii="Arial" w:cs="Arial" w:eastAsia="Arial" w:hAnsi="Arial"/>
                <w:sz w:val="18"/>
                <w:szCs w:val="18"/>
                <w:color w:val="auto"/>
                <w:w w:val="91"/>
              </w:rPr>
              <w:t>Karin Eastham</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center"/>
              <w:ind w:right="639"/>
              <w:spacing w:after="0"/>
              <w:rPr>
                <w:sz w:val="20"/>
                <w:szCs w:val="20"/>
                <w:color w:val="auto"/>
              </w:rPr>
            </w:pPr>
            <w:r>
              <w:rPr>
                <w:rFonts w:ascii="Arial" w:cs="Arial" w:eastAsia="Arial" w:hAnsi="Arial"/>
                <w:sz w:val="18"/>
                <w:szCs w:val="18"/>
                <w:color w:val="auto"/>
                <w:w w:val="89"/>
              </w:rPr>
              <w:t>/s/ Robert S. Epstein</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20" w:type="dxa"/>
            <w:vAlign w:val="bottom"/>
            <w:gridSpan w:val="3"/>
          </w:tcPr>
          <w:p>
            <w:pPr>
              <w:jc w:val="center"/>
              <w:ind w:right="639"/>
              <w:spacing w:after="0"/>
              <w:rPr>
                <w:sz w:val="20"/>
                <w:szCs w:val="20"/>
                <w:color w:val="auto"/>
              </w:rPr>
            </w:pPr>
            <w:r>
              <w:rPr>
                <w:rFonts w:ascii="Arial" w:cs="Arial" w:eastAsia="Arial" w:hAnsi="Arial"/>
                <w:sz w:val="18"/>
                <w:szCs w:val="18"/>
                <w:color w:val="auto"/>
                <w:w w:val="91"/>
              </w:rPr>
              <w:t>Robert S. Epstein, M.D., M.S.</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center"/>
              <w:ind w:right="1059"/>
              <w:spacing w:after="0"/>
              <w:rPr>
                <w:sz w:val="20"/>
                <w:szCs w:val="20"/>
                <w:color w:val="auto"/>
              </w:rPr>
            </w:pPr>
            <w:r>
              <w:rPr>
                <w:rFonts w:ascii="Arial" w:cs="Arial" w:eastAsia="Arial" w:hAnsi="Arial"/>
                <w:sz w:val="18"/>
                <w:szCs w:val="18"/>
                <w:color w:val="auto"/>
                <w:w w:val="88"/>
              </w:rPr>
              <w:t>/s/ Evan Jones</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center"/>
              <w:ind w:right="1059"/>
              <w:spacing w:after="0"/>
              <w:rPr>
                <w:sz w:val="20"/>
                <w:szCs w:val="20"/>
                <w:color w:val="auto"/>
              </w:rPr>
            </w:pPr>
            <w:r>
              <w:rPr>
                <w:rFonts w:ascii="Arial" w:cs="Arial" w:eastAsia="Arial" w:hAnsi="Arial"/>
                <w:sz w:val="18"/>
                <w:szCs w:val="18"/>
                <w:color w:val="auto"/>
                <w:w w:val="85"/>
              </w:rPr>
              <w:t>Evan Jones</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center"/>
              <w:ind w:right="1059"/>
              <w:spacing w:after="0"/>
              <w:rPr>
                <w:sz w:val="20"/>
                <w:szCs w:val="20"/>
                <w:color w:val="auto"/>
              </w:rPr>
            </w:pPr>
            <w:r>
              <w:rPr>
                <w:rFonts w:ascii="Arial" w:cs="Arial" w:eastAsia="Arial" w:hAnsi="Arial"/>
                <w:sz w:val="18"/>
                <w:szCs w:val="18"/>
                <w:color w:val="auto"/>
                <w:w w:val="87"/>
              </w:rPr>
              <w:t>/s/ Jesse I. Treu</w:t>
            </w:r>
          </w:p>
        </w:tc>
        <w:tc>
          <w:tcPr>
            <w:tcW w:w="24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June 24, 2015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20" w:type="dxa"/>
            <w:vAlign w:val="bottom"/>
            <w:gridSpan w:val="3"/>
          </w:tcPr>
          <w:p>
            <w:pPr>
              <w:jc w:val="center"/>
              <w:ind w:right="639"/>
              <w:spacing w:after="0"/>
              <w:rPr>
                <w:sz w:val="20"/>
                <w:szCs w:val="20"/>
                <w:color w:val="auto"/>
              </w:rPr>
            </w:pPr>
            <w:r>
              <w:rPr>
                <w:rFonts w:ascii="Arial" w:cs="Arial" w:eastAsia="Arial" w:hAnsi="Arial"/>
                <w:sz w:val="18"/>
                <w:szCs w:val="18"/>
                <w:color w:val="auto"/>
                <w:w w:val="87"/>
              </w:rPr>
              <w:t>Jesse I. Treu, Ph.D.</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gridSpan w:val="2"/>
          </w:tcPr>
          <w:p>
            <w:pPr>
              <w:jc w:val="right"/>
              <w:ind w:right="273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gridSpan w:val="2"/>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rPr>
              <w:t>INDEX TO EXHIBITS</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8"/>
              </w:rPr>
              <w:t>Exhibit No.</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gridSpan w:val="2"/>
          </w:tcPr>
          <w:p>
            <w:pPr>
              <w:ind w:left="2200"/>
              <w:spacing w:after="0"/>
              <w:rPr>
                <w:sz w:val="20"/>
                <w:szCs w:val="20"/>
                <w:color w:val="auto"/>
              </w:rPr>
            </w:pPr>
            <w:r>
              <w:rPr>
                <w:rFonts w:ascii="Arial" w:cs="Arial" w:eastAsia="Arial" w:hAnsi="Arial"/>
                <w:sz w:val="14"/>
                <w:szCs w:val="14"/>
                <w:b w:val="1"/>
                <w:bCs w:val="1"/>
                <w:color w:val="auto"/>
              </w:rPr>
              <w:t>Description</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5.1</w:t>
            </w: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3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Opinion of Pillsbury Winthrop Shaw Pittman LLP.</w:t>
            </w:r>
          </w:p>
        </w:tc>
        <w:tc>
          <w:tcPr>
            <w:tcW w:w="2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7700" w:type="dxa"/>
            <w:vAlign w:val="bottom"/>
            <w:gridSpan w:val="5"/>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7700" w:type="dxa"/>
            <w:vAlign w:val="bottom"/>
            <w:gridSpan w:val="5"/>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4"/>
                <w:szCs w:val="24"/>
                <w:color w:val="auto"/>
              </w:rPr>
            </w:pPr>
          </w:p>
        </w:tc>
        <w:tc>
          <w:tcPr>
            <w:tcW w:w="7700" w:type="dxa"/>
            <w:vAlign w:val="bottom"/>
            <w:gridSpan w:val="5"/>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24"/>
                <w:szCs w:val="24"/>
                <w:color w:val="auto"/>
              </w:rPr>
            </w:pPr>
          </w:p>
        </w:tc>
        <w:tc>
          <w:tcPr>
            <w:tcW w:w="7700" w:type="dxa"/>
            <w:vAlign w:val="bottom"/>
            <w:gridSpan w:val="5"/>
          </w:tcPr>
          <w:p>
            <w:pPr>
              <w:ind w:left="340"/>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7700" w:type="dxa"/>
            <w:vAlign w:val="bottom"/>
            <w:gridSpan w:val="5"/>
          </w:tcPr>
          <w:p>
            <w:pPr>
              <w:ind w:left="340"/>
              <w:spacing w:after="0"/>
              <w:rPr>
                <w:sz w:val="20"/>
                <w:szCs w:val="20"/>
                <w:color w:val="auto"/>
              </w:rPr>
            </w:pPr>
            <w:r>
              <w:rPr>
                <w:rFonts w:ascii="Arial" w:cs="Arial" w:eastAsia="Arial" w:hAnsi="Arial"/>
                <w:sz w:val="18"/>
                <w:szCs w:val="18"/>
                <w:color w:val="auto"/>
              </w:rPr>
              <w:t>Power of Attorney (contained on signature page hereto).</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Embarcadero Center,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94111-5998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acting as counsel for Veracyte, Inc., a Delaware corporation (the “Company”), in connection with the Registration Statement on Form S-8 (the “Registration Statement”) relating to the registration under the Securities Act of 1933 (the “Act”) of 750,000 shares of the Company’s common stock, par value $0.001 per share (the “Shares”), issuable pursuant to the Company’s Employee Stock Purchase Plan (the “Plan”).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the opinions expressed in this letter. Based upon the foregoing, we are of the opinion that the Shares have been duly authorized and, when issued and sold in accordance with the Plan, will be validly issued, fully paid and nonassessable. The opinions set forth in this letter are limited to the General Corporation Law of the State of Delaware, as in effect on the date hereof.</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In giving this consent, we do not thereby admit that we are within the category of persons whose consent is required under Section 7 of the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(Form S-8) pertaining to the Employee Stock Purchase Plan of Veracyte, Inc. of our report dated March 24, 2015, with respect to the consolidated financial statements of Veracyte, Inc. included in its Annual Report (Form 10-K) for the year ended December 31, 2014, filed with the Securities and Exchange Commission.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incorporation by reference in this Registration Statement on Form S-8 of Veracyte, Inc. of our report dated March 20, 2014, relating to the financial statements which appears in Veracyte Inc.’s Annual Report on Form 10-K for the year ended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Veracyte, Inc. of our report dated August 22, 2014, relating to the financial statements of Allegro Diagnostics Corp., which appears in Veracyte, Inc.’s Current Report on Form 8-K/A dated September 16, 2014.</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2019-12-08T19:25:20Z</dcterms:created>
  <dcterms:modified xsi:type="dcterms:W3CDTF">2019-12-08T19:25:20Z</dcterms:modified>
</cp:coreProperties>
</file>