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Leite John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45"/>
        <w:spacing w:after="0"/>
        <w:rPr>
          <w:sz w:val="20"/>
          <w:szCs w:val="20"/>
          <w:color w:val="auto"/>
        </w:rPr>
      </w:pPr>
      <w:r>
        <w:rPr>
          <w:rFonts w:ascii="Times New Roman" w:cs="Times New Roman" w:eastAsia="Times New Roman" w:hAnsi="Times New Roman"/>
          <w:sz w:val="17"/>
          <w:szCs w:val="17"/>
          <w:color w:val="0000FF"/>
        </w:rPr>
        <w:t>Global Chief Commercial Off</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6"/>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06/02/2026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4,059</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47.8</w:t>
            </w:r>
          </w:p>
        </w:tc>
        <w:tc>
          <w:tcPr>
            <w:tcW w:w="2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146,280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06/04/2026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840" w:type="dxa"/>
            <w:vAlign w:val="bottom"/>
            <w:tcBorders>
              <w:bottom w:val="single" w:sz="8" w:color="2C2C2C"/>
            </w:tcBorders>
          </w:tcPr>
          <w:p>
            <w:pPr>
              <w:jc w:val="right"/>
              <w:ind w:right="131"/>
              <w:spacing w:after="0"/>
              <w:rPr>
                <w:sz w:val="20"/>
                <w:szCs w:val="20"/>
                <w:color w:val="auto"/>
              </w:rPr>
            </w:pPr>
            <w:r>
              <w:rPr>
                <w:rFonts w:ascii="Times New Roman" w:cs="Times New Roman" w:eastAsia="Times New Roman" w:hAnsi="Times New Roman"/>
                <w:sz w:val="17"/>
                <w:szCs w:val="17"/>
                <w:color w:val="0000FF"/>
              </w:rPr>
              <w:t>13,975</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50.0703</w:t>
            </w:r>
            <w:r>
              <w:rPr>
                <w:rFonts w:ascii="Times New Roman" w:cs="Times New Roman" w:eastAsia="Times New Roman" w:hAnsi="Times New Roman"/>
                <w:sz w:val="22"/>
                <w:szCs w:val="22"/>
                <w:color w:val="008000"/>
                <w:w w:val="92"/>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132,305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to satisfy the Reporting Person's tax withholding obligations in connection with the vesting of certain restricted stock units on June 2, 2026 and does not represent a sale.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on this Form 4 were made pursuant to a Rule 10b5-1 plan adopted by the reporting person on June 9, 2025.</w:t>
      </w:r>
    </w:p>
    <w:p>
      <w:pPr>
        <w:spacing w:after="0" w:line="50" w:lineRule="exact"/>
        <w:rPr>
          <w:rFonts w:ascii="Times New Roman" w:cs="Times New Roman" w:eastAsia="Times New Roman" w:hAnsi="Times New Roman"/>
          <w:sz w:val="13"/>
          <w:szCs w:val="13"/>
          <w:color w:val="008000"/>
        </w:rPr>
      </w:pPr>
    </w:p>
    <w:p>
      <w:pPr>
        <w:ind w:left="40" w:right="1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weighted average sales price. Sale prices for the transactions range from $50.00 to $50.30. Detailed information regarding the number of shares sold at each separate price will be provided to the SEC, the issuer or a shareholder upon request.</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06/04/2026</w:t>
            </w: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91536"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2026-06-04T20:40:05Z</dcterms:created>
  <dcterms:modified xsi:type="dcterms:W3CDTF">2026-06-04T20:40:05Z</dcterms:modified>
</cp:coreProperties>
</file>