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825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25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3760" w:space="160"/>
            <w:col w:w="716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53,394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57,144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35.3704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53,594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36.1071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49,697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37.2604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24.69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52,287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26.55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54,037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39.69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49,662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4,406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4,406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20.21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3,750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02/27/2029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24.69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4,375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24.69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26.55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1,750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05/10/2030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26.55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$34.70 to $35.70.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$35.79 to $36.74.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$36.88 to $37.66.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ectPr>
          <w:pgSz w:w="11900" w:h="16850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3"/>
        <w:spacing w:after="0" w:line="252" w:lineRule="auto"/>
        <w:tabs>
          <w:tab w:leader="none" w:pos="13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600" w:firstLine="3"/>
        <w:spacing w:after="0" w:line="252" w:lineRule="auto"/>
        <w:tabs>
          <w:tab w:leader="none" w:pos="13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2021, and the remaining shares vest at a rate of 1/48th of the total number of shares subject to the award for each month of continuousservice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Jane Alley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3"/>
        <w:spacing w:after="0" w:line="337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31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2021-12-08T15:44:43Z</dcterms:created>
  <dcterms:modified xsi:type="dcterms:W3CDTF">2021-12-08T15:44:43Z</dcterms:modified>
</cp:coreProperties>
</file>