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13,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0" w:gutter="0" w:footer="0" w:header="0"/>
          <w:type w:val="continuous"/>
        </w:sectPr>
      </w:pPr>
    </w:p>
    <w:p>
      <w:pPr>
        <w:spacing w:after="0" w:line="7"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020" w:space="720"/>
            <w:col w:w="272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On August 13, 2014, Veracyte, Inc. issued a press release announcing its financial results for the fiscal quarter ended June 30, 2014.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tcPr>
          <w:p>
            <w:pPr>
              <w:jc w:val="right"/>
              <w:ind w:right="7354"/>
              <w:spacing w:after="0"/>
              <w:rPr>
                <w:sz w:val="20"/>
                <w:szCs w:val="20"/>
                <w:color w:val="auto"/>
              </w:rPr>
            </w:pPr>
            <w:r>
              <w:rPr>
                <w:rFonts w:ascii="Arial" w:cs="Arial" w:eastAsia="Arial" w:hAnsi="Arial"/>
                <w:sz w:val="18"/>
                <w:szCs w:val="18"/>
                <w:b w:val="1"/>
                <w:bCs w:val="1"/>
                <w:color w:val="auto"/>
                <w:w w:val="90"/>
              </w:rPr>
              <w:t>Financial Statements and Exhibits.</w:t>
            </w:r>
          </w:p>
        </w:tc>
        <w:tc>
          <w:tcPr>
            <w:tcW w:w="40" w:type="dxa"/>
            <w:vAlign w:val="bottom"/>
          </w:tcPr>
          <w:p>
            <w:pPr>
              <w:spacing w:after="0"/>
              <w:rPr>
                <w:sz w:val="20"/>
                <w:szCs w:val="20"/>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40" w:type="dxa"/>
            <w:vAlign w:val="bottom"/>
          </w:tcPr>
          <w:p>
            <w:pPr>
              <w:jc w:val="right"/>
              <w:ind w:right="4634"/>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140" w:type="dxa"/>
            <w:vAlign w:val="bottom"/>
            <w:tcBorders>
              <w:top w:val="single" w:sz="8" w:color="auto"/>
            </w:tcBorders>
          </w:tcPr>
          <w:p>
            <w:pPr>
              <w:jc w:val="right"/>
              <w:ind w:right="5594"/>
              <w:spacing w:after="0"/>
              <w:rPr>
                <w:sz w:val="20"/>
                <w:szCs w:val="20"/>
                <w:color w:val="auto"/>
              </w:rPr>
            </w:pPr>
            <w:r>
              <w:rPr>
                <w:rFonts w:ascii="Arial" w:cs="Arial" w:eastAsia="Arial" w:hAnsi="Arial"/>
                <w:sz w:val="18"/>
                <w:szCs w:val="18"/>
                <w:color w:val="auto"/>
                <w:w w:val="88"/>
              </w:rPr>
              <w:t>Press Release issued by Veracyte, Inc. dated August 13, 2014.</w:t>
            </w:r>
          </w:p>
        </w:tc>
        <w:tc>
          <w:tcPr>
            <w:tcW w:w="4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40" w:type="dxa"/>
            <w:vAlign w:val="bottom"/>
          </w:tcPr>
          <w:p>
            <w:pPr>
              <w:jc w:val="right"/>
              <w:ind w:right="557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Dated: August 13, 2014</w:t>
      </w:r>
    </w:p>
    <w:p>
      <w:pPr>
        <w:sectPr>
          <w:pgSz w:w="11900" w:h="16838" w:orient="portrait"/>
          <w:cols w:equalWidth="0" w:num="1">
            <w:col w:w="11460"/>
          </w:cols>
          <w:pgMar w:left="240" w:top="544" w:right="199" w:bottom="0" w:gutter="0" w:footer="0" w:header="0"/>
          <w:type w:val="continuous"/>
        </w:sectPr>
      </w:pPr>
    </w:p>
    <w:bookmarkStart w:id="1" w:name="page2"/>
    <w:bookmarkEnd w:id="1"/>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00" w:type="dxa"/>
            <w:vAlign w:val="bottom"/>
          </w:tcPr>
          <w:p>
            <w:pPr>
              <w:ind w:left="45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tcPr>
          <w:p>
            <w:pPr>
              <w:ind w:left="45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00" w:type="dxa"/>
            <w:vAlign w:val="bottom"/>
          </w:tcPr>
          <w:p>
            <w:pPr>
              <w:ind w:left="45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00" w:type="dxa"/>
            <w:vAlign w:val="bottom"/>
          </w:tcPr>
          <w:p>
            <w:pPr>
              <w:jc w:val="center"/>
              <w:ind w:left="3672"/>
              <w:spacing w:after="0"/>
              <w:rPr>
                <w:sz w:val="20"/>
                <w:szCs w:val="20"/>
                <w:color w:val="auto"/>
              </w:rPr>
            </w:pPr>
            <w:r>
              <w:rPr>
                <w:rFonts w:ascii="Arial" w:cs="Arial" w:eastAsia="Arial" w:hAnsi="Arial"/>
                <w:sz w:val="18"/>
                <w:szCs w:val="18"/>
                <w:color w:val="auto"/>
                <w:w w:val="99"/>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4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40" w:type="dxa"/>
            <w:vAlign w:val="bottom"/>
            <w:gridSpan w:val="2"/>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August 13, 2014</w:t>
            </w:r>
          </w:p>
        </w:tc>
        <w:tc>
          <w:tcPr>
            <w:tcW w:w="4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00" w:type="dxa"/>
            <w:vAlign w:val="bottom"/>
          </w:tcPr>
          <w:p>
            <w:pPr>
              <w:jc w:val="center"/>
              <w:ind w:left="3672"/>
              <w:spacing w:after="0"/>
              <w:rPr>
                <w:sz w:val="20"/>
                <w:szCs w:val="20"/>
                <w:color w:val="auto"/>
              </w:rPr>
            </w:pPr>
            <w:r>
              <w:rPr>
                <w:rFonts w:ascii="Arial" w:cs="Arial" w:eastAsia="Arial" w:hAnsi="Arial"/>
                <w:sz w:val="18"/>
                <w:szCs w:val="18"/>
                <w:color w:val="auto"/>
                <w:w w:val="99"/>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 w:name="page3"/>
    <w:bookmarkEnd w:id="2"/>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Announces Second Quarter 2014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2Q Revenue Increased 71%, Compared to Prior Year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Company Announces Agreement to Amend Terms of Genzyme Co-Promotion Agreement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Conference Call and Webcast Today at 5 p.m. ET —</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South San Francisco, Calif. — August 13, 2014 — Veracyte, Inc. (Nasdaq: VCYT) today reported financial results for the second quarter ended June 30, 2014, and provided an update on business progress. For the second quarter of 2014, revenue was $8.7 million, an increase of 71%, compared to $5.1 million for the second quarter of 2013. Revenue for the six months ended June 30, 2014 was $16.2 million, compared to $9.5 million for the same period in 2013, also an increase of 71%.</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continued to experience robust momentum with our business during the second quarter of 2014,” said Bonnie H. Anderson, Veracyte’s president and chief executive officer. “We are also especially pleased with our strong achievements at the mid-year mark across the core initiatives that form the foundation of our continued growth and future success. These initiatives include the Afirma Gene Expression Classifier’s inclusion in leading guidelines, positive coverage decisions, the launch of our second Afirma product in endocrinology and advancement of our pulmonary pipeline.”</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also announced an agreement to amend terms of its co-promotion agreement with Genzyme Corporation, a Sanofi company, designed to retain the benefits of the co-promotion of two leading industry brands and access to a strong endocrinology sales team, while providing greater financial flexibility to Veracyte. Subject to signing the final amendment, effective January 1, 2015, Veracyte’s co-promotion fees paid to Genzyme will decrease from 32% of Afirma revenue to 15% of Afirma revenue in the United States. Both companies will continue to participate in joint marketing activities, with Veracyte assuming greater responsibility for new-account sales conversion and Genzyme’s sales team focusing on ongoing support of new and existing accounts. The companies also agreed to amend the agreement to optimize their joint presence internationally with a country-by-country decision to co-promote or to revert exclusivity back to Veracyte.</w:t>
      </w:r>
    </w:p>
    <w:p>
      <w:pPr>
        <w:spacing w:after="0" w:line="18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are pleased we have reached agreement to amend the terms of the co-promotion agreement, which we believe will help position Veracyte for long-term profitability and growth. At this point in the Afirma adoption curve, we believe the shift in sales responsibility is particularly critical to continued successful penetration into more complex institutional accounts and integrated health networks, where a dedicated team approach is required,” said Ms. Anderson. “We look forward to our relationship evolving and are committed to its continued success for both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2014 Financial Results</w:t>
      </w:r>
    </w:p>
    <w:p>
      <w:pPr>
        <w:spacing w:after="0" w:line="229" w:lineRule="exact"/>
        <w:rPr>
          <w:sz w:val="20"/>
          <w:szCs w:val="20"/>
          <w:color w:val="auto"/>
        </w:rPr>
      </w:pPr>
    </w:p>
    <w:p>
      <w:pPr>
        <w:ind w:left="980" w:right="60" w:hanging="648"/>
        <w:spacing w:after="0" w:line="258"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for the second quarter of 2014 was $8.7 million, compared to revenue of $5.1 million for the comparable period in 2013, an increase of 71%.</w:t>
      </w:r>
    </w:p>
    <w:p>
      <w:pPr>
        <w:spacing w:after="0" w:line="1" w:lineRule="exact"/>
        <w:rPr>
          <w:rFonts w:ascii="Arial" w:cs="Arial" w:eastAsia="Arial" w:hAnsi="Arial"/>
          <w:sz w:val="18"/>
          <w:szCs w:val="18"/>
          <w:color w:val="auto"/>
        </w:rPr>
      </w:pPr>
    </w:p>
    <w:p>
      <w:pPr>
        <w:ind w:left="98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received 16,458 fine needle aspiration (FNA) samples during the second quarter of 2014, compared to 12,424 FNA samples during the same period in 2013, an increase of 32%.</w:t>
      </w:r>
    </w:p>
    <w:p>
      <w:pPr>
        <w:ind w:left="980" w:right="8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of GEC tests performed continued to be slightly above 22% of FNA samples received during the quarter, reflecting the company’s strong progress with large institutional accounts, which handle initial cytopathology on-site and only submit indeterminate samples for genomic testing.</w:t>
      </w:r>
    </w:p>
    <w:p>
      <w:pPr>
        <w:spacing w:after="0" w:line="1" w:lineRule="exact"/>
        <w:rPr>
          <w:rFonts w:ascii="Arial" w:cs="Arial" w:eastAsia="Arial" w:hAnsi="Arial"/>
          <w:sz w:val="18"/>
          <w:szCs w:val="18"/>
          <w:color w:val="auto"/>
        </w:rPr>
      </w:pP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for the second quarter of 2014 were $15.2 million, compared to $10.5 million for the same period in 2013.</w:t>
      </w:r>
    </w:p>
    <w:p>
      <w:pPr>
        <w:spacing w:after="0" w:line="9" w:lineRule="exact"/>
        <w:rPr>
          <w:rFonts w:ascii="Arial" w:cs="Arial" w:eastAsia="Arial" w:hAnsi="Arial"/>
          <w:sz w:val="18"/>
          <w:szCs w:val="18"/>
          <w:color w:val="auto"/>
        </w:rPr>
      </w:pPr>
    </w:p>
    <w:p>
      <w:pPr>
        <w:ind w:left="980" w:right="40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second quarter of 2014 was $6.7 million, or $0.31 per common share, compared with a net loss of $6.5 million, or $7.53 per common share, for the comparable period in 2013.</w:t>
      </w: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June 30, 2014 totaled $58.0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9" w:lineRule="exact"/>
        <w:rPr>
          <w:sz w:val="20"/>
          <w:szCs w:val="20"/>
          <w:color w:val="auto"/>
        </w:rPr>
      </w:pPr>
    </w:p>
    <w:p>
      <w:pPr>
        <w:ind w:left="980" w:right="260" w:hanging="648"/>
        <w:spacing w:after="0" w:line="258"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Uniquely met, with our Afirma GEC, the proposed inclusion criteria of preliminary American Thyroid Association guidelines for a molecular test to help patients avoid unnecessary surgery following an indeterminate thyroid nodule FNA biopsy result.</w:t>
      </w:r>
    </w:p>
    <w:p>
      <w:pPr>
        <w:spacing w:after="0" w:line="1" w:lineRule="exact"/>
        <w:rPr>
          <w:rFonts w:ascii="Arial" w:cs="Arial" w:eastAsia="Arial" w:hAnsi="Arial"/>
          <w:sz w:val="18"/>
          <w:szCs w:val="18"/>
          <w:color w:val="auto"/>
        </w:rPr>
      </w:pPr>
    </w:p>
    <w:p>
      <w:pPr>
        <w:ind w:left="980" w:right="56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Reached more than 135 million covered lives for the Afirma GEC, including new positive coverage decisions from three Blue Cross Blue Shield-affiliated plans.</w:t>
      </w:r>
    </w:p>
    <w:p>
      <w:pPr>
        <w:ind w:left="980" w:right="44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Gained a positive coverage decision from our first managed-Medicaid plan — AmeriHealth Caritas — an increasingly important avenue of reimbursement for the Afirma GEC.</w:t>
      </w:r>
    </w:p>
    <w:p>
      <w:pPr>
        <w:ind w:left="980" w:right="220" w:hanging="648"/>
        <w:spacing w:after="0" w:line="265"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Launched our Afirma Malignancy Classifiers — comprised of tests for medullary thyroid cancer and to assess BRAF mutational status — and secured New York State regulatory approval, making our comprehensive Afirma solution available to patients nationwide.</w:t>
      </w:r>
    </w:p>
    <w:p>
      <w:pPr>
        <w:ind w:left="980" w:right="40" w:hanging="648"/>
        <w:spacing w:after="0" w:line="261"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strong preliminary data at the American Thoracic Society’s 2014 international conference in May for a molecular classifier to improve early, non-surgical diagnosis of idiopathic pulmonary fibrosis.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Financial Outlook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reiterates its 2014 revenue guidance of $38 million to $43 million. The forecast for the number of FNAs is being revised to a range of 66,000 to 73,000 samples from a range of 76,000 to 83,000 samples. The GEC test rate is expected to come in at the top of the guided range of 20% to 22%, with the number of GEC-only tests higher than expected due to growing adoption by large institutional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Call/Webcast Details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Veracyte will host a conference call and webcast today at 5 p.m. Eastern Time to discuss the company’s financial results and provide a general business update. The webcast and subsequent replay may be accessed by visiting Veracyte’s website at http://investor.veracyte.com. Please connect to the company’s website at least 15 minutes prior to the webcast to ensure adequate time for any necessary software download. Alternatively, please call (855) 541-0980 (U.S.) or (970) 315-0440 (international) to listen to the conference call. The conference ID number for the call is 79445857. Please dial in approximately 10 minutes prior to the call. The webcast will be available on the company’s website approximately two hours following completion of the call for 14 days.</w:t>
      </w:r>
    </w:p>
    <w:p>
      <w:pPr>
        <w:sectPr>
          <w:pgSz w:w="11900" w:h="16874"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Thyroid FNA Analysis, provides a comprehensive approach for assessing thyroid nodules, centered on the proprietary Gene Expression Classifier (GEC) to resolve ambiguity in diagnosis. Each year, of the more than 525,000 thyroid nodule FNAs performed in the U.S., approximately 115,000 patients undergo diagnostic thyroid surgery, with 70% to 80% of nodules proving benign and thus the surgery unnecessary. Veracyte commercially launched Afirma in January 2011. As of June 30, 2014, the company has received nearly 115,000 FNA samples for evaluation using Afirma and has performed over 20,000 GECs to resolve indeterminate cytopathology results. Backed by multiple, peer-reviewed, published studies and included in leading medical guidelines, Afirma is covered by Medicare and major commercial payers, which collectively represent more than 135 million covered lives. Afirma is marketed and sold through a global co-promotion agreement with Genzyme Corporation, a subsidiary of Sanofi. Veracyte intends to expand its molecular cytology franchise to other clinical areas and is in product development for its first product in pulmonology. For more information, please visit www.veracyte.com.</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relating to future FNA volumes and GEC test rates, the expected impact of amendments to the company’s co-promotion agreement with Genzyme and the company’s ability to reach agreement on final terms of such amendment to the co-promotion agreement, the company’s belief that its Afirma solution will give physicians the most comprehensive approach for managing patients with thyroid nodules, the company’s beliefs regarding the benefits of its tests to physicians, patients and payers, the company’s hope that final guidelines will include the use of molecular testing to guide decision-making, the company’s anticipation that the company’s products will fit within the inclusion criteria of the guidelines, and the company’s intent to expand its molecular cytology business into other clinical areas.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our ability to obtain capital when needed; and other risks set forth in the company’s filings with the Securities and Exchange Commission, including the risks set forth in the company’s Quarterly Report on Form 10-Q for the quarter ended March 31, 2014. These forward-looking statements speak only as of the date hereof and Veracyte specifically disclaims any obligation to update these forward-looking statements.</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4,369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7,910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5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(0.63)</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4"/>
              </w:rPr>
              <w:t>Shares used to compute net loss per common share, basic and diluted</w:t>
            </w: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21,237,196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861,839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21,193,014</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812,703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86"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512"/>
              <w:spacing w:after="0" w:line="142" w:lineRule="exact"/>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1,430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3,312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8,539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0" w:firstLine="8"/>
        <w:spacing w:after="0" w:line="2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2013 has been derived from the audited financial statements at that date included in the Company’s Form 10-K filed with the Securities and Exchange Commission dated March 20,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Angeli Kolhatkar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2019-12-07T15:06:35Z</dcterms:created>
  <dcterms:modified xsi:type="dcterms:W3CDTF">2019-12-07T15:06:35Z</dcterms:modified>
</cp:coreProperties>
</file>