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Ho Mark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525"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5"/>
        <w:spacing w:after="0"/>
        <w:rPr>
          <w:sz w:val="20"/>
          <w:szCs w:val="20"/>
          <w:color w:val="auto"/>
        </w:rPr>
      </w:pPr>
      <w:r>
        <w:rPr>
          <w:rFonts w:ascii="Arial" w:cs="Arial" w:eastAsia="Arial" w:hAnsi="Arial"/>
          <w:sz w:val="17"/>
          <w:szCs w:val="17"/>
          <w:color w:val="0000FF"/>
        </w:rPr>
        <w:t>Principal Accounting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26.01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25,472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65 and 87 shares of common stock to satisfy the reporting person's tax withholding obligations in connection with the vesting of 187 and 250 Restricted Stock Units, respectively, granted on March 2, 2018 and February 28, 2019, respectively,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5416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2020-06-04T15:14:11Z</dcterms:created>
  <dcterms:modified xsi:type="dcterms:W3CDTF">2020-06-04T15:14:11Z</dcterms:modified>
</cp:coreProperties>
</file>