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22, 2021</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7" w:lineRule="exact"/>
        <w:rPr>
          <w:sz w:val="24"/>
          <w:szCs w:val="24"/>
          <w:color w:val="auto"/>
        </w:rPr>
      </w:pPr>
    </w:p>
    <w:p>
      <w:pPr>
        <w:jc w:val="center"/>
        <w:ind w:lef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5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340" w:space="720"/>
            <w:col w:w="3460"/>
          </w:cols>
          <w:pgMar w:left="320" w:top="607" w:right="339" w:bottom="1440" w:gutter="0" w:footer="0" w:header="0"/>
          <w:type w:val="continuous"/>
        </w:sectPr>
      </w:pP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00" w:space="720"/>
            <w:col w:w="2620"/>
          </w:cols>
          <w:pgMar w:left="320" w:top="607"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40" w:firstLine="5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00" w:hanging="706"/>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VCYT</w:t>
            </w:r>
          </w:p>
        </w:tc>
        <w:tc>
          <w:tcPr>
            <w:tcW w:w="20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left="140" w:right="120" w:firstLine="405"/>
        <w:spacing w:after="0" w:line="257" w:lineRule="auto"/>
        <w:rPr>
          <w:sz w:val="20"/>
          <w:szCs w:val="20"/>
          <w:color w:val="auto"/>
        </w:rPr>
      </w:pPr>
      <w:r>
        <w:rPr>
          <w:rFonts w:ascii="Arial" w:cs="Arial" w:eastAsia="Arial" w:hAnsi="Arial"/>
          <w:sz w:val="18"/>
          <w:szCs w:val="18"/>
          <w:color w:val="auto"/>
        </w:rPr>
        <w:t>On January 22, 2021, the Board of Directors (the “Board”) of Veracyte, Inc. (“Veracyte”) amended and restated Veracyte’s bylaws (the “Amended and Restated Bylaws”) to implement majority voting in uncontested elections of directors and plurality voting in contested elections, commencing with Veracyte’s 2022 annual meeting of stockholders (the “2022 Annual Meeting”). Commencing with the 2022 Annual Meeting, in uncontested elections a nominee for director shall be elected to the Board if the number of votes cast “for” such nominee’s election exceed the number of votes cast “against” such nominee’s election.</w:t>
      </w:r>
    </w:p>
    <w:p>
      <w:pPr>
        <w:spacing w:after="0" w:line="188" w:lineRule="exact"/>
        <w:rPr>
          <w:sz w:val="20"/>
          <w:szCs w:val="20"/>
          <w:color w:val="auto"/>
        </w:rPr>
      </w:pPr>
    </w:p>
    <w:p>
      <w:pPr>
        <w:jc w:val="both"/>
        <w:ind w:left="140" w:right="140" w:firstLine="405"/>
        <w:spacing w:after="0" w:line="254" w:lineRule="auto"/>
        <w:rPr>
          <w:sz w:val="20"/>
          <w:szCs w:val="20"/>
          <w:color w:val="auto"/>
        </w:rPr>
      </w:pPr>
      <w:r>
        <w:rPr>
          <w:rFonts w:ascii="Arial" w:cs="Arial" w:eastAsia="Arial" w:hAnsi="Arial"/>
          <w:sz w:val="18"/>
          <w:szCs w:val="18"/>
          <w:color w:val="auto"/>
        </w:rPr>
        <w:t>In addition, the Board approved a director resignation policy to provide that commencing with the 2022 Annual Meeting, the Board shall nominate for election or reelection as director only those candidates who tender an irrevocable resignation that will be effective upon (i) the failure to receive the required vote at a meeting of the stockholders at which such director faces election or reelection and (ii) Board acceptance of such resignation. If the director nominee fails to receive a sufficient number of votes for reelection at the meeting, the Nominating and Corporate Governance Committee will recommend to the Board whether to accept or reject the resignation, or whether other action should be taken. The Board will act on the Nominating and Corporate Governance Committee’s recommendation within 90 days from the date of the certification of the election results.</w:t>
      </w:r>
    </w:p>
    <w:p>
      <w:pPr>
        <w:spacing w:after="0" w:line="195" w:lineRule="exact"/>
        <w:rPr>
          <w:sz w:val="20"/>
          <w:szCs w:val="20"/>
          <w:color w:val="auto"/>
        </w:rPr>
      </w:pPr>
    </w:p>
    <w:p>
      <w:pPr>
        <w:jc w:val="both"/>
        <w:ind w:left="140" w:right="140" w:firstLine="405"/>
        <w:spacing w:after="0" w:line="263" w:lineRule="auto"/>
        <w:rPr>
          <w:sz w:val="20"/>
          <w:szCs w:val="20"/>
          <w:color w:val="auto"/>
        </w:rPr>
      </w:pPr>
      <w:r>
        <w:rPr>
          <w:rFonts w:ascii="Arial" w:cs="Arial" w:eastAsia="Arial" w:hAnsi="Arial"/>
          <w:sz w:val="18"/>
          <w:szCs w:val="18"/>
          <w:color w:val="auto"/>
        </w:rPr>
        <w:t>The foregoing summary and description of the provisions of the Amended and Restated Bylaws does not purport to be complete and is qualified in its entirety by reference to the full text of the Amended and Restated Bylaws, a copy of which is filed as Exhibit 3.1 with this Current Report on Form 8-K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Exhibit No.</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1"/>
        </w:trPr>
        <w:tc>
          <w:tcPr>
            <w:tcW w:w="1400" w:type="dxa"/>
            <w:vAlign w:val="bottom"/>
          </w:tcPr>
          <w:p>
            <w:pPr>
              <w:jc w:val="center"/>
              <w:ind w:right="47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3.1</w:t>
              </w:r>
            </w:hyperlink>
          </w:p>
        </w:tc>
        <w:tc>
          <w:tcPr>
            <w:tcW w:w="952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Amended and Restated Bylaws</w:t>
              </w:r>
            </w:hyperlink>
          </w:p>
        </w:tc>
        <w:tc>
          <w:tcPr>
            <w:tcW w:w="320" w:type="dxa"/>
            <w:vAlign w:val="bottom"/>
          </w:tcPr>
          <w:p>
            <w:pPr>
              <w:spacing w:after="0"/>
              <w:rPr>
                <w:sz w:val="24"/>
                <w:szCs w:val="24"/>
                <w:color w:val="auto"/>
              </w:rPr>
            </w:pPr>
          </w:p>
        </w:tc>
      </w:tr>
      <w:tr>
        <w:trPr>
          <w:trHeight w:val="230"/>
        </w:trPr>
        <w:tc>
          <w:tcPr>
            <w:tcW w:w="140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9520" w:type="dxa"/>
            <w:vAlign w:val="bottom"/>
            <w:gridSpan w:val="2"/>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20" w:type="dxa"/>
            <w:vAlign w:val="bottom"/>
          </w:tcPr>
          <w:p>
            <w:pPr>
              <w:spacing w:after="0"/>
              <w:rPr>
                <w:sz w:val="20"/>
                <w:szCs w:val="20"/>
                <w:color w:val="auto"/>
              </w:rPr>
            </w:pPr>
          </w:p>
        </w:tc>
      </w:tr>
      <w:tr>
        <w:trPr>
          <w:trHeight w:val="790"/>
        </w:trPr>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22, 2021</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Kennedy</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Keith Kennedy</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30"/>
        </w:trPr>
        <w:tc>
          <w:tcPr>
            <w:tcW w:w="900" w:type="dxa"/>
            <w:vAlign w:val="bottom"/>
          </w:tcPr>
          <w:p>
            <w:pPr>
              <w:spacing w:after="0"/>
              <w:rPr>
                <w:sz w:val="20"/>
                <w:szCs w:val="20"/>
                <w:color w:val="auto"/>
              </w:rPr>
            </w:pPr>
          </w:p>
        </w:tc>
        <w:tc>
          <w:tcPr>
            <w:tcW w:w="448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AMENDED AND RESTATED</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VERACYTE,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jc w:val="right"/>
        <w:ind w:right="38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Page</w:t>
      </w:r>
    </w:p>
    <w:p>
      <w:pPr>
        <w:spacing w:after="0" w:line="211" w:lineRule="exact"/>
        <w:rPr>
          <w:sz w:val="20"/>
          <w:szCs w:val="20"/>
          <w:color w:val="auto"/>
        </w:rPr>
      </w:pPr>
    </w:p>
    <w:p>
      <w:pPr>
        <w:spacing w:after="0"/>
        <w:tabs>
          <w:tab w:leader="none" w:pos="1040" w:val="left"/>
          <w:tab w:leader="dot" w:pos="5140" w:val="left"/>
        </w:tabs>
        <w:rPr>
          <w:sz w:val="20"/>
          <w:szCs w:val="20"/>
          <w:color w:val="auto"/>
        </w:rPr>
      </w:pPr>
      <w:r>
        <w:rPr>
          <w:rFonts w:ascii="Arial" w:cs="Arial" w:eastAsia="Arial" w:hAnsi="Arial"/>
          <w:sz w:val="18"/>
          <w:szCs w:val="18"/>
          <w:color w:val="auto"/>
        </w:rPr>
        <w:t>ARTICLE 1</w:t>
        <w:tab/>
        <w:t>OFFICES</w:t>
      </w:r>
      <w:r>
        <w:rPr>
          <w:sz w:val="20"/>
          <w:szCs w:val="20"/>
          <w:color w:val="auto"/>
        </w:rPr>
        <w:tab/>
      </w:r>
      <w:r>
        <w:rPr>
          <w:rFonts w:ascii="Arial" w:cs="Arial" w:eastAsia="Arial" w:hAnsi="Arial"/>
          <w:sz w:val="13"/>
          <w:szCs w:val="13"/>
          <w:color w:val="auto"/>
        </w:rPr>
        <w:t>1</w:t>
      </w:r>
    </w:p>
    <w:p>
      <w:pPr>
        <w:spacing w:after="0" w:line="23" w:lineRule="exact"/>
        <w:rPr>
          <w:sz w:val="20"/>
          <w:szCs w:val="20"/>
          <w:color w:val="auto"/>
        </w:rPr>
      </w:pPr>
    </w:p>
    <w:p>
      <w:pPr>
        <w:ind w:left="640"/>
        <w:spacing w:after="0"/>
        <w:tabs>
          <w:tab w:leader="none" w:pos="1160" w:val="left"/>
          <w:tab w:leader="dot" w:pos="5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Registered Office</w:t>
      </w:r>
      <w:r>
        <w:rPr>
          <w:sz w:val="20"/>
          <w:szCs w:val="20"/>
          <w:color w:val="auto"/>
        </w:rPr>
        <w:tab/>
      </w:r>
      <w:r>
        <w:rPr>
          <w:rFonts w:ascii="Arial" w:cs="Arial" w:eastAsia="Arial" w:hAnsi="Arial"/>
          <w:sz w:val="13"/>
          <w:szCs w:val="13"/>
          <w:color w:val="auto"/>
        </w:rPr>
        <w:t>1</w:t>
      </w:r>
    </w:p>
    <w:p>
      <w:pPr>
        <w:spacing w:after="0" w:line="9" w:lineRule="exact"/>
        <w:rPr>
          <w:sz w:val="20"/>
          <w:szCs w:val="20"/>
          <w:color w:val="auto"/>
        </w:rPr>
      </w:pPr>
    </w:p>
    <w:p>
      <w:pPr>
        <w:ind w:left="640"/>
        <w:spacing w:after="0"/>
        <w:tabs>
          <w:tab w:leader="none" w:pos="1160" w:val="left"/>
          <w:tab w:leader="dot" w:pos="51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Other Offices</w:t>
      </w:r>
      <w:r>
        <w:rPr>
          <w:sz w:val="20"/>
          <w:szCs w:val="20"/>
          <w:color w:val="auto"/>
        </w:rPr>
        <w:tab/>
      </w:r>
      <w:r>
        <w:rPr>
          <w:rFonts w:ascii="Arial" w:cs="Arial" w:eastAsia="Arial" w:hAnsi="Arial"/>
          <w:sz w:val="13"/>
          <w:szCs w:val="13"/>
          <w:color w:val="auto"/>
        </w:rPr>
        <w:t>1</w:t>
      </w:r>
    </w:p>
    <w:p>
      <w:pPr>
        <w:spacing w:after="0" w:line="9" w:lineRule="exact"/>
        <w:rPr>
          <w:sz w:val="20"/>
          <w:szCs w:val="20"/>
          <w:color w:val="auto"/>
        </w:rPr>
      </w:pPr>
    </w:p>
    <w:p>
      <w:pPr>
        <w:spacing w:after="0"/>
        <w:tabs>
          <w:tab w:leader="none" w:pos="1040" w:val="left"/>
          <w:tab w:leader="dot" w:pos="5120" w:val="left"/>
        </w:tabs>
        <w:rPr>
          <w:sz w:val="20"/>
          <w:szCs w:val="20"/>
          <w:color w:val="auto"/>
        </w:rPr>
      </w:pPr>
      <w:r>
        <w:rPr>
          <w:rFonts w:ascii="Arial" w:cs="Arial" w:eastAsia="Arial" w:hAnsi="Arial"/>
          <w:sz w:val="18"/>
          <w:szCs w:val="18"/>
          <w:color w:val="auto"/>
        </w:rPr>
        <w:t>ARTICLE 2</w:t>
        <w:tab/>
        <w:t>MEETING OF STOCKHOLDERS</w:t>
      </w:r>
      <w:r>
        <w:rPr>
          <w:sz w:val="20"/>
          <w:szCs w:val="20"/>
          <w:color w:val="auto"/>
        </w:rPr>
        <w:tab/>
      </w:r>
      <w:r>
        <w:rPr>
          <w:rFonts w:ascii="Arial" w:cs="Arial" w:eastAsia="Arial" w:hAnsi="Arial"/>
          <w:sz w:val="13"/>
          <w:szCs w:val="13"/>
          <w:color w:val="auto"/>
        </w:rPr>
        <w:t>1</w:t>
      </w:r>
    </w:p>
    <w:p>
      <w:pPr>
        <w:spacing w:after="0" w:line="9" w:lineRule="exact"/>
        <w:rPr>
          <w:sz w:val="20"/>
          <w:szCs w:val="20"/>
          <w:color w:val="auto"/>
        </w:rPr>
      </w:pPr>
    </w:p>
    <w:p>
      <w:pPr>
        <w:ind w:left="640"/>
        <w:spacing w:after="0"/>
        <w:tabs>
          <w:tab w:leader="none" w:pos="1160" w:val="left"/>
          <w:tab w:leader="dot" w:pos="5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Place of Meeting</w:t>
      </w:r>
      <w:r>
        <w:rPr>
          <w:sz w:val="20"/>
          <w:szCs w:val="20"/>
          <w:color w:val="auto"/>
        </w:rPr>
        <w:tab/>
      </w:r>
      <w:r>
        <w:rPr>
          <w:rFonts w:ascii="Arial" w:cs="Arial" w:eastAsia="Arial" w:hAnsi="Arial"/>
          <w:sz w:val="13"/>
          <w:szCs w:val="13"/>
          <w:color w:val="auto"/>
        </w:rPr>
        <w:t>1</w:t>
      </w:r>
    </w:p>
    <w:p>
      <w:pPr>
        <w:spacing w:after="0" w:line="9" w:lineRule="exact"/>
        <w:rPr>
          <w:sz w:val="20"/>
          <w:szCs w:val="20"/>
          <w:color w:val="auto"/>
        </w:rPr>
      </w:pPr>
    </w:p>
    <w:p>
      <w:pPr>
        <w:ind w:left="640"/>
        <w:spacing w:after="0"/>
        <w:tabs>
          <w:tab w:leader="none" w:pos="1160" w:val="left"/>
          <w:tab w:leader="dot" w:pos="51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Annual Meeting</w:t>
      </w:r>
      <w:r>
        <w:rPr>
          <w:sz w:val="20"/>
          <w:szCs w:val="20"/>
          <w:color w:val="auto"/>
        </w:rPr>
        <w:tab/>
      </w:r>
      <w:r>
        <w:rPr>
          <w:rFonts w:ascii="Arial" w:cs="Arial" w:eastAsia="Arial" w:hAnsi="Arial"/>
          <w:sz w:val="17"/>
          <w:szCs w:val="17"/>
          <w:color w:val="auto"/>
        </w:rPr>
        <w:t>1</w:t>
      </w:r>
    </w:p>
    <w:p>
      <w:pPr>
        <w:spacing w:after="0" w:line="9" w:lineRule="exact"/>
        <w:rPr>
          <w:sz w:val="20"/>
          <w:szCs w:val="20"/>
          <w:color w:val="auto"/>
        </w:rPr>
      </w:pPr>
    </w:p>
    <w:p>
      <w:pPr>
        <w:ind w:left="640"/>
        <w:spacing w:after="0"/>
        <w:tabs>
          <w:tab w:leader="none" w:pos="1160" w:val="left"/>
          <w:tab w:leader="dot" w:pos="51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Special Meetings</w:t>
      </w:r>
      <w:r>
        <w:rPr>
          <w:sz w:val="20"/>
          <w:szCs w:val="20"/>
          <w:color w:val="auto"/>
        </w:rPr>
        <w:tab/>
      </w:r>
      <w:r>
        <w:rPr>
          <w:rFonts w:ascii="Arial" w:cs="Arial" w:eastAsia="Arial" w:hAnsi="Arial"/>
          <w:sz w:val="17"/>
          <w:szCs w:val="17"/>
          <w:color w:val="auto"/>
        </w:rPr>
        <w:t>4</w:t>
      </w:r>
    </w:p>
    <w:p>
      <w:pPr>
        <w:spacing w:after="0" w:line="9" w:lineRule="exact"/>
        <w:rPr>
          <w:sz w:val="20"/>
          <w:szCs w:val="20"/>
          <w:color w:val="auto"/>
        </w:rPr>
      </w:pPr>
    </w:p>
    <w:p>
      <w:pPr>
        <w:ind w:left="640"/>
        <w:spacing w:after="0"/>
        <w:tabs>
          <w:tab w:leader="none" w:pos="1160" w:val="left"/>
          <w:tab w:leader="dot" w:pos="51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Notice of Meetings</w:t>
      </w:r>
      <w:r>
        <w:rPr>
          <w:sz w:val="20"/>
          <w:szCs w:val="20"/>
          <w:color w:val="auto"/>
        </w:rPr>
        <w:tab/>
      </w:r>
      <w:r>
        <w:rPr>
          <w:rFonts w:ascii="Arial" w:cs="Arial" w:eastAsia="Arial" w:hAnsi="Arial"/>
          <w:sz w:val="13"/>
          <w:szCs w:val="13"/>
          <w:color w:val="auto"/>
        </w:rPr>
        <w:t>4</w:t>
      </w:r>
    </w:p>
    <w:p>
      <w:pPr>
        <w:spacing w:after="0" w:line="9" w:lineRule="exact"/>
        <w:rPr>
          <w:sz w:val="20"/>
          <w:szCs w:val="20"/>
          <w:color w:val="auto"/>
        </w:rPr>
      </w:pPr>
    </w:p>
    <w:p>
      <w:pPr>
        <w:ind w:left="640"/>
        <w:spacing w:after="0"/>
        <w:tabs>
          <w:tab w:leader="none" w:pos="1160" w:val="left"/>
          <w:tab w:leader="dot" w:pos="5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List of Stockholders</w:t>
      </w:r>
      <w:r>
        <w:rPr>
          <w:sz w:val="20"/>
          <w:szCs w:val="20"/>
          <w:color w:val="auto"/>
        </w:rPr>
        <w:tab/>
      </w:r>
      <w:r>
        <w:rPr>
          <w:rFonts w:ascii="Arial" w:cs="Arial" w:eastAsia="Arial" w:hAnsi="Arial"/>
          <w:sz w:val="17"/>
          <w:szCs w:val="17"/>
          <w:color w:val="auto"/>
        </w:rPr>
        <w:t>4</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Organization and Conduct of Business</w:t>
      </w:r>
      <w:r>
        <w:rPr>
          <w:sz w:val="20"/>
          <w:szCs w:val="20"/>
          <w:color w:val="auto"/>
        </w:rPr>
        <w:tab/>
      </w:r>
      <w:r>
        <w:rPr>
          <w:rFonts w:ascii="Arial" w:cs="Arial" w:eastAsia="Arial" w:hAnsi="Arial"/>
          <w:sz w:val="13"/>
          <w:szCs w:val="13"/>
          <w:color w:val="auto"/>
        </w:rPr>
        <w:t>5</w:t>
      </w:r>
    </w:p>
    <w:p>
      <w:pPr>
        <w:spacing w:after="0" w:line="9" w:lineRule="exact"/>
        <w:rPr>
          <w:sz w:val="20"/>
          <w:szCs w:val="20"/>
          <w:color w:val="auto"/>
        </w:rPr>
      </w:pPr>
    </w:p>
    <w:p>
      <w:pPr>
        <w:ind w:left="640"/>
        <w:spacing w:after="0"/>
        <w:tabs>
          <w:tab w:leader="none" w:pos="1160" w:val="left"/>
          <w:tab w:leader="dot" w:pos="51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Quorum</w:t>
      </w:r>
      <w:r>
        <w:rPr>
          <w:sz w:val="20"/>
          <w:szCs w:val="20"/>
          <w:color w:val="auto"/>
        </w:rPr>
        <w:tab/>
      </w:r>
      <w:r>
        <w:rPr>
          <w:rFonts w:ascii="Arial" w:cs="Arial" w:eastAsia="Arial" w:hAnsi="Arial"/>
          <w:sz w:val="13"/>
          <w:szCs w:val="13"/>
          <w:color w:val="auto"/>
        </w:rPr>
        <w:t>5</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Adjournments</w:t>
      </w:r>
      <w:r>
        <w:rPr>
          <w:sz w:val="20"/>
          <w:szCs w:val="20"/>
          <w:color w:val="auto"/>
        </w:rPr>
        <w:tab/>
      </w:r>
      <w:r>
        <w:rPr>
          <w:rFonts w:ascii="Arial" w:cs="Arial" w:eastAsia="Arial" w:hAnsi="Arial"/>
          <w:sz w:val="17"/>
          <w:szCs w:val="17"/>
          <w:color w:val="auto"/>
        </w:rPr>
        <w:t>5</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5</w:t>
      </w:r>
    </w:p>
    <w:p>
      <w:pPr>
        <w:spacing w:after="0" w:line="9" w:lineRule="exact"/>
        <w:rPr>
          <w:sz w:val="20"/>
          <w:szCs w:val="20"/>
          <w:color w:val="auto"/>
        </w:rPr>
      </w:pPr>
    </w:p>
    <w:p>
      <w:pPr>
        <w:ind w:left="640"/>
        <w:spacing w:after="0"/>
        <w:tabs>
          <w:tab w:leader="none" w:pos="1160" w:val="left"/>
          <w:tab w:leader="dot" w:pos="5140" w:val="left"/>
        </w:tabs>
        <w:rPr>
          <w:sz w:val="20"/>
          <w:szCs w:val="20"/>
          <w:color w:val="auto"/>
        </w:rPr>
      </w:pPr>
      <w:r>
        <w:rPr>
          <w:rFonts w:ascii="Arial" w:cs="Arial" w:eastAsia="Arial" w:hAnsi="Arial"/>
          <w:sz w:val="18"/>
          <w:szCs w:val="18"/>
          <w:color w:val="auto"/>
        </w:rPr>
        <w:t>2.10</w:t>
        <w:tab/>
        <w:t>Action at Meetings</w:t>
      </w:r>
      <w:r>
        <w:rPr>
          <w:sz w:val="20"/>
          <w:szCs w:val="20"/>
          <w:color w:val="auto"/>
        </w:rPr>
        <w:tab/>
      </w:r>
      <w:r>
        <w:rPr>
          <w:rFonts w:ascii="Arial" w:cs="Arial" w:eastAsia="Arial" w:hAnsi="Arial"/>
          <w:sz w:val="17"/>
          <w:szCs w:val="17"/>
          <w:color w:val="auto"/>
        </w:rPr>
        <w:t>5</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2.11</w:t>
        <w:tab/>
        <w:t>Record Date for Stockholder Notice and Voting</w:t>
      </w:r>
      <w:r>
        <w:rPr>
          <w:sz w:val="20"/>
          <w:szCs w:val="20"/>
          <w:color w:val="auto"/>
        </w:rPr>
        <w:tab/>
      </w:r>
      <w:r>
        <w:rPr>
          <w:rFonts w:ascii="Arial" w:cs="Arial" w:eastAsia="Arial" w:hAnsi="Arial"/>
          <w:sz w:val="17"/>
          <w:szCs w:val="17"/>
          <w:color w:val="auto"/>
        </w:rPr>
        <w:t>6</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2.12</w:t>
        <w:tab/>
        <w:t>Proxies</w:t>
      </w:r>
      <w:r>
        <w:rPr>
          <w:sz w:val="20"/>
          <w:szCs w:val="20"/>
          <w:color w:val="auto"/>
        </w:rPr>
        <w:tab/>
      </w:r>
      <w:r>
        <w:rPr>
          <w:rFonts w:ascii="Arial" w:cs="Arial" w:eastAsia="Arial" w:hAnsi="Arial"/>
          <w:sz w:val="17"/>
          <w:szCs w:val="17"/>
          <w:color w:val="auto"/>
        </w:rPr>
        <w:t>6</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2.13</w:t>
        <w:tab/>
        <w:t>Inspectors of Election</w:t>
      </w:r>
      <w:r>
        <w:rPr>
          <w:sz w:val="20"/>
          <w:szCs w:val="20"/>
          <w:color w:val="auto"/>
        </w:rPr>
        <w:tab/>
      </w:r>
      <w:r>
        <w:rPr>
          <w:rFonts w:ascii="Arial" w:cs="Arial" w:eastAsia="Arial" w:hAnsi="Arial"/>
          <w:sz w:val="17"/>
          <w:szCs w:val="17"/>
          <w:color w:val="auto"/>
        </w:rPr>
        <w:t>7</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2.14</w:t>
        <w:tab/>
        <w:t>Action Without a Meeting</w:t>
      </w:r>
      <w:r>
        <w:rPr>
          <w:sz w:val="20"/>
          <w:szCs w:val="20"/>
          <w:color w:val="auto"/>
        </w:rPr>
        <w:tab/>
      </w:r>
      <w:r>
        <w:rPr>
          <w:rFonts w:ascii="Arial" w:cs="Arial" w:eastAsia="Arial" w:hAnsi="Arial"/>
          <w:sz w:val="17"/>
          <w:szCs w:val="17"/>
          <w:color w:val="auto"/>
        </w:rPr>
        <w:t>7</w:t>
      </w:r>
    </w:p>
    <w:p>
      <w:pPr>
        <w:spacing w:after="0" w:line="211" w:lineRule="exact"/>
        <w:rPr>
          <w:sz w:val="20"/>
          <w:szCs w:val="20"/>
          <w:color w:val="auto"/>
        </w:rPr>
      </w:pPr>
    </w:p>
    <w:p>
      <w:pPr>
        <w:spacing w:after="0"/>
        <w:tabs>
          <w:tab w:leader="none" w:pos="1040" w:val="left"/>
          <w:tab w:leader="dot" w:pos="5180" w:val="left"/>
        </w:tabs>
        <w:rPr>
          <w:sz w:val="20"/>
          <w:szCs w:val="20"/>
          <w:color w:val="auto"/>
        </w:rPr>
      </w:pPr>
      <w:r>
        <w:rPr>
          <w:rFonts w:ascii="Arial" w:cs="Arial" w:eastAsia="Arial" w:hAnsi="Arial"/>
          <w:sz w:val="18"/>
          <w:szCs w:val="18"/>
          <w:color w:val="auto"/>
        </w:rPr>
        <w:t>ARTICLE 3</w:t>
        <w:tab/>
        <w:t>DIRECTORS</w:t>
      </w:r>
      <w:r>
        <w:rPr>
          <w:sz w:val="20"/>
          <w:szCs w:val="20"/>
          <w:color w:val="auto"/>
        </w:rPr>
        <w:tab/>
      </w:r>
      <w:r>
        <w:rPr>
          <w:rFonts w:ascii="Arial" w:cs="Arial" w:eastAsia="Arial" w:hAnsi="Arial"/>
          <w:sz w:val="17"/>
          <w:szCs w:val="17"/>
          <w:color w:val="auto"/>
        </w:rPr>
        <w:t>7</w:t>
      </w:r>
    </w:p>
    <w:p>
      <w:pPr>
        <w:spacing w:after="0" w:line="23" w:lineRule="exact"/>
        <w:rPr>
          <w:sz w:val="20"/>
          <w:szCs w:val="20"/>
          <w:color w:val="auto"/>
        </w:rPr>
      </w:pPr>
    </w:p>
    <w:p>
      <w:pPr>
        <w:ind w:left="640"/>
        <w:spacing w:after="0"/>
        <w:tabs>
          <w:tab w:leader="none" w:pos="1160" w:val="left"/>
          <w:tab w:leader="dot" w:pos="5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Number, Election, Tenure and Qualifications</w:t>
      </w:r>
      <w:r>
        <w:rPr>
          <w:sz w:val="20"/>
          <w:szCs w:val="20"/>
          <w:color w:val="auto"/>
        </w:rPr>
        <w:tab/>
      </w:r>
      <w:r>
        <w:rPr>
          <w:rFonts w:ascii="Arial" w:cs="Arial" w:eastAsia="Arial" w:hAnsi="Arial"/>
          <w:sz w:val="13"/>
          <w:szCs w:val="13"/>
          <w:color w:val="auto"/>
        </w:rPr>
        <w:t>7</w:t>
      </w:r>
    </w:p>
    <w:p>
      <w:pPr>
        <w:spacing w:after="0" w:line="9" w:lineRule="exact"/>
        <w:rPr>
          <w:sz w:val="20"/>
          <w:szCs w:val="20"/>
          <w:color w:val="auto"/>
        </w:rPr>
      </w:pPr>
    </w:p>
    <w:p>
      <w:pPr>
        <w:ind w:left="640"/>
        <w:spacing w:after="0"/>
        <w:tabs>
          <w:tab w:leader="none" w:pos="1160" w:val="left"/>
          <w:tab w:leader="dot" w:pos="5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Enlargement and Vacancies</w:t>
      </w:r>
      <w:r>
        <w:rPr>
          <w:sz w:val="20"/>
          <w:szCs w:val="20"/>
          <w:color w:val="auto"/>
        </w:rPr>
        <w:tab/>
      </w:r>
      <w:r>
        <w:rPr>
          <w:rFonts w:ascii="Arial" w:cs="Arial" w:eastAsia="Arial" w:hAnsi="Arial"/>
          <w:sz w:val="16"/>
          <w:szCs w:val="16"/>
          <w:color w:val="auto"/>
        </w:rPr>
        <w:t>10</w:t>
      </w:r>
    </w:p>
    <w:p>
      <w:pPr>
        <w:spacing w:after="0" w:line="9" w:lineRule="exact"/>
        <w:rPr>
          <w:sz w:val="20"/>
          <w:szCs w:val="20"/>
          <w:color w:val="auto"/>
        </w:rPr>
      </w:pPr>
    </w:p>
    <w:p>
      <w:pPr>
        <w:ind w:left="640"/>
        <w:spacing w:after="0"/>
        <w:tabs>
          <w:tab w:leader="none" w:pos="1160" w:val="left"/>
          <w:tab w:leader="dot" w:pos="5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Resignation and Removal</w:t>
      </w:r>
      <w:r>
        <w:rPr>
          <w:sz w:val="20"/>
          <w:szCs w:val="20"/>
          <w:color w:val="auto"/>
        </w:rPr>
        <w:tab/>
      </w:r>
      <w:r>
        <w:rPr>
          <w:rFonts w:ascii="Arial" w:cs="Arial" w:eastAsia="Arial" w:hAnsi="Arial"/>
          <w:sz w:val="16"/>
          <w:szCs w:val="16"/>
          <w:color w:val="auto"/>
        </w:rPr>
        <w:t>10</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Powers</w:t>
      </w:r>
      <w:r>
        <w:rPr>
          <w:sz w:val="20"/>
          <w:szCs w:val="20"/>
          <w:color w:val="auto"/>
        </w:rPr>
        <w:tab/>
      </w:r>
      <w:r>
        <w:rPr>
          <w:rFonts w:ascii="Arial" w:cs="Arial" w:eastAsia="Arial" w:hAnsi="Arial"/>
          <w:sz w:val="16"/>
          <w:szCs w:val="16"/>
          <w:color w:val="auto"/>
        </w:rPr>
        <w:t>10</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Chairman of the Board</w:t>
      </w:r>
      <w:r>
        <w:rPr>
          <w:sz w:val="20"/>
          <w:szCs w:val="20"/>
          <w:color w:val="auto"/>
        </w:rPr>
        <w:tab/>
      </w:r>
      <w:r>
        <w:rPr>
          <w:rFonts w:ascii="Arial" w:cs="Arial" w:eastAsia="Arial" w:hAnsi="Arial"/>
          <w:sz w:val="13"/>
          <w:szCs w:val="13"/>
          <w:color w:val="auto"/>
        </w:rPr>
        <w:t>11</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Place of Meetings</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40"/>
        <w:spacing w:after="0"/>
        <w:tabs>
          <w:tab w:leader="none" w:pos="1160" w:val="left"/>
          <w:tab w:leader="dot" w:pos="51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Annual Meetings</w:t>
      </w:r>
      <w:r>
        <w:rPr>
          <w:sz w:val="20"/>
          <w:szCs w:val="20"/>
          <w:color w:val="auto"/>
        </w:rPr>
        <w:tab/>
      </w:r>
      <w:r>
        <w:rPr>
          <w:rFonts w:ascii="Arial" w:cs="Arial" w:eastAsia="Arial" w:hAnsi="Arial"/>
          <w:sz w:val="13"/>
          <w:szCs w:val="13"/>
          <w:color w:val="auto"/>
        </w:rPr>
        <w:t>11</w:t>
      </w:r>
    </w:p>
    <w:p>
      <w:pPr>
        <w:spacing w:after="0" w:line="9" w:lineRule="exact"/>
        <w:rPr>
          <w:sz w:val="20"/>
          <w:szCs w:val="20"/>
          <w:color w:val="auto"/>
        </w:rPr>
      </w:pPr>
    </w:p>
    <w:p>
      <w:pPr>
        <w:ind w:left="640"/>
        <w:spacing w:after="0"/>
        <w:tabs>
          <w:tab w:leader="none" w:pos="1160" w:val="left"/>
          <w:tab w:leader="dot" w:pos="51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Regular Meetings</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40"/>
        <w:spacing w:after="0"/>
        <w:tabs>
          <w:tab w:leader="none" w:pos="1160" w:val="left"/>
          <w:tab w:leader="dot" w:pos="52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Special Meetings</w:t>
      </w:r>
      <w:r>
        <w:rPr>
          <w:sz w:val="20"/>
          <w:szCs w:val="20"/>
          <w:color w:val="auto"/>
        </w:rPr>
        <w:tab/>
      </w:r>
      <w:r>
        <w:rPr>
          <w:rFonts w:ascii="Arial" w:cs="Arial" w:eastAsia="Arial" w:hAnsi="Arial"/>
          <w:sz w:val="13"/>
          <w:szCs w:val="13"/>
          <w:color w:val="auto"/>
        </w:rPr>
        <w:t>11</w:t>
      </w:r>
    </w:p>
    <w:p>
      <w:pPr>
        <w:spacing w:after="0" w:line="9" w:lineRule="exact"/>
        <w:rPr>
          <w:sz w:val="20"/>
          <w:szCs w:val="20"/>
          <w:color w:val="auto"/>
        </w:rPr>
      </w:pPr>
    </w:p>
    <w:p>
      <w:pPr>
        <w:ind w:left="640"/>
        <w:spacing w:after="0"/>
        <w:tabs>
          <w:tab w:leader="none" w:pos="1160" w:val="left"/>
          <w:tab w:leader="dot" w:pos="5220" w:val="left"/>
        </w:tabs>
        <w:rPr>
          <w:sz w:val="20"/>
          <w:szCs w:val="20"/>
          <w:color w:val="auto"/>
        </w:rPr>
      </w:pPr>
      <w:r>
        <w:rPr>
          <w:rFonts w:ascii="Arial" w:cs="Arial" w:eastAsia="Arial" w:hAnsi="Arial"/>
          <w:sz w:val="18"/>
          <w:szCs w:val="18"/>
          <w:color w:val="auto"/>
        </w:rPr>
        <w:t>3.10</w:t>
        <w:tab/>
        <w:t>Quorum, Action at Meeting, Adjournments</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40"/>
        <w:spacing w:after="0"/>
        <w:tabs>
          <w:tab w:leader="none" w:pos="1160" w:val="left"/>
          <w:tab w:leader="dot" w:pos="5220" w:val="left"/>
        </w:tabs>
        <w:rPr>
          <w:sz w:val="20"/>
          <w:szCs w:val="20"/>
          <w:color w:val="auto"/>
        </w:rPr>
      </w:pPr>
      <w:r>
        <w:rPr>
          <w:rFonts w:ascii="Arial" w:cs="Arial" w:eastAsia="Arial" w:hAnsi="Arial"/>
          <w:sz w:val="18"/>
          <w:szCs w:val="18"/>
          <w:color w:val="auto"/>
        </w:rPr>
        <w:t>3.11</w:t>
        <w:tab/>
        <w:t>Action Without Meeting</w:t>
      </w:r>
      <w:r>
        <w:rPr>
          <w:sz w:val="20"/>
          <w:szCs w:val="20"/>
          <w:color w:val="auto"/>
        </w:rPr>
        <w:tab/>
      </w:r>
      <w:r>
        <w:rPr>
          <w:rFonts w:ascii="Arial" w:cs="Arial" w:eastAsia="Arial" w:hAnsi="Arial"/>
          <w:sz w:val="16"/>
          <w:szCs w:val="16"/>
          <w:color w:val="auto"/>
        </w:rPr>
        <w:t>12</w:t>
      </w:r>
    </w:p>
    <w:p>
      <w:pPr>
        <w:spacing w:after="0" w:line="9" w:lineRule="exact"/>
        <w:rPr>
          <w:sz w:val="20"/>
          <w:szCs w:val="20"/>
          <w:color w:val="auto"/>
        </w:rPr>
      </w:pPr>
    </w:p>
    <w:p>
      <w:pPr>
        <w:ind w:left="640"/>
        <w:spacing w:after="0"/>
        <w:tabs>
          <w:tab w:leader="none" w:pos="1160" w:val="left"/>
          <w:tab w:leader="dot" w:pos="5240" w:val="left"/>
        </w:tabs>
        <w:rPr>
          <w:sz w:val="20"/>
          <w:szCs w:val="20"/>
          <w:color w:val="auto"/>
        </w:rPr>
      </w:pPr>
      <w:r>
        <w:rPr>
          <w:rFonts w:ascii="Arial" w:cs="Arial" w:eastAsia="Arial" w:hAnsi="Arial"/>
          <w:sz w:val="18"/>
          <w:szCs w:val="18"/>
          <w:color w:val="auto"/>
        </w:rPr>
        <w:t>3.12</w:t>
        <w:tab/>
        <w:t>Telephone Meetings</w:t>
      </w:r>
      <w:r>
        <w:rPr>
          <w:sz w:val="20"/>
          <w:szCs w:val="20"/>
          <w:color w:val="auto"/>
        </w:rPr>
        <w:tab/>
      </w:r>
      <w:r>
        <w:rPr>
          <w:rFonts w:ascii="Arial" w:cs="Arial" w:eastAsia="Arial" w:hAnsi="Arial"/>
          <w:sz w:val="16"/>
          <w:szCs w:val="16"/>
          <w:color w:val="auto"/>
        </w:rPr>
        <w:t>12</w:t>
      </w:r>
    </w:p>
    <w:p>
      <w:pPr>
        <w:spacing w:after="0" w:line="9" w:lineRule="exact"/>
        <w:rPr>
          <w:sz w:val="20"/>
          <w:szCs w:val="20"/>
          <w:color w:val="auto"/>
        </w:rPr>
      </w:pPr>
    </w:p>
    <w:p>
      <w:pPr>
        <w:ind w:left="640"/>
        <w:spacing w:after="0"/>
        <w:tabs>
          <w:tab w:leader="none" w:pos="1160" w:val="left"/>
          <w:tab w:leader="dot" w:pos="5220" w:val="left"/>
        </w:tabs>
        <w:rPr>
          <w:sz w:val="20"/>
          <w:szCs w:val="20"/>
          <w:color w:val="auto"/>
        </w:rPr>
      </w:pPr>
      <w:r>
        <w:rPr>
          <w:rFonts w:ascii="Arial" w:cs="Arial" w:eastAsia="Arial" w:hAnsi="Arial"/>
          <w:sz w:val="18"/>
          <w:szCs w:val="18"/>
          <w:color w:val="auto"/>
        </w:rPr>
        <w:t>3.13</w:t>
        <w:tab/>
        <w:t>Committees</w:t>
      </w:r>
      <w:r>
        <w:rPr>
          <w:sz w:val="20"/>
          <w:szCs w:val="20"/>
          <w:color w:val="auto"/>
        </w:rPr>
        <w:tab/>
      </w:r>
      <w:r>
        <w:rPr>
          <w:rFonts w:ascii="Arial" w:cs="Arial" w:eastAsia="Arial" w:hAnsi="Arial"/>
          <w:sz w:val="16"/>
          <w:szCs w:val="16"/>
          <w:color w:val="auto"/>
        </w:rPr>
        <w:t>12</w:t>
      </w:r>
    </w:p>
    <w:p>
      <w:pPr>
        <w:spacing w:after="0" w:line="9" w:lineRule="exact"/>
        <w:rPr>
          <w:sz w:val="20"/>
          <w:szCs w:val="20"/>
          <w:color w:val="auto"/>
        </w:rPr>
      </w:pPr>
    </w:p>
    <w:p>
      <w:pPr>
        <w:ind w:left="640"/>
        <w:spacing w:after="0"/>
        <w:tabs>
          <w:tab w:leader="none" w:pos="1160" w:val="left"/>
          <w:tab w:leader="dot" w:pos="5220" w:val="left"/>
        </w:tabs>
        <w:rPr>
          <w:sz w:val="20"/>
          <w:szCs w:val="20"/>
          <w:color w:val="auto"/>
        </w:rPr>
      </w:pPr>
      <w:r>
        <w:rPr>
          <w:rFonts w:ascii="Arial" w:cs="Arial" w:eastAsia="Arial" w:hAnsi="Arial"/>
          <w:sz w:val="18"/>
          <w:szCs w:val="18"/>
          <w:color w:val="auto"/>
        </w:rPr>
        <w:t>3.14</w:t>
        <w:tab/>
        <w:t>Fees and Compensation of Directors</w:t>
      </w:r>
      <w:r>
        <w:rPr>
          <w:sz w:val="20"/>
          <w:szCs w:val="20"/>
          <w:color w:val="auto"/>
        </w:rPr>
        <w:tab/>
      </w:r>
      <w:r>
        <w:rPr>
          <w:rFonts w:ascii="Arial" w:cs="Arial" w:eastAsia="Arial" w:hAnsi="Arial"/>
          <w:sz w:val="16"/>
          <w:szCs w:val="16"/>
          <w:color w:val="auto"/>
        </w:rPr>
        <w:t>12</w:t>
      </w:r>
    </w:p>
    <w:p>
      <w:pPr>
        <w:spacing w:after="0" w:line="200" w:lineRule="exact"/>
        <w:rPr>
          <w:sz w:val="20"/>
          <w:szCs w:val="20"/>
          <w:color w:val="auto"/>
        </w:rPr>
      </w:pPr>
    </w:p>
    <w:p>
      <w:pPr>
        <w:spacing w:after="0" w:line="227" w:lineRule="exact"/>
        <w:rPr>
          <w:sz w:val="20"/>
          <w:szCs w:val="20"/>
          <w:color w:val="auto"/>
        </w:rPr>
      </w:pPr>
    </w:p>
    <w:p>
      <w:pPr>
        <w:spacing w:after="0"/>
        <w:tabs>
          <w:tab w:leader="none" w:pos="1040" w:val="left"/>
          <w:tab w:leader="dot" w:pos="5260" w:val="left"/>
        </w:tabs>
        <w:rPr>
          <w:sz w:val="20"/>
          <w:szCs w:val="20"/>
          <w:color w:val="auto"/>
        </w:rPr>
      </w:pPr>
      <w:r>
        <w:rPr>
          <w:rFonts w:ascii="Arial" w:cs="Arial" w:eastAsia="Arial" w:hAnsi="Arial"/>
          <w:sz w:val="18"/>
          <w:szCs w:val="18"/>
          <w:color w:val="auto"/>
        </w:rPr>
        <w:t>ARTICLE 4</w:t>
        <w:tab/>
        <w:t>OFFICERS</w:t>
      </w:r>
      <w:r>
        <w:rPr>
          <w:sz w:val="20"/>
          <w:szCs w:val="20"/>
          <w:color w:val="auto"/>
        </w:rPr>
        <w:tab/>
      </w:r>
      <w:r>
        <w:rPr>
          <w:rFonts w:ascii="Arial" w:cs="Arial" w:eastAsia="Arial" w:hAnsi="Arial"/>
          <w:sz w:val="16"/>
          <w:szCs w:val="16"/>
          <w:color w:val="auto"/>
        </w:rPr>
        <w:t>12</w:t>
      </w:r>
    </w:p>
    <w:p>
      <w:pPr>
        <w:spacing w:after="0" w:line="23" w:lineRule="exact"/>
        <w:rPr>
          <w:sz w:val="20"/>
          <w:szCs w:val="20"/>
          <w:color w:val="auto"/>
        </w:rPr>
      </w:pPr>
    </w:p>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Officers Designated</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Election</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Tenure</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President</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13</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99"/>
          </w:cols>
          <w:pgMar w:left="460" w:top="580" w:right="1440" w:bottom="1440" w:gutter="0" w:footer="0" w:header="0"/>
        </w:sectPr>
      </w:pPr>
    </w:p>
    <w:bookmarkStart w:id="5" w:name="page6"/>
    <w:bookmarkEnd w:id="5"/>
    <w:p>
      <w:pPr>
        <w:ind w:left="640"/>
        <w:spacing w:after="0"/>
        <w:tabs>
          <w:tab w:leader="none" w:pos="1160" w:val="left"/>
          <w:tab w:leader="dot" w:pos="52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Vice President</w:t>
      </w:r>
      <w:r>
        <w:rPr>
          <w:sz w:val="20"/>
          <w:szCs w:val="20"/>
          <w:color w:val="auto"/>
        </w:rPr>
        <w:tab/>
      </w:r>
      <w:r>
        <w:rPr>
          <w:rFonts w:ascii="Arial" w:cs="Arial" w:eastAsia="Arial" w:hAnsi="Arial"/>
          <w:sz w:val="16"/>
          <w:szCs w:val="16"/>
          <w:color w:val="auto"/>
        </w:rPr>
        <w:t>14</w:t>
      </w:r>
    </w:p>
    <w:p>
      <w:pPr>
        <w:spacing w:after="0" w:line="23" w:lineRule="exact"/>
        <w:rPr>
          <w:sz w:val="20"/>
          <w:szCs w:val="20"/>
          <w:color w:val="auto"/>
        </w:rPr>
      </w:pPr>
    </w:p>
    <w:p>
      <w:pPr>
        <w:ind w:left="640"/>
        <w:spacing w:after="0"/>
        <w:tabs>
          <w:tab w:leader="none" w:pos="1160" w:val="left"/>
          <w:tab w:leader="dot" w:pos="53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Secretary</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ind w:left="640"/>
        <w:spacing w:after="0"/>
        <w:tabs>
          <w:tab w:leader="none" w:pos="1160" w:val="left"/>
          <w:tab w:leader="dot" w:pos="52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Assistant Secretary</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ind w:left="640"/>
        <w:spacing w:after="0"/>
        <w:tabs>
          <w:tab w:leader="none" w:pos="1160" w:val="left"/>
          <w:tab w:leader="dot" w:pos="5280" w:val="left"/>
        </w:tabs>
        <w:rPr>
          <w:sz w:val="20"/>
          <w:szCs w:val="20"/>
          <w:color w:val="auto"/>
        </w:rPr>
      </w:pPr>
      <w:r>
        <w:rPr>
          <w:rFonts w:ascii="Arial" w:cs="Arial" w:eastAsia="Arial" w:hAnsi="Arial"/>
          <w:sz w:val="18"/>
          <w:szCs w:val="18"/>
          <w:color w:val="auto"/>
        </w:rPr>
        <w:t>4.10</w:t>
        <w:tab/>
        <w:t>Treasurer and Assistant Treasurers</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ind w:left="640"/>
        <w:spacing w:after="0"/>
        <w:tabs>
          <w:tab w:leader="none" w:pos="1160" w:val="left"/>
          <w:tab w:leader="dot" w:pos="5300" w:val="left"/>
        </w:tabs>
        <w:rPr>
          <w:sz w:val="20"/>
          <w:szCs w:val="20"/>
          <w:color w:val="auto"/>
        </w:rPr>
      </w:pPr>
      <w:r>
        <w:rPr>
          <w:rFonts w:ascii="Arial" w:cs="Arial" w:eastAsia="Arial" w:hAnsi="Arial"/>
          <w:sz w:val="18"/>
          <w:szCs w:val="18"/>
          <w:color w:val="auto"/>
        </w:rPr>
        <w:t>4.11</w:t>
        <w:tab/>
        <w:t>Delegation of Authority</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spacing w:after="0"/>
        <w:tabs>
          <w:tab w:leader="none" w:pos="1040" w:val="left"/>
          <w:tab w:leader="dot" w:pos="5300" w:val="left"/>
        </w:tabs>
        <w:rPr>
          <w:sz w:val="20"/>
          <w:szCs w:val="20"/>
          <w:color w:val="auto"/>
        </w:rPr>
      </w:pPr>
      <w:r>
        <w:rPr>
          <w:rFonts w:ascii="Arial" w:cs="Arial" w:eastAsia="Arial" w:hAnsi="Arial"/>
          <w:sz w:val="18"/>
          <w:szCs w:val="18"/>
          <w:color w:val="auto"/>
        </w:rPr>
        <w:t>ARTICLE 5</w:t>
        <w:tab/>
        <w:t>NOTICES</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ind w:left="640"/>
        <w:spacing w:after="0"/>
        <w:tabs>
          <w:tab w:leader="none" w:pos="1160" w:val="left"/>
          <w:tab w:leader="dot" w:pos="5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Delivery</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40"/>
        <w:spacing w:after="0"/>
        <w:tabs>
          <w:tab w:leader="none" w:pos="1160" w:val="left"/>
          <w:tab w:leader="dot" w:pos="5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Waiver of Notice</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spacing w:after="0"/>
        <w:tabs>
          <w:tab w:leader="none" w:pos="1040" w:val="left"/>
          <w:tab w:leader="dot" w:pos="5320" w:val="left"/>
        </w:tabs>
        <w:rPr>
          <w:sz w:val="20"/>
          <w:szCs w:val="20"/>
          <w:color w:val="auto"/>
        </w:rPr>
      </w:pPr>
      <w:r>
        <w:rPr>
          <w:rFonts w:ascii="Arial" w:cs="Arial" w:eastAsia="Arial" w:hAnsi="Arial"/>
          <w:sz w:val="18"/>
          <w:szCs w:val="18"/>
          <w:color w:val="auto"/>
        </w:rPr>
        <w:t>ARTICLE 6</w:t>
        <w:tab/>
        <w:t>INDEMNIFICATION AND INSURANCE</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40"/>
        <w:spacing w:after="0"/>
        <w:tabs>
          <w:tab w:leader="none" w:pos="1160" w:val="left"/>
          <w:tab w:leader="dot" w:pos="53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Indemnification</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40"/>
        <w:spacing w:after="0"/>
        <w:tabs>
          <w:tab w:leader="none" w:pos="1160" w:val="left"/>
          <w:tab w:leader="dot" w:pos="5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Advance Payment</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40"/>
        <w:spacing w:after="0"/>
        <w:tabs>
          <w:tab w:leader="none" w:pos="1160" w:val="left"/>
          <w:tab w:leader="dot" w:pos="53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Non-Exclusivity and Survival of Rights; Amendments</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40"/>
        <w:spacing w:after="0"/>
        <w:tabs>
          <w:tab w:leader="none" w:pos="1160" w:val="left"/>
          <w:tab w:leader="dot" w:pos="53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Determination; Claim</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40"/>
        <w:spacing w:after="0"/>
        <w:tabs>
          <w:tab w:leader="none" w:pos="1160" w:val="left"/>
          <w:tab w:leader="dot" w:pos="53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Insurance</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40"/>
        <w:spacing w:after="0"/>
        <w:tabs>
          <w:tab w:leader="none" w:pos="1160" w:val="left"/>
          <w:tab w:leader="dot" w:pos="53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Severability</w:t>
      </w:r>
      <w:r>
        <w:rPr>
          <w:sz w:val="20"/>
          <w:szCs w:val="20"/>
          <w:color w:val="auto"/>
        </w:rPr>
        <w:tab/>
      </w:r>
      <w:r>
        <w:rPr>
          <w:rFonts w:ascii="Arial" w:cs="Arial" w:eastAsia="Arial" w:hAnsi="Arial"/>
          <w:sz w:val="16"/>
          <w:szCs w:val="16"/>
          <w:color w:val="auto"/>
        </w:rPr>
        <w:t>17</w:t>
      </w:r>
    </w:p>
    <w:p>
      <w:pPr>
        <w:spacing w:after="0" w:line="9" w:lineRule="exact"/>
        <w:rPr>
          <w:sz w:val="20"/>
          <w:szCs w:val="20"/>
          <w:color w:val="auto"/>
        </w:rPr>
      </w:pPr>
    </w:p>
    <w:p>
      <w:pPr>
        <w:ind w:left="640"/>
        <w:spacing w:after="0"/>
        <w:tabs>
          <w:tab w:leader="none" w:pos="1160" w:val="left"/>
          <w:tab w:leader="dot" w:pos="53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Reliance</w:t>
      </w:r>
      <w:r>
        <w:rPr>
          <w:sz w:val="20"/>
          <w:szCs w:val="20"/>
          <w:color w:val="auto"/>
        </w:rPr>
        <w:tab/>
      </w:r>
      <w:r>
        <w:rPr>
          <w:rFonts w:ascii="Arial" w:cs="Arial" w:eastAsia="Arial" w:hAnsi="Arial"/>
          <w:sz w:val="16"/>
          <w:szCs w:val="16"/>
          <w:color w:val="auto"/>
        </w:rPr>
        <w:t>17</w:t>
      </w:r>
    </w:p>
    <w:p>
      <w:pPr>
        <w:spacing w:after="0" w:line="9" w:lineRule="exact"/>
        <w:rPr>
          <w:sz w:val="20"/>
          <w:szCs w:val="20"/>
          <w:color w:val="auto"/>
        </w:rPr>
      </w:pPr>
    </w:p>
    <w:p>
      <w:pPr>
        <w:jc w:val="right"/>
        <w:ind w:right="4439"/>
        <w:spacing w:after="0"/>
        <w:tabs>
          <w:tab w:leader="none" w:pos="4360" w:val="left"/>
          <w:tab w:leader="dot" w:pos="700" w:val="left"/>
          <w:tab w:leader="dot" w:pos="1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Indemnification of Other Persons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w:t>
      </w:r>
    </w:p>
    <w:p>
      <w:pPr>
        <w:spacing w:after="0" w:line="211" w:lineRule="exact"/>
        <w:rPr>
          <w:sz w:val="20"/>
          <w:szCs w:val="20"/>
          <w:color w:val="auto"/>
        </w:rPr>
      </w:pPr>
    </w:p>
    <w:p>
      <w:pPr>
        <w:spacing w:after="0"/>
        <w:tabs>
          <w:tab w:leader="none" w:pos="1040" w:val="left"/>
          <w:tab w:leader="dot" w:pos="5340" w:val="left"/>
        </w:tabs>
        <w:rPr>
          <w:sz w:val="20"/>
          <w:szCs w:val="20"/>
          <w:color w:val="auto"/>
        </w:rPr>
      </w:pPr>
      <w:r>
        <w:rPr>
          <w:rFonts w:ascii="Arial" w:cs="Arial" w:eastAsia="Arial" w:hAnsi="Arial"/>
          <w:sz w:val="18"/>
          <w:szCs w:val="18"/>
          <w:color w:val="auto"/>
        </w:rPr>
        <w:t>ARTICLE 7</w:t>
        <w:tab/>
        <w:t>CAPITAL STOCK</w:t>
      </w:r>
      <w:r>
        <w:rPr>
          <w:sz w:val="20"/>
          <w:szCs w:val="20"/>
          <w:color w:val="auto"/>
        </w:rPr>
        <w:tab/>
      </w:r>
      <w:r>
        <w:rPr>
          <w:rFonts w:ascii="Arial" w:cs="Arial" w:eastAsia="Arial" w:hAnsi="Arial"/>
          <w:sz w:val="16"/>
          <w:szCs w:val="16"/>
          <w:color w:val="auto"/>
        </w:rPr>
        <w:t>17</w:t>
      </w:r>
    </w:p>
    <w:p>
      <w:pPr>
        <w:spacing w:after="0" w:line="23" w:lineRule="exact"/>
        <w:rPr>
          <w:sz w:val="20"/>
          <w:szCs w:val="20"/>
          <w:color w:val="auto"/>
        </w:rPr>
      </w:pPr>
    </w:p>
    <w:p>
      <w:pPr>
        <w:ind w:left="640"/>
        <w:spacing w:after="0"/>
        <w:tabs>
          <w:tab w:leader="none" w:pos="1160" w:val="left"/>
          <w:tab w:leader="dot" w:pos="53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Certificates for Shares</w:t>
      </w:r>
      <w:r>
        <w:rPr>
          <w:sz w:val="20"/>
          <w:szCs w:val="20"/>
          <w:color w:val="auto"/>
        </w:rPr>
        <w:tab/>
      </w:r>
      <w:r>
        <w:rPr>
          <w:rFonts w:ascii="Arial" w:cs="Arial" w:eastAsia="Arial" w:hAnsi="Arial"/>
          <w:sz w:val="16"/>
          <w:szCs w:val="16"/>
          <w:color w:val="auto"/>
        </w:rPr>
        <w:t>17</w:t>
      </w:r>
    </w:p>
    <w:p>
      <w:pPr>
        <w:spacing w:after="0" w:line="9" w:lineRule="exact"/>
        <w:rPr>
          <w:sz w:val="20"/>
          <w:szCs w:val="20"/>
          <w:color w:val="auto"/>
        </w:rPr>
      </w:pPr>
    </w:p>
    <w:p>
      <w:pPr>
        <w:ind w:left="640"/>
        <w:spacing w:after="0"/>
        <w:tabs>
          <w:tab w:leader="none" w:pos="1160" w:val="left"/>
          <w:tab w:leader="dot" w:pos="53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Signatures on Certificates</w:t>
      </w:r>
      <w:r>
        <w:rPr>
          <w:sz w:val="20"/>
          <w:szCs w:val="20"/>
          <w:color w:val="auto"/>
        </w:rPr>
        <w:tab/>
      </w:r>
      <w:r>
        <w:rPr>
          <w:rFonts w:ascii="Arial" w:cs="Arial" w:eastAsia="Arial" w:hAnsi="Arial"/>
          <w:sz w:val="16"/>
          <w:szCs w:val="16"/>
          <w:color w:val="auto"/>
        </w:rPr>
        <w:t>18</w:t>
      </w:r>
    </w:p>
    <w:p>
      <w:pPr>
        <w:spacing w:after="0" w:line="9" w:lineRule="exact"/>
        <w:rPr>
          <w:sz w:val="20"/>
          <w:szCs w:val="20"/>
          <w:color w:val="auto"/>
        </w:rPr>
      </w:pPr>
    </w:p>
    <w:p>
      <w:pPr>
        <w:ind w:left="640"/>
        <w:spacing w:after="0"/>
        <w:tabs>
          <w:tab w:leader="none" w:pos="1160" w:val="left"/>
          <w:tab w:leader="dot" w:pos="53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Transfer of Stock</w:t>
      </w:r>
      <w:r>
        <w:rPr>
          <w:sz w:val="20"/>
          <w:szCs w:val="20"/>
          <w:color w:val="auto"/>
        </w:rPr>
        <w:tab/>
      </w:r>
      <w:r>
        <w:rPr>
          <w:rFonts w:ascii="Arial" w:cs="Arial" w:eastAsia="Arial" w:hAnsi="Arial"/>
          <w:sz w:val="16"/>
          <w:szCs w:val="16"/>
          <w:color w:val="auto"/>
        </w:rPr>
        <w:t>18</w:t>
      </w:r>
    </w:p>
    <w:p>
      <w:pPr>
        <w:spacing w:after="0" w:line="9" w:lineRule="exact"/>
        <w:rPr>
          <w:sz w:val="20"/>
          <w:szCs w:val="20"/>
          <w:color w:val="auto"/>
        </w:rPr>
      </w:pPr>
    </w:p>
    <w:p>
      <w:pPr>
        <w:ind w:left="640"/>
        <w:spacing w:after="0"/>
        <w:tabs>
          <w:tab w:leader="none" w:pos="1160" w:val="left"/>
          <w:tab w:leader="dot" w:pos="5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Registered Stockholders</w:t>
      </w:r>
      <w:r>
        <w:rPr>
          <w:sz w:val="20"/>
          <w:szCs w:val="20"/>
          <w:color w:val="auto"/>
        </w:rPr>
        <w:tab/>
      </w:r>
      <w:r>
        <w:rPr>
          <w:rFonts w:ascii="Arial" w:cs="Arial" w:eastAsia="Arial" w:hAnsi="Arial"/>
          <w:sz w:val="16"/>
          <w:szCs w:val="16"/>
          <w:color w:val="auto"/>
        </w:rPr>
        <w:t>18</w:t>
      </w:r>
    </w:p>
    <w:p>
      <w:pPr>
        <w:spacing w:after="0" w:line="9" w:lineRule="exact"/>
        <w:rPr>
          <w:sz w:val="20"/>
          <w:szCs w:val="20"/>
          <w:color w:val="auto"/>
        </w:rPr>
      </w:pPr>
    </w:p>
    <w:p>
      <w:pPr>
        <w:ind w:left="640"/>
        <w:spacing w:after="0"/>
        <w:tabs>
          <w:tab w:leader="none" w:pos="1160" w:val="left"/>
          <w:tab w:leader="dot" w:pos="5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Lost, Stolen or Destroyed Certificates</w:t>
      </w:r>
      <w:r>
        <w:rPr>
          <w:sz w:val="20"/>
          <w:szCs w:val="20"/>
          <w:color w:val="auto"/>
        </w:rPr>
        <w:tab/>
      </w:r>
      <w:r>
        <w:rPr>
          <w:rFonts w:ascii="Arial" w:cs="Arial" w:eastAsia="Arial" w:hAnsi="Arial"/>
          <w:sz w:val="16"/>
          <w:szCs w:val="16"/>
          <w:color w:val="auto"/>
        </w:rPr>
        <w:t>18</w:t>
      </w:r>
    </w:p>
    <w:p>
      <w:pPr>
        <w:spacing w:after="0" w:line="211" w:lineRule="exact"/>
        <w:rPr>
          <w:sz w:val="20"/>
          <w:szCs w:val="20"/>
          <w:color w:val="auto"/>
        </w:rPr>
      </w:pPr>
    </w:p>
    <w:p>
      <w:pPr>
        <w:spacing w:after="0"/>
        <w:tabs>
          <w:tab w:leader="none" w:pos="1040" w:val="left"/>
          <w:tab w:leader="dot" w:pos="5320" w:val="left"/>
        </w:tabs>
        <w:rPr>
          <w:sz w:val="20"/>
          <w:szCs w:val="20"/>
          <w:color w:val="auto"/>
        </w:rPr>
      </w:pPr>
      <w:r>
        <w:rPr>
          <w:rFonts w:ascii="Arial" w:cs="Arial" w:eastAsia="Arial" w:hAnsi="Arial"/>
          <w:sz w:val="18"/>
          <w:szCs w:val="18"/>
          <w:color w:val="auto"/>
        </w:rPr>
        <w:t>ARTICLE 8</w:t>
        <w:tab/>
        <w:t>GENERAL PROVISIONS</w:t>
      </w:r>
      <w:r>
        <w:rPr>
          <w:sz w:val="20"/>
          <w:szCs w:val="20"/>
          <w:color w:val="auto"/>
        </w:rPr>
        <w:tab/>
      </w:r>
      <w:r>
        <w:rPr>
          <w:rFonts w:ascii="Arial" w:cs="Arial" w:eastAsia="Arial" w:hAnsi="Arial"/>
          <w:sz w:val="16"/>
          <w:szCs w:val="16"/>
          <w:color w:val="auto"/>
        </w:rPr>
        <w:t>19</w:t>
      </w:r>
    </w:p>
    <w:p>
      <w:pPr>
        <w:spacing w:after="0" w:line="23" w:lineRule="exact"/>
        <w:rPr>
          <w:sz w:val="20"/>
          <w:szCs w:val="20"/>
          <w:color w:val="auto"/>
        </w:rPr>
      </w:pPr>
    </w:p>
    <w:p>
      <w:pPr>
        <w:ind w:left="640"/>
        <w:spacing w:after="0"/>
        <w:tabs>
          <w:tab w:leader="none" w:pos="1160" w:val="left"/>
          <w:tab w:leader="dot" w:pos="5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Dividends</w:t>
      </w:r>
      <w:r>
        <w:rPr>
          <w:sz w:val="20"/>
          <w:szCs w:val="20"/>
          <w:color w:val="auto"/>
        </w:rPr>
        <w:tab/>
      </w:r>
      <w:r>
        <w:rPr>
          <w:rFonts w:ascii="Arial" w:cs="Arial" w:eastAsia="Arial" w:hAnsi="Arial"/>
          <w:sz w:val="16"/>
          <w:szCs w:val="16"/>
          <w:color w:val="auto"/>
        </w:rPr>
        <w:t>19</w:t>
      </w:r>
    </w:p>
    <w:p>
      <w:pPr>
        <w:spacing w:after="0" w:line="9" w:lineRule="exact"/>
        <w:rPr>
          <w:sz w:val="20"/>
          <w:szCs w:val="20"/>
          <w:color w:val="auto"/>
        </w:rPr>
      </w:pPr>
    </w:p>
    <w:p>
      <w:pPr>
        <w:ind w:left="640"/>
        <w:spacing w:after="0"/>
        <w:tabs>
          <w:tab w:leader="none" w:pos="1160" w:val="left"/>
          <w:tab w:leader="dot" w:pos="53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Checks</w:t>
      </w:r>
      <w:r>
        <w:rPr>
          <w:sz w:val="20"/>
          <w:szCs w:val="20"/>
          <w:color w:val="auto"/>
        </w:rPr>
        <w:tab/>
      </w:r>
      <w:r>
        <w:rPr>
          <w:rFonts w:ascii="Arial" w:cs="Arial" w:eastAsia="Arial" w:hAnsi="Arial"/>
          <w:sz w:val="16"/>
          <w:szCs w:val="16"/>
          <w:color w:val="auto"/>
        </w:rPr>
        <w:t>19</w:t>
      </w:r>
    </w:p>
    <w:p>
      <w:pPr>
        <w:spacing w:after="0" w:line="9" w:lineRule="exact"/>
        <w:rPr>
          <w:sz w:val="20"/>
          <w:szCs w:val="20"/>
          <w:color w:val="auto"/>
        </w:rPr>
      </w:pPr>
    </w:p>
    <w:p>
      <w:pPr>
        <w:ind w:left="640"/>
        <w:spacing w:after="0"/>
        <w:tabs>
          <w:tab w:leader="none" w:pos="1160" w:val="left"/>
          <w:tab w:leader="dot" w:pos="53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Corporate Seal</w:t>
      </w:r>
      <w:r>
        <w:rPr>
          <w:sz w:val="20"/>
          <w:szCs w:val="20"/>
          <w:color w:val="auto"/>
        </w:rPr>
        <w:tab/>
      </w:r>
      <w:r>
        <w:rPr>
          <w:rFonts w:ascii="Arial" w:cs="Arial" w:eastAsia="Arial" w:hAnsi="Arial"/>
          <w:sz w:val="16"/>
          <w:szCs w:val="16"/>
          <w:color w:val="auto"/>
        </w:rPr>
        <w:t>19</w:t>
      </w:r>
    </w:p>
    <w:p>
      <w:pPr>
        <w:spacing w:after="0" w:line="9" w:lineRule="exact"/>
        <w:rPr>
          <w:sz w:val="20"/>
          <w:szCs w:val="20"/>
          <w:color w:val="auto"/>
        </w:rPr>
      </w:pPr>
    </w:p>
    <w:p>
      <w:pPr>
        <w:ind w:left="640"/>
        <w:spacing w:after="0"/>
        <w:tabs>
          <w:tab w:leader="none" w:pos="1160" w:val="left"/>
          <w:tab w:leader="dot" w:pos="5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Execution of Corporate Contracts and Instruments</w:t>
      </w:r>
      <w:r>
        <w:rPr>
          <w:sz w:val="20"/>
          <w:szCs w:val="20"/>
          <w:color w:val="auto"/>
        </w:rPr>
        <w:tab/>
      </w:r>
      <w:r>
        <w:rPr>
          <w:rFonts w:ascii="Arial" w:cs="Arial" w:eastAsia="Arial" w:hAnsi="Arial"/>
          <w:sz w:val="16"/>
          <w:szCs w:val="16"/>
          <w:color w:val="auto"/>
        </w:rPr>
        <w:t>19</w:t>
      </w:r>
    </w:p>
    <w:p>
      <w:pPr>
        <w:spacing w:after="0" w:line="9" w:lineRule="exact"/>
        <w:rPr>
          <w:sz w:val="20"/>
          <w:szCs w:val="20"/>
          <w:color w:val="auto"/>
        </w:rPr>
      </w:pPr>
    </w:p>
    <w:p>
      <w:pPr>
        <w:ind w:left="640"/>
        <w:spacing w:after="0"/>
        <w:tabs>
          <w:tab w:leader="none" w:pos="1160" w:val="left"/>
          <w:tab w:leader="dot" w:pos="53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Representation of Shares of Other Corporations</w:t>
      </w:r>
      <w:r>
        <w:rPr>
          <w:sz w:val="20"/>
          <w:szCs w:val="20"/>
          <w:color w:val="auto"/>
        </w:rPr>
        <w:tab/>
      </w:r>
      <w:r>
        <w:rPr>
          <w:rFonts w:ascii="Arial" w:cs="Arial" w:eastAsia="Arial" w:hAnsi="Arial"/>
          <w:sz w:val="16"/>
          <w:szCs w:val="16"/>
          <w:color w:val="auto"/>
        </w:rPr>
        <w:t>19</w:t>
      </w:r>
    </w:p>
    <w:p>
      <w:pPr>
        <w:spacing w:after="0" w:line="211" w:lineRule="exact"/>
        <w:rPr>
          <w:sz w:val="20"/>
          <w:szCs w:val="20"/>
          <w:color w:val="auto"/>
        </w:rPr>
      </w:pPr>
    </w:p>
    <w:p>
      <w:pPr>
        <w:spacing w:after="0"/>
        <w:tabs>
          <w:tab w:leader="none" w:pos="1040" w:val="left"/>
          <w:tab w:leader="dot" w:pos="5320" w:val="left"/>
        </w:tabs>
        <w:rPr>
          <w:sz w:val="20"/>
          <w:szCs w:val="20"/>
          <w:color w:val="auto"/>
        </w:rPr>
      </w:pPr>
      <w:r>
        <w:rPr>
          <w:rFonts w:ascii="Arial" w:cs="Arial" w:eastAsia="Arial" w:hAnsi="Arial"/>
          <w:sz w:val="18"/>
          <w:szCs w:val="18"/>
          <w:color w:val="auto"/>
        </w:rPr>
        <w:t>ARTICLE 9</w:t>
        <w:tab/>
        <w:t>AMENDMENTS</w:t>
      </w:r>
      <w:r>
        <w:rPr>
          <w:sz w:val="20"/>
          <w:szCs w:val="20"/>
          <w:color w:val="auto"/>
        </w:rPr>
        <w:tab/>
      </w:r>
      <w:r>
        <w:rPr>
          <w:rFonts w:ascii="Arial" w:cs="Arial" w:eastAsia="Arial" w:hAnsi="Arial"/>
          <w:sz w:val="16"/>
          <w:szCs w:val="16"/>
          <w:color w:val="auto"/>
        </w:rPr>
        <w:t>19</w:t>
      </w:r>
    </w:p>
    <w:p>
      <w:pPr>
        <w:spacing w:after="0" w:line="225" w:lineRule="exact"/>
        <w:rPr>
          <w:sz w:val="20"/>
          <w:szCs w:val="20"/>
          <w:color w:val="auto"/>
        </w:rPr>
      </w:pPr>
    </w:p>
    <w:p>
      <w:pPr>
        <w:spacing w:after="0"/>
        <w:tabs>
          <w:tab w:leader="dot" w:pos="5280" w:val="left"/>
        </w:tabs>
        <w:rPr>
          <w:sz w:val="20"/>
          <w:szCs w:val="20"/>
          <w:color w:val="auto"/>
        </w:rPr>
      </w:pPr>
      <w:r>
        <w:rPr>
          <w:rFonts w:ascii="Arial" w:cs="Arial" w:eastAsia="Arial" w:hAnsi="Arial"/>
          <w:sz w:val="18"/>
          <w:szCs w:val="18"/>
          <w:color w:val="auto"/>
        </w:rPr>
        <w:t>ARTICLE 10 EXCLUSIVE FORUM</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99"/>
          </w:cols>
          <w:pgMar w:left="460" w:top="584"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u w:val="single" w:color="auto"/>
          <w:color w:val="auto"/>
        </w:rPr>
        <w:t>1.1 Registered Office</w:t>
      </w:r>
      <w:r>
        <w:rPr>
          <w:rFonts w:ascii="Arial" w:cs="Arial" w:eastAsia="Arial" w:hAnsi="Arial"/>
          <w:sz w:val="18"/>
          <w:szCs w:val="18"/>
          <w:color w:val="auto"/>
        </w:rPr>
        <w:t>. The registered office of the corporation shall be set forth in the certificate of incorporation of the corporation (the “Certificate of Incorporation”).</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u w:val="single" w:color="auto"/>
          <w:color w:val="auto"/>
        </w:rPr>
        <w:t>1.2 Other Offices</w:t>
      </w:r>
      <w:r>
        <w:rPr>
          <w:rFonts w:ascii="Arial" w:cs="Arial" w:eastAsia="Arial" w:hAnsi="Arial"/>
          <w:sz w:val="18"/>
          <w:szCs w:val="18"/>
          <w:color w:val="auto"/>
        </w:rPr>
        <w:t>. The corporation may also have offices at such other places, either within or without the State of Delaware, as the board of directors of the corporation (the “Board”) may from time to time designate or the business of the corporation may require.</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Meeting of Stockholders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2.1 Place of Meeting</w:t>
      </w:r>
      <w:r>
        <w:rPr>
          <w:rFonts w:ascii="Arial" w:cs="Arial" w:eastAsia="Arial" w:hAnsi="Arial"/>
          <w:sz w:val="18"/>
          <w:szCs w:val="18"/>
          <w:color w:val="auto"/>
        </w:rPr>
        <w:t>. Meetings of stockholders may be held at such place, either within or without the State of Delaware, 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u w:val="single" w:color="auto"/>
          <w:color w:val="auto"/>
        </w:rPr>
        <w:t>2.2 Annual Meeting</w:t>
      </w:r>
      <w:r>
        <w:rPr>
          <w:rFonts w:ascii="Arial" w:cs="Arial" w:eastAsia="Arial" w:hAnsi="Arial"/>
          <w:sz w:val="18"/>
          <w:szCs w:val="18"/>
          <w:color w:val="auto"/>
        </w:rPr>
        <w:t>. Annual meetings of stockholders shall be held each year at such date and time as shall be designated from time to time by the Board and stated in the notice of the meeting. At each such annual meeting, the stockholders shall elect the number of directors equal to the number of directors of the class whose term expires at such meeting (or, if fewer, the number of directors properly nominated and qualified for election) to hold office until the third succeeding annual meeting of stockholders after their election. The stockholders shall also transact such other business as may properly be brought before the meeting.</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be properly brought before the annual meeting, business must be (a) specified in the notice of meeting (or any supplement thereto) given by or at the direction of the Board, (b) otherwise properly brought before the meeting by or at the direction of the Board, or (c) otherwise properly brought before the meeting by a stockholder who is a stockholder of record of the corporation at the time of giving of the notice provided for in this Section and at the time of the annual meeting, who is entitled to vote at the meeting, and who complies with the notice procedures set forth in this Section. The requirements of this Section shall apply to any business to be brought before an annual meeting by a stockholder, other than (i) the nomination of a person for election as a director, which must be made in compliance with, and shall be exclusively governed by, Section 3.1 of these bylaws, and (ii) matters properly brought under Rule 14a-8 (or any successor rule or regulation) promulgated under the Securities Exchange Act of 1934 (the “Exchange Act”) and included in the corporation’s notice of meeting.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color w:val="auto"/>
        </w:rPr>
        <w:t>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 such scheduled annual meeting and (y) the 10th day following the earlier to occur of the day on which notice of the date of the scheduled annual meeting was mailed or the day on which public announcement (as defined below)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stockholder’s notice to the Secretary shall set forth the following as to each matter the stockholder proposes to bring before the annual meeting:</w:t>
      </w:r>
    </w:p>
    <w:p>
      <w:pPr>
        <w:spacing w:after="0" w:line="46" w:lineRule="exact"/>
        <w:rPr>
          <w:sz w:val="20"/>
          <w:szCs w:val="20"/>
          <w:color w:val="auto"/>
        </w:rPr>
      </w:pPr>
    </w:p>
    <w:p>
      <w:pPr>
        <w:jc w:val="both"/>
        <w:ind w:firstLine="8"/>
        <w:spacing w:after="0" w:line="281" w:lineRule="auto"/>
        <w:tabs>
          <w:tab w:leader="none" w:pos="239"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(ii) as to the stockholder giving the notice and the beneficial owner, if any, on whose behalf the business is being proposed, (A) the name and address, as they appear on the corporation’s books, of the stockholder, the name and address of the beneficial owner, if any, and the name and address of any person who is an associated person (as defined below)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any material interest in such business of the stockholder, the beneficial owner, if any, and any person who is an associated person of the stockholder or the beneficial owner, (D) 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shares owned by the stockholder or the beneficial owner and any such group, would be required to approve or adopt such business and/or otherwise to solicit proxies from stockholders in support of such business, and</w:t>
      </w:r>
    </w:p>
    <w:p>
      <w:pPr>
        <w:spacing w:after="0" w:line="7" w:lineRule="exact"/>
        <w:rPr>
          <w:rFonts w:ascii="Arial" w:cs="Arial" w:eastAsia="Arial" w:hAnsi="Arial"/>
          <w:sz w:val="16"/>
          <w:szCs w:val="16"/>
          <w:color w:val="auto"/>
        </w:rPr>
      </w:pPr>
    </w:p>
    <w:p>
      <w:pPr>
        <w:jc w:val="both"/>
        <w:spacing w:after="0" w:line="302" w:lineRule="auto"/>
        <w:rPr>
          <w:rFonts w:ascii="Arial" w:cs="Arial" w:eastAsia="Arial" w:hAnsi="Arial"/>
          <w:sz w:val="16"/>
          <w:szCs w:val="16"/>
          <w:color w:val="auto"/>
        </w:rPr>
      </w:pPr>
      <w:r>
        <w:rPr>
          <w:rFonts w:ascii="Arial" w:cs="Arial" w:eastAsia="Arial" w:hAnsi="Arial"/>
          <w:sz w:val="16"/>
          <w:szCs w:val="16"/>
          <w:color w:val="auto"/>
        </w:rPr>
        <w:t>(E) 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84" w:lineRule="auto"/>
        <w:rPr>
          <w:sz w:val="20"/>
          <w:szCs w:val="20"/>
          <w:color w:val="auto"/>
        </w:rPr>
      </w:pPr>
      <w:r>
        <w:rPr>
          <w:rFonts w:ascii="Arial" w:cs="Arial" w:eastAsia="Arial" w:hAnsi="Arial"/>
          <w:sz w:val="16"/>
          <w:szCs w:val="16"/>
          <w:color w:val="auto"/>
        </w:rPr>
        <w:t>a stockholder proposal; (iii) as to the stockholder giving the notice or, if the notice is given on behalf of a beneficial owner on whose behalf the business is being proposed, as to the beneficial owner, (A) the class, series and number of shares of the corporation that are owned beneficially by the stockholder or beneficial owner and any associated person thereof as of the date of the notice, (B)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w:t>
      </w:r>
    </w:p>
    <w:p>
      <w:pPr>
        <w:spacing w:after="0" w:line="2" w:lineRule="exact"/>
        <w:rPr>
          <w:sz w:val="20"/>
          <w:szCs w:val="20"/>
          <w:color w:val="auto"/>
        </w:rPr>
      </w:pPr>
    </w:p>
    <w:p>
      <w:pPr>
        <w:jc w:val="both"/>
        <w:ind w:firstLine="8"/>
        <w:spacing w:after="0" w:line="286" w:lineRule="auto"/>
        <w:tabs>
          <w:tab w:leader="none" w:pos="286" w:val="left"/>
        </w:tabs>
        <w:numPr>
          <w:ilvl w:val="0"/>
          <w:numId w:val="3"/>
        </w:numPr>
        <w:rPr>
          <w:rFonts w:ascii="Arial" w:cs="Arial" w:eastAsia="Arial" w:hAnsi="Arial"/>
          <w:sz w:val="16"/>
          <w:szCs w:val="16"/>
          <w:color w:val="auto"/>
        </w:rPr>
      </w:pPr>
      <w:r>
        <w:rPr>
          <w:rFonts w:ascii="Arial" w:cs="Arial" w:eastAsia="Arial" w:hAnsi="Arial"/>
          <w:sz w:val="16"/>
          <w:szCs w:val="16"/>
          <w:color w:val="auto"/>
        </w:rPr>
        <w:t>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such business between or among the stockholder or beneficial owner and any associated person thereof, and any others (including their names) acting in concert with any of the foregoing (including any agreement that would be required to be disclosed pursuant to Item 5 or Item 6 of Schedule 13D under the Exchange Act (or any successor schedule),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(or a qualified representative of the stockholder) intends to appear in person or by proxy at the meeting to propose such business.</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Notwithstanding anything in these bylaws to the contrary, (a) no business shall be conducted at the annual meeting except in accordance with the procedures set forth in this Section; provided, however, that nothing in this Section shall be deemed to preclude discussion by any stockholder of any business properly brought before the annual meeting; and (b) unless otherwise required by law, if a stockholder intending to propose business at an annual meeting pursuant to the preceding paragraph does not provide the updated information required under clauses (ii) and (iii) of the preceding paragraph to the corporation promptly following the later of the record date or the date on which public announcement of the record date was first made, or the stockholder (or a qualified representative of the stockholder) does not appear at the meeting to present the proposed business, such business shall not be transacted, notwithstanding that proxies in respect of such business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business at the meeting by the 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business to be considered pursuant to the preceding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 nominations of persons for election to the Board if and to the extent provided for under law, the Certificate of Incorporation, or these bylaws.</w:t>
      </w:r>
    </w:p>
    <w:p>
      <w:pPr>
        <w:spacing w:after="0" w:line="19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Chairman of the Board (or such other person presiding at the meeting in accordance with these bylaws) shall, if the facts warrant, determine and declare to the meeting that business was not properly brought before the meeting in accordance with the provisions of this Section, and if he or she should so determine, he or she shall so declare to the meeting and any such business not properly brought before the meeting shall not be transacted.</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(the “SEC”)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 .</w:t>
      </w:r>
    </w:p>
    <w:p>
      <w:pPr>
        <w:spacing w:after="0" w:line="17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u w:val="single" w:color="auto"/>
          <w:color w:val="auto"/>
        </w:rPr>
        <w:t>2.3 Special Meetings</w:t>
      </w:r>
      <w:r>
        <w:rPr>
          <w:rFonts w:ascii="Arial" w:cs="Arial" w:eastAsia="Arial" w:hAnsi="Arial"/>
          <w:sz w:val="16"/>
          <w:szCs w:val="16"/>
          <w:color w:val="auto"/>
        </w:rPr>
        <w:t>. Special meetings of the stockholders may be called for any purpose or purposes, unless otherwise prescribed by statute or by the Certificate of Incorporation, by the Secretary only at (a) the written request of the Chairman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w:t>
      </w:r>
    </w:p>
    <w:p>
      <w:pPr>
        <w:spacing w:after="0" w:line="15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u w:val="single" w:color="auto"/>
          <w:color w:val="auto"/>
        </w:rPr>
        <w:t>2.4 Notice of Meetings</w:t>
      </w:r>
      <w:r>
        <w:rPr>
          <w:rFonts w:ascii="Arial" w:cs="Arial" w:eastAsia="Arial" w:hAnsi="Arial"/>
          <w:sz w:val="17"/>
          <w:szCs w:val="17"/>
          <w:color w:val="auto"/>
        </w:rPr>
        <w:t>. Except as otherwise provided by law,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 stockholder entitled to vote at such meeting not less than 10 nor more than 60 days before the date of the meeting.</w:t>
      </w:r>
    </w:p>
    <w:p>
      <w:pPr>
        <w:spacing w:after="0" w:line="17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u w:val="single" w:color="auto"/>
          <w:color w:val="auto"/>
        </w:rPr>
        <w:t>2.5 List of Stockholders</w:t>
      </w:r>
      <w:r>
        <w:rPr>
          <w:rFonts w:ascii="Arial" w:cs="Arial" w:eastAsia="Arial" w:hAnsi="Arial"/>
          <w:sz w:val="18"/>
          <w:szCs w:val="18"/>
          <w:color w:val="auto"/>
        </w:rPr>
        <w:t>. The officer in charge of the stock ledger of the corporation or the transfer agent shall prepare and make, at least 10 days before every meeting of stockholders, a complete list of the stockholders entitled to vote at the meeting, arranged in alphabetical order, and showing the address of each stockholder and the number of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right="20"/>
        <w:spacing w:after="0" w:line="272" w:lineRule="auto"/>
        <w:rPr>
          <w:sz w:val="20"/>
          <w:szCs w:val="20"/>
          <w:color w:val="auto"/>
        </w:rPr>
      </w:pPr>
      <w:r>
        <w:rPr>
          <w:rFonts w:ascii="Arial" w:cs="Arial" w:eastAsia="Arial" w:hAnsi="Arial"/>
          <w:sz w:val="17"/>
          <w:szCs w:val="17"/>
          <w:color w:val="auto"/>
        </w:rPr>
        <w:t>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w:t>
      </w:r>
    </w:p>
    <w:p>
      <w:pPr>
        <w:spacing w:after="0" w:line="17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u w:val="single" w:color="auto"/>
          <w:color w:val="auto"/>
        </w:rPr>
        <w:t>2.6 Organization and Conduct of Business</w:t>
      </w:r>
      <w:r>
        <w:rPr>
          <w:rFonts w:ascii="Arial" w:cs="Arial" w:eastAsia="Arial" w:hAnsi="Arial"/>
          <w:sz w:val="18"/>
          <w:szCs w:val="18"/>
          <w:color w:val="auto"/>
        </w:rPr>
        <w:t>. The Chairman of the Board or, in his or her absence, the Chief Executive Officer or President of the corporation or, in their absence, such person as the Board may have designated or, in the absence of such a person,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chair of any meeting of stockholders shall determine the order of business and the procedure at the meeting, including such regulation of the manner of voting and the conduct of discussion as seems to him or her in order.</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u w:val="single" w:color="auto"/>
          <w:color w:val="auto"/>
        </w:rPr>
        <w:t>2.7 Quorum</w:t>
      </w:r>
      <w:r>
        <w:rPr>
          <w:rFonts w:ascii="Arial" w:cs="Arial" w:eastAsia="Arial" w:hAnsi="Arial"/>
          <w:sz w:val="18"/>
          <w:szCs w:val="18"/>
          <w:color w:val="auto"/>
        </w:rPr>
        <w:t>. Except where otherwise provided by law or the Certificate of Incorporation or these bylaws, the holders of a majority of the voting power of the capital stock issued and outstanding and entitled to vote, present in person or represented by proxy, shall constitute a quorum for the transaction of business at all meetings of the stockholders.</w:t>
      </w:r>
    </w:p>
    <w:p>
      <w:pPr>
        <w:spacing w:after="0" w:line="18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u w:val="single" w:color="auto"/>
          <w:color w:val="auto"/>
        </w:rPr>
        <w:t>2.8 Adjournments</w:t>
      </w:r>
      <w:r>
        <w:rPr>
          <w:rFonts w:ascii="Arial" w:cs="Arial" w:eastAsia="Arial" w:hAnsi="Arial"/>
          <w:sz w:val="17"/>
          <w:szCs w:val="17"/>
          <w:color w:val="auto"/>
        </w:rPr>
        <w:t>. Any meeting of stockholders may be adjourned from time to time to any other time and to any other place at which a meeting of stockholders may be held under these bylaws, which time and place shall be announced at the meeting. At such adjourned meeting at which a quorum shall be present or represented, any business may be transacted which might have been transacted at the original meeting. When a meeting is adjourned to another place, date or time, notice need not be given of the adjourned meeting if the place, date and time thereof are announced at the meeting at which the adjournment is taken; provided, however, that if the date of any adjourned meeting is more than 30 days after the date for which the meeting was originally noticed, or if a new record date is fixed for the adjourned meeting, written notice of the place, if any, date, time and means of remote communications, if any, of the adjourned meeting shall be given in conformity herewith.</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u w:val="single" w:color="auto"/>
          <w:color w:val="auto"/>
        </w:rPr>
        <w:t>2.9 Voting Rights</w:t>
      </w:r>
      <w:r>
        <w:rPr>
          <w:rFonts w:ascii="Arial" w:cs="Arial" w:eastAsia="Arial" w:hAnsi="Arial"/>
          <w:sz w:val="18"/>
          <w:szCs w:val="18"/>
          <w:color w:val="auto"/>
        </w:rPr>
        <w:t>. Unless otherwise provided in the Certificate of Incorporation, each stockholder shall at every meeting of the stockholders be entitled to one vote for each share of the capital stock having voting power held by such stockholder.</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u w:val="single" w:color="auto"/>
          <w:color w:val="auto"/>
        </w:rPr>
        <w:t>2.10 Action at Meetings</w:t>
      </w:r>
      <w:r>
        <w:rPr>
          <w:rFonts w:ascii="Arial" w:cs="Arial" w:eastAsia="Arial" w:hAnsi="Arial"/>
          <w:sz w:val="18"/>
          <w:szCs w:val="18"/>
          <w:color w:val="auto"/>
        </w:rPr>
        <w:t>. When a quorum is present at any meeting, the vote of the holders of a majority of the voting power of the capital stock present in person or represented by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t>proxy and entitled to vote on the question shall decide any question brought before such meeting, unless the question is one upon which by express provision of law or of the Certificate of Incorporation or of these bylaws, a different vote is required, in which case such express provision shall govern and control the decision of such question. Commencing with the corporation’s 2022 annual meeting of stockholders, a nominee for director shall be elected to the Board if the number of votes cast “for” such nominee’s election exceed the number of votes cast “against” such nominee’s election (with “abstentions” and “broker non-votes” (or other shares of capital stock of the corporation similarly not entitled to vote) not counted as a vote cast either “for” or “against” that director’s election); provided, however, that directors shall be elected by a plurality of the votes cast at any meeting of stockholders for which (a) the Secretary of the corporation receives a notice that a stockholder has nominated a person for election to the Board in compliance with the advance notice requirements for nominations set forth in Section 3.1 of these bylaws and (b) such nomination has not been withdrawn by such stockholder on or before the fourteenth (14th) day preceding the date the corporation files its definitive proxy statement (regardless of whether or not thereafter revised or supplemented) with the SEC for the applicable meeting of stockholders. If directors are to be elected by a plurality of the votes cast, stockholders shall not be permitted to vote against a nominee.</w:t>
      </w:r>
    </w:p>
    <w:p>
      <w:pPr>
        <w:spacing w:after="0" w:line="18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u w:val="single" w:color="auto"/>
          <w:color w:val="auto"/>
        </w:rPr>
        <w:t>2.11 Record Date for Stockholder Notice and Voting</w:t>
      </w:r>
      <w:r>
        <w:rPr>
          <w:rFonts w:ascii="Arial" w:cs="Arial" w:eastAsia="Arial" w:hAnsi="Arial"/>
          <w:sz w:val="17"/>
          <w:szCs w:val="17"/>
          <w:color w:val="auto"/>
        </w:rPr>
        <w:t>. 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shall not be more than 60 days nor fewer than 10 days before the date of any such meeting nor more than 60 days before any other action to which the record date relates. A determination of stockholders of record entitled to notice of or to vote at a meeting of stockholders shall apply to any adjournment of the meeting; provided, however, that the Board may fix a new record date for the adjourned meeting. If the Board does not so fix a record date,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u w:val="single" w:color="auto"/>
          <w:color w:val="auto"/>
        </w:rPr>
        <w:t>2.12 Proxies</w:t>
      </w:r>
      <w:r>
        <w:rPr>
          <w:rFonts w:ascii="Arial" w:cs="Arial" w:eastAsia="Arial" w:hAnsi="Arial"/>
          <w:sz w:val="18"/>
          <w:szCs w:val="18"/>
          <w:color w:val="auto"/>
        </w:rPr>
        <w:t>. Each stockholder entitled to vote at a meeting of stockholders may authorize another person or persons to act for such stockholder by proxy, but no such proxy shall be voted or acted upon after three years from its date, unless the proxy provides for a longer period. All proxies must be filed with the Secretary of the corporation or the inspector of election for the meeting at the beginning of such meeting in order to be counted in any vote at the meeting. Subject to the limitation set forth in the last clause of the first sentence of this Section 2.12, a duly executed proxy that does not state that it is irrevocable shall continue in full force and effect unless (i) revoked by the person executing it, before the vote pursuant to that proxy, by a writing delivered to the corporation stating that the proxy is revoked or by a subsequent proxy executed by, or attendance at the meeting and voting in person by, the person executing the proxy, or (ii) written notice of the death or incapacity of the maker of that proxy is received by the corporation before the vote pursuant to that proxy is counted.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ind w:right="100" w:firstLine="648"/>
        <w:spacing w:after="0" w:line="275" w:lineRule="auto"/>
        <w:rPr>
          <w:sz w:val="20"/>
          <w:szCs w:val="20"/>
          <w:color w:val="auto"/>
        </w:rPr>
      </w:pPr>
      <w:r>
        <w:rPr>
          <w:rFonts w:ascii="Arial" w:cs="Arial" w:eastAsia="Arial" w:hAnsi="Arial"/>
          <w:sz w:val="17"/>
          <w:szCs w:val="17"/>
          <w:u w:val="single" w:color="auto"/>
          <w:color w:val="auto"/>
        </w:rPr>
        <w:t>2.13 Inspectors of Election</w:t>
      </w:r>
      <w:r>
        <w:rPr>
          <w:rFonts w:ascii="Arial" w:cs="Arial" w:eastAsia="Arial" w:hAnsi="Arial"/>
          <w:sz w:val="17"/>
          <w:szCs w:val="17"/>
          <w:color w:val="auto"/>
        </w:rPr>
        <w:t>. 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w:t>
      </w:r>
    </w:p>
    <w:p>
      <w:pPr>
        <w:spacing w:after="0" w:line="1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u w:val="single" w:color="auto"/>
          <w:color w:val="auto"/>
        </w:rPr>
        <w:t>2.14 Action Without a Meeting</w:t>
      </w:r>
      <w:r>
        <w:rPr>
          <w:rFonts w:ascii="Arial" w:cs="Arial" w:eastAsia="Arial" w:hAnsi="Arial"/>
          <w:sz w:val="18"/>
          <w:szCs w:val="18"/>
          <w:color w:val="auto"/>
        </w:rPr>
        <w:t>. Except as otherwise provided for or fixed pursuant to the provisions of the Certificate of Incorporation relating to the rights of holders of any series of Preferred Stock to act by written consent, no action required or permitted to be taken at any annual or special meeting of the stockholders of the corporation may be taken without a meeting and the power of the stockholders to consent in writing, without a meeting, to the taking of any action is specifically denied.</w:t>
      </w:r>
    </w:p>
    <w:p>
      <w:pPr>
        <w:spacing w:after="0" w:line="1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3.1 Number, Election, Tenure and Qualifications</w:t>
      </w:r>
      <w:r>
        <w:rPr>
          <w:rFonts w:ascii="Arial" w:cs="Arial" w:eastAsia="Arial" w:hAnsi="Arial"/>
          <w:sz w:val="18"/>
          <w:szCs w:val="18"/>
          <w:color w:val="auto"/>
        </w:rPr>
        <w:t>. The authorized number of directors shall be determined from time to time by resolution adopted by the Board, provided the Board shall consist of at least one member. No decrease in the number of authorized directors shall have the effect of removing any director before that director’s term of office expires. The classes of directors that shall constitute the entire Board shall be as provided in the Certificate of Incorporation.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each annual meeting of the stockholders, directors shall be elected for that class of directors whose terms are then expiring, except as otherwise provided in Section 3.2, and each director so elected shall hold office until such director’s successor is duly elected and qualified or until such director’s earlier resignation, removal, death or incapacity.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Only persons who are nominated in accordance with the following procedures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at the time of giving of the notice provided for in this Section and at the time of the annual meeting, who is entitled to vote for the election of directors at the meeting, and who complies with the notice procedures set forth in this Section. A stockholder may make such a nomination only if such stockholder has given timely notice to the Secretary of the corporation in proper written form of the stockholder’s intent to make such a nomination.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be timely, with respect to an annual meeting of stockholders,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 such scheduled annual meeting and (y) the 10th day following the earlier to occur of the day on which notice of the date of the scheduled annual meeting was mailed or the day on which public announcement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A stockholder’s notice to the Secretary shall set forth the following: (i) as to each person whom the stockholder proposes to nominate for election or reelection as a director, (A) the name, age, business address and residence address of the person, (B) the principal occupation or employment of the person, (C) the class, series and number of shares of capital stock of the corporation that are owned of record and beneficially by the person, (D) a statement as to the person’s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person, and such person’s respective affiliates and associates, or others (including their names) acting in concert therewith, on the other hand, including all information that would be required to be disclosed pursuant to Item 404 of Regulation S-K promulgated by the Securities and Exchange Commission assuming for this purpose that the stockholder, the beneficial owner on whose behalf the nomination is being made, if any, and any person who is an associated person of the stockholder or the beneficial owner were the “registrant” and such person were a director or executive officer of such registrant,</w:t>
      </w:r>
    </w:p>
    <w:p>
      <w:pPr>
        <w:spacing w:after="0" w:line="5" w:lineRule="exact"/>
        <w:rPr>
          <w:sz w:val="20"/>
          <w:szCs w:val="20"/>
          <w:color w:val="auto"/>
        </w:rPr>
      </w:pPr>
    </w:p>
    <w:p>
      <w:pPr>
        <w:jc w:val="both"/>
        <w:ind w:firstLine="8"/>
        <w:spacing w:after="0" w:line="285" w:lineRule="auto"/>
        <w:tabs>
          <w:tab w:leader="none" w:pos="276"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other information relating to the person that is required to be disclosed in solicitations for proxies for election of directors in a contested election pursuant to Section 14 of the Exchange Act and the rules and regulations promulgated thereunder, (G) a statement whether such person, if elected, intends to tender, promptly following such person’s election or reelection, an irrevocable resignation effective upon such person’s failure to receive the required vote for reelection at any future meeting at which such person would face reelection and acceptance of such resignation by the Board, in accordance with the corporation’s director resignation policy; and (H) the person’s written consent to being named in the proxy statement as a nominee and to serving as a director if elected; (ii) as to the stockholder giving the notice and the beneficial owner, if any, on whose behalf the nomination is being made,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 representation as to whether the stockholder or the beneficial owner, if any, intends, or is or intends to be part of a group that intends, to deliver a proxy statement and/or form of proxy to holders of at least the percentage of the corporation’s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284" w:lineRule="auto"/>
        <w:rPr>
          <w:sz w:val="20"/>
          <w:szCs w:val="20"/>
          <w:color w:val="auto"/>
        </w:rPr>
      </w:pPr>
      <w:r>
        <w:rPr>
          <w:rFonts w:ascii="Arial" w:cs="Arial" w:eastAsia="Arial" w:hAnsi="Arial"/>
          <w:sz w:val="16"/>
          <w:szCs w:val="16"/>
          <w:color w:val="auto"/>
        </w:rPr>
        <w:t>outstanding shares that, together with the shares owned by the stockholder or the beneficial owner and any such group, would be required to approve the nomination or otherwise to solicit proxies from stockholders in support of the nomination, and (D)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(iii) as to the stockholder giving the notice or, if the notice is given on behalf of a beneficial owner on whose behalf the nomination is being made, as to the beneficial owner, (A) the class, series and number of shares of the corporation that are owned beneficially by the stockholder or beneficial owner and any person who is an associated person thereof as of the date of the notice, (B) any derivative or short positions held or beneficially held by the stockholder or beneficial owner and any person who is an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person who is an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the nomination between or among the stockholder or beneficial owner and any person who is an associated person thereof, and any others (including their names) acting in concert with any of the foregoing (including any agreement that would be required to be disclosed pursuant to Item 5 or Item 6 of Schedule 13D under the Exchange Act,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giving the notice (or a qualified representative of the stockholder) intends to appear in person or by proxy at the meeting to nominate the person or persons specified in the notice.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 person shall be eligible for election as a director of the corporation unless nominated in accordance with the procedures set forth herein.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w:t>
      </w:r>
    </w:p>
    <w:p>
      <w:pPr>
        <w:spacing w:after="0" w:line="3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any annual meeting of the stockholders, the Chairman of the Board (or such other person presiding at such meeting in accordance with these bylaws) shall, if the facts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warrant, determine and declare to the meeting that a nomination was not made in accordance with the foregoing procedure, and if he or she should so determine, he or she shall so declare to the meeting and the defective nomination shall be disregarded. Notwithstanding anything in these bylaws to the contrary, unless otherwise required by law, if a stockholder intending to make a nomination at an annual meeting pursuant to the preceding paragraph does not provide the updated information required under clauses (ii) and (iii) of the preceding 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 shall be disregarded, notwithstanding that proxies in respect of such nomination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nomination at the meeting by the stockholder giving the notice stating that the person is authorized to act for the stockholder as proxy at the meeting of stockholders.</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u w:val="single" w:color="auto"/>
          <w:color w:val="auto"/>
        </w:rPr>
        <w:t>3.2 Enlargement and Vacancies</w:t>
      </w:r>
      <w:r>
        <w:rPr>
          <w:rFonts w:ascii="Arial" w:cs="Arial" w:eastAsia="Arial" w:hAnsi="Arial"/>
          <w:sz w:val="16"/>
          <w:szCs w:val="16"/>
          <w:color w:val="auto"/>
        </w:rPr>
        <w:t>. The number of members of the Board may be increased at any time as provided in 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of the class of directors in which the new directorship was created or in which the vacancy occurred, and until such director’s successor is duly elected and qualified or until such director’s earlier death, resignation or removal from office. If there are no directors in office, then an election of directors may be held in the manner provided by statute. In the event of a vacancy in the Board, the remaining directors, except as otherwise provided by law or these bylaws, may exercise the powers of the full Board until the vacancy is filled.</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u w:val="single" w:color="auto"/>
          <w:color w:val="auto"/>
        </w:rPr>
        <w:t>3.3 Resignation and Removal</w:t>
      </w:r>
      <w:r>
        <w:rPr>
          <w:rFonts w:ascii="Arial" w:cs="Arial" w:eastAsia="Arial" w:hAnsi="Arial"/>
          <w:sz w:val="18"/>
          <w:szCs w:val="18"/>
          <w:color w:val="auto"/>
        </w:rPr>
        <w:t>. Any director may resign at any time upon written notice to the corporation at its principal place of business addressed to the attention of the Chief Executive Officer or the Secretary. Such resignation shall be effective upon receipt of such notice unless the notice specifies such resignation to be effective at some other time or upon the happening of some other event. Any director or the entire Board may be removed, but only for cause, by the holders of sixty-six and two-thirds percent of the voting power of all of the then outstanding shares of the shares of the capital stock of the corporation entitled to vote generally in the election of directors, voting as a single class, unless otherwise specified by law or the Certificate of Incorporation.</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u w:val="single" w:color="auto"/>
          <w:color w:val="auto"/>
        </w:rPr>
        <w:t>3.4 Powers</w:t>
      </w:r>
      <w:r>
        <w:rPr>
          <w:rFonts w:ascii="Arial" w:cs="Arial" w:eastAsia="Arial" w:hAnsi="Arial"/>
          <w:sz w:val="18"/>
          <w:szCs w:val="18"/>
          <w:color w:val="auto"/>
        </w:rPr>
        <w:t>. The business of the corporation shall be managed by or under the direction of the Board,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300" w:firstLine="648"/>
        <w:spacing w:after="0" w:line="263" w:lineRule="auto"/>
        <w:rPr>
          <w:sz w:val="20"/>
          <w:szCs w:val="20"/>
          <w:color w:val="auto"/>
        </w:rPr>
      </w:pPr>
      <w:r>
        <w:rPr>
          <w:rFonts w:ascii="Arial" w:cs="Arial" w:eastAsia="Arial" w:hAnsi="Arial"/>
          <w:sz w:val="18"/>
          <w:szCs w:val="18"/>
          <w:u w:val="single" w:color="auto"/>
          <w:color w:val="auto"/>
        </w:rPr>
        <w:t>3.5 Chairman of the Board</w:t>
      </w:r>
      <w:r>
        <w:rPr>
          <w:rFonts w:ascii="Arial" w:cs="Arial" w:eastAsia="Arial" w:hAnsi="Arial"/>
          <w:sz w:val="18"/>
          <w:szCs w:val="18"/>
          <w:color w:val="auto"/>
        </w:rPr>
        <w:t>. If the Board appoints a Chairman of the Board, such Chair shall, when present, preside at all meetings of the stockholders and the Board. The Chair shall perform such duties and possess such powers as are customarily vested in the office of the Chairman of the Board or as may be vested in the Chair by the Board.</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u w:val="single" w:color="auto"/>
          <w:color w:val="auto"/>
        </w:rPr>
        <w:t>3.6</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 The Board may hold meetings, both regular and special, either within or without the State of Delaware.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u w:val="single" w:color="auto"/>
          <w:color w:val="auto"/>
        </w:rPr>
        <w:t>3.7 Annual Meetings</w:t>
      </w:r>
      <w:r>
        <w:rPr>
          <w:rFonts w:ascii="Arial" w:cs="Arial" w:eastAsia="Arial" w:hAnsi="Arial"/>
          <w:sz w:val="17"/>
          <w:szCs w:val="17"/>
          <w:color w:val="auto"/>
        </w:rPr>
        <w:t>. The annual meetings of the Board shall be held immediately following the annual meeting of stockholders, and no notice of such meeting shall be necessary to the Board, provided a quorum shall be present, or shall be held at the next regularly scheduled meeting of the Board or at such other date, time and place as shall be designated from time to time by the Board and stated in the notice of the meeting. The annual meetings shall be for the purposes of organization, and an election of officers and the transaction of other business.</w:t>
      </w:r>
    </w:p>
    <w:p>
      <w:pPr>
        <w:spacing w:after="0" w:line="17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u w:val="single" w:color="auto"/>
          <w:color w:val="auto"/>
        </w:rPr>
        <w:t>3.8 Regular Meetings</w:t>
      </w:r>
      <w:r>
        <w:rPr>
          <w:rFonts w:ascii="Arial" w:cs="Arial" w:eastAsia="Arial" w:hAnsi="Arial"/>
          <w:sz w:val="16"/>
          <w:szCs w:val="16"/>
          <w:color w:val="auto"/>
        </w:rPr>
        <w:t>. Regular meetings of the Board may be held without notice at such time and place as may be determined from time to time by the Board; provided that any director who is absent when such a determination is made shall be given prompt notice of such determination.</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u w:val="single" w:color="auto"/>
          <w:color w:val="auto"/>
        </w:rPr>
        <w:t>3.9 Special Meetings</w:t>
      </w:r>
      <w:r>
        <w:rPr>
          <w:rFonts w:ascii="Arial" w:cs="Arial" w:eastAsia="Arial" w:hAnsi="Arial"/>
          <w:sz w:val="17"/>
          <w:szCs w:val="17"/>
          <w:color w:val="auto"/>
        </w:rPr>
        <w:t>. Special meetings of the Board may be called by the Chairman of the Board, the Chief Executive Officer (if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 meeting. In case such notice is delivered personally or by telephone or by commercial delivery service, facsimile transmission, or electronic mail or other electronic means, it shall be so delivered at least twenty-four hours prior to the time of the holding of the meeting. A notice or waiver of notice of a meeting of the Board need not specify the purposes of the meeting.</w:t>
      </w:r>
    </w:p>
    <w:p>
      <w:pPr>
        <w:spacing w:after="0" w:line="178"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u w:val="single" w:color="auto"/>
          <w:color w:val="auto"/>
        </w:rPr>
        <w:t>3.10 Quorum, Action at Meeting, Adjournments</w:t>
      </w:r>
      <w:r>
        <w:rPr>
          <w:rFonts w:ascii="Arial" w:cs="Arial" w:eastAsia="Arial" w:hAnsi="Arial"/>
          <w:sz w:val="16"/>
          <w:szCs w:val="16"/>
          <w:color w:val="auto"/>
        </w:rPr>
        <w:t>. At all meetings of the Board, a majority of directors then in office, but in no event less than one-third of the entire Board, shall constitute a quorum for the transaction of business and the act of a majority of the directors present at any meeting at which there is a quorum shall be the act of the Board, except as may be otherwise specifically provided by law or by the Certificate of Incorporation. For purposes of this Section, the term “entire Board” shall mean the number of directors last fixed by directors in accordance with these bylaws; provided, however, that if fewer than all the number of directors so fixed have been elected (by the stockholders or the Board), the “entire Board” shall mean the greatest number of directors so elected to hold office at any one time pursuant to such authorization. The act of a majority of the directors present at any meeting at which there is a quorum shall be the act of the Board, except as may be otherwise specifically provided by law or by the Certificate of Incorporation. If a quorum shall not be present at any meeting of the Board, a majority of the directors present thereat may adjourn the meeting from time to time, without notice other than announcement at the meeting, until a quorum shall be present.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ind w:right="20" w:firstLine="648"/>
        <w:spacing w:after="0" w:line="259" w:lineRule="auto"/>
        <w:rPr>
          <w:sz w:val="20"/>
          <w:szCs w:val="20"/>
          <w:color w:val="auto"/>
        </w:rPr>
      </w:pPr>
      <w:r>
        <w:rPr>
          <w:rFonts w:ascii="Arial" w:cs="Arial" w:eastAsia="Arial" w:hAnsi="Arial"/>
          <w:sz w:val="18"/>
          <w:szCs w:val="18"/>
          <w:u w:val="single" w:color="auto"/>
          <w:color w:val="auto"/>
        </w:rPr>
        <w:t>3.11 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3.12 Telephone Meetings</w:t>
      </w:r>
      <w:r>
        <w:rPr>
          <w:rFonts w:ascii="Arial" w:cs="Arial" w:eastAsia="Arial" w:hAnsi="Arial"/>
          <w:sz w:val="18"/>
          <w:szCs w:val="18"/>
          <w:color w:val="auto"/>
        </w:rPr>
        <w:t>. Unless otherwise restricted by the Certificate of Incorporation or these bylaws, any member of the Board or any committee thereof may participate in a meeting of the Board or of any committee, as the case may be, by means of conference telephone or by any form of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u w:val="single" w:color="auto"/>
          <w:color w:val="auto"/>
        </w:rPr>
        <w:t>3.13 Committees</w:t>
      </w:r>
      <w:r>
        <w:rPr>
          <w:rFonts w:ascii="Arial" w:cs="Arial" w:eastAsia="Arial" w:hAnsi="Arial"/>
          <w:sz w:val="16"/>
          <w:szCs w:val="16"/>
          <w:color w:val="auto"/>
        </w:rPr>
        <w:t>. The Board may, by resolution,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General Corporation Law of the State of Delaware (the “DGCL”) to be submitted to stockholders for approval or (ii) adopting, amending or repealing any of these bylaws. Such committee or committees shall have such name or names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17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u w:val="single" w:color="auto"/>
          <w:color w:val="auto"/>
        </w:rPr>
        <w:t>3.14 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Officers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 w:name="page19"/>
    <w:bookmarkEnd w:id="18"/>
    <w:p>
      <w:pPr>
        <w:ind w:right="180" w:firstLine="648"/>
        <w:spacing w:after="0" w:line="257" w:lineRule="auto"/>
        <w:rPr>
          <w:sz w:val="20"/>
          <w:szCs w:val="20"/>
          <w:color w:val="auto"/>
        </w:rPr>
      </w:pPr>
      <w:r>
        <w:rPr>
          <w:rFonts w:ascii="Arial" w:cs="Arial" w:eastAsia="Arial" w:hAnsi="Arial"/>
          <w:sz w:val="18"/>
          <w:szCs w:val="18"/>
          <w:u w:val="single" w:color="auto"/>
          <w:color w:val="auto"/>
        </w:rPr>
        <w:t>4.1 Officers Designated</w:t>
      </w:r>
      <w:r>
        <w:rPr>
          <w:rFonts w:ascii="Arial" w:cs="Arial" w:eastAsia="Arial" w:hAnsi="Arial"/>
          <w:sz w:val="18"/>
          <w:szCs w:val="18"/>
          <w:color w:val="auto"/>
        </w:rPr>
        <w:t>. The officers of the corporation shall be a Chief Executive Officer and/or President, a Secretary and a Chief Financial Officer, each of whom shall be appointed by the Board. The Board may also appoint one or more Vice Presidents, a Treasurer, 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u w:val="single" w:color="auto"/>
          <w:color w:val="auto"/>
        </w:rPr>
        <w:t>4.2 Election</w:t>
      </w:r>
      <w:r>
        <w:rPr>
          <w:rFonts w:ascii="Arial" w:cs="Arial" w:eastAsia="Arial" w:hAnsi="Arial"/>
          <w:sz w:val="18"/>
          <w:szCs w:val="18"/>
          <w:color w:val="auto"/>
        </w:rPr>
        <w:t>. The Board at its first meeting after each annual meeting of stockholders shall appoint a Chief Executive Officer and/or President, a Secretary and a Chief Financial Officer. Other officers may be appointed by the Board of Directors at such meeting, at any other meeting, or by written consent.</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u w:val="single" w:color="auto"/>
          <w:color w:val="auto"/>
        </w:rPr>
        <w:t>4.3 Tenure</w:t>
      </w:r>
      <w:r>
        <w:rPr>
          <w:rFonts w:ascii="Arial" w:cs="Arial" w:eastAsia="Arial" w:hAnsi="Arial"/>
          <w:sz w:val="18"/>
          <w:szCs w:val="18"/>
          <w:color w:val="auto"/>
        </w:rPr>
        <w:t>. Each officer of the corporation shall hold office until such officer’s successor is elected and qualified, unless a 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9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u w:val="single" w:color="auto"/>
          <w:color w:val="auto"/>
        </w:rPr>
        <w:t>4.4 Chief Executive Officer</w:t>
      </w:r>
      <w:r>
        <w:rPr>
          <w:rFonts w:ascii="Arial" w:cs="Arial" w:eastAsia="Arial" w:hAnsi="Arial"/>
          <w:sz w:val="17"/>
          <w:szCs w:val="17"/>
          <w:color w:val="auto"/>
        </w:rPr>
        <w:t>. The Chief Executive Officer shall, subject to the control of the Board, have general executive charge, management and control of the business of the corporation and its officers and see that all orders and resolutions of the Board are carried into effect. In addition, the Chief Executive Officer shall perform such other duties and have such other powers as may from time to time be prescribed by the Board or as are set forth in the Certificate of Incorporation or these bylaws. If the Board of Directors has not elected or appointed a President or the office of the President is otherwise vacant, and no officer otherwise functions with the powers and duties of the President, then, unless otherwise determined by the Board of Directors, the Chief Executive Officer shall also have all the powers and duties of the President.</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4.5 President</w:t>
      </w:r>
      <w:r>
        <w:rPr>
          <w:rFonts w:ascii="Arial" w:cs="Arial" w:eastAsia="Arial" w:hAnsi="Arial"/>
          <w:sz w:val="18"/>
          <w:szCs w:val="18"/>
          <w:color w:val="auto"/>
        </w:rPr>
        <w:t>. The President shall, in the event there be no Chief Executive Officer or in the absence of the Chief 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u w:val="single" w:color="auto"/>
          <w:color w:val="auto"/>
        </w:rPr>
        <w:t>4.6 Chief Financial Officer</w:t>
      </w:r>
      <w:r>
        <w:rPr>
          <w:rFonts w:ascii="Arial" w:cs="Arial" w:eastAsia="Arial" w:hAnsi="Arial"/>
          <w:sz w:val="18"/>
          <w:szCs w:val="18"/>
          <w:color w:val="auto"/>
        </w:rPr>
        <w:t>. The Chief Financial Officer shall supervise the corporation’s treasury functions and financial 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 w:name="page20"/>
    <w:bookmarkEnd w:id="19"/>
    <w:p>
      <w:pPr>
        <w:spacing w:after="0" w:line="275" w:lineRule="auto"/>
        <w:rPr>
          <w:sz w:val="20"/>
          <w:szCs w:val="20"/>
          <w:color w:val="auto"/>
        </w:rPr>
      </w:pPr>
      <w:r>
        <w:rPr>
          <w:rFonts w:ascii="Arial" w:cs="Arial" w:eastAsia="Arial" w:hAnsi="Arial"/>
          <w:sz w:val="17"/>
          <w:szCs w:val="17"/>
          <w:color w:val="auto"/>
        </w:rPr>
        <w:t>the name and to the credit of the corporation in such depositories as may be designated by the Board. The Chief Financial Officer shall disburse, or cause to be disbursed, the funds of the corporation as may be ordered by the Board, taking proper vouchers for such disbursements, and 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u w:val="single" w:color="auto"/>
          <w:color w:val="auto"/>
        </w:rPr>
        <w:t>4.7 Vice President</w:t>
      </w:r>
      <w:r>
        <w:rPr>
          <w:rFonts w:ascii="Arial" w:cs="Arial" w:eastAsia="Arial" w:hAnsi="Arial"/>
          <w:sz w:val="18"/>
          <w:szCs w:val="18"/>
          <w:color w:val="auto"/>
        </w:rPr>
        <w:t>. Each Vice President, if any are elected, of whom one or more may be designated an Executive Vice President or Senior Vice President, shall perform such other duties and have such other powers as may from time to time be prescribed for him or her by the Board, the Chief Executive Officer, the President, or these bylaws.</w:t>
      </w:r>
    </w:p>
    <w:p>
      <w:pPr>
        <w:spacing w:after="0" w:line="18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u w:val="single" w:color="auto"/>
          <w:color w:val="auto"/>
        </w:rPr>
        <w:t>4.8 Secretary</w:t>
      </w:r>
      <w:r>
        <w:rPr>
          <w:rFonts w:ascii="Arial" w:cs="Arial" w:eastAsia="Arial" w:hAnsi="Arial"/>
          <w:sz w:val="17"/>
          <w:szCs w:val="17"/>
          <w:color w:val="auto"/>
        </w:rPr>
        <w:t>. The Secretary shall keep or cause to be kept minutes of all meetings and actions of the Board, committees 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The Secretary shall perform such other duties and have such other powers as may from time to time be prescribed by the Board, the Chief Executive Officer, the President or these bylaws.</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4.9 Assistant Secretary</w:t>
      </w:r>
      <w:r>
        <w:rPr>
          <w:rFonts w:ascii="Arial" w:cs="Arial" w:eastAsia="Arial" w:hAnsi="Arial"/>
          <w:sz w:val="18"/>
          <w:szCs w:val="18"/>
          <w:color w:val="auto"/>
        </w:rPr>
        <w:t>. The Assistant Secretary, or if there be more than one, any Assistant Secretaries in the order designated by the Board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u w:val="single" w:color="auto"/>
          <w:color w:val="auto"/>
        </w:rPr>
        <w:t>4.10 Treasurer and Assistant Treasurers</w:t>
      </w:r>
      <w:r>
        <w:rPr>
          <w:rFonts w:ascii="Arial" w:cs="Arial" w:eastAsia="Arial" w:hAnsi="Arial"/>
          <w:sz w:val="18"/>
          <w:szCs w:val="18"/>
          <w:color w:val="auto"/>
        </w:rPr>
        <w:t>. The Treasurer (if one is appointed) shall have such duties as may be specified by 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u w:val="single" w:color="auto"/>
          <w:color w:val="auto"/>
        </w:rPr>
        <w:t>4.11 Delegation of Authority</w:t>
      </w:r>
      <w:r>
        <w:rPr>
          <w:rFonts w:ascii="Arial" w:cs="Arial" w:eastAsia="Arial" w:hAnsi="Arial"/>
          <w:sz w:val="18"/>
          <w:szCs w:val="18"/>
          <w:color w:val="auto"/>
        </w:rPr>
        <w:t>. The Board may from time to time delegate the powers or duties of any officer to any other officers or agents, notwithstanding any provision hereof.</w:t>
      </w:r>
    </w:p>
    <w:p>
      <w:pPr>
        <w:spacing w:after="0" w:line="1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u w:val="single" w:color="auto"/>
          <w:color w:val="auto"/>
        </w:rPr>
        <w:t>Notices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firstLine="648"/>
        <w:spacing w:after="0" w:line="290" w:lineRule="auto"/>
        <w:rPr>
          <w:sz w:val="20"/>
          <w:szCs w:val="20"/>
          <w:color w:val="auto"/>
        </w:rPr>
      </w:pPr>
      <w:r>
        <w:rPr>
          <w:rFonts w:ascii="Arial" w:cs="Arial" w:eastAsia="Arial" w:hAnsi="Arial"/>
          <w:sz w:val="16"/>
          <w:szCs w:val="16"/>
          <w:u w:val="single" w:color="auto"/>
          <w:color w:val="auto"/>
        </w:rPr>
        <w:t>5.1 Delivery</w:t>
      </w:r>
      <w:r>
        <w:rPr>
          <w:rFonts w:ascii="Arial" w:cs="Arial" w:eastAsia="Arial" w:hAnsi="Arial"/>
          <w:sz w:val="16"/>
          <w:szCs w:val="16"/>
          <w:color w:val="auto"/>
        </w:rPr>
        <w:t>. Whenever, under the provisions of law, or of the Certificate of Incorporation or these bylaws, written notice is required to be given to any director or stockholder,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Unless written notice by mail is required by law, written notice may also be given by commercial delivery service, facsimile transmission, electronic mail or similar electronic means addressed to such director or stockholder at such person’s address as it appears on the records of the corporation, in which case such notice shall be deemed to be given when delivered into the control of the persons charged with effecting such transmission, or when actually transmitted by the person giving the notice by facsimile or electronic mail or similar electronic means to the recipient. Oral notice or other in-hand delivery, in person or by telephone, shall be deemed given at the time it is actually given.</w:t>
      </w:r>
    </w:p>
    <w:p>
      <w:pPr>
        <w:spacing w:after="0" w:line="16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u w:val="single" w:color="auto"/>
          <w:color w:val="auto"/>
        </w:rPr>
        <w:t>5.2 Waiver of Notice</w:t>
      </w:r>
      <w:r>
        <w:rPr>
          <w:rFonts w:ascii="Arial" w:cs="Arial" w:eastAsia="Arial" w:hAnsi="Arial"/>
          <w:sz w:val="17"/>
          <w:szCs w:val="17"/>
          <w:color w:val="auto"/>
        </w:rPr>
        <w:t>. Whenever any notice is required to be given under the provisions of law or of the Certificate of 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Insurance</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u w:val="single" w:color="auto"/>
          <w:color w:val="auto"/>
        </w:rPr>
        <w:t>6.1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 of 1974, as amended from time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time, penalties and amounts paid or to be paid in settlement) actually and reasonably incurred or suffered by such Indemnitee in connection therewith. Each director or officer of the corporation (or any predecessor) who is or was serving as a director, officer, employee or agent of a subsidiary of the corporation shall be deemed to be serving, or have served, at the request of the corporation (or any predecessor). The corporation shall not be required to indemnify or make advances pursuant to Section 6.2 below to a person (A)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u w:val="single" w:color="auto"/>
          <w:color w:val="auto"/>
        </w:rPr>
        <w:t>6.2 Advance Payment</w:t>
      </w:r>
      <w:r>
        <w:rPr>
          <w:rFonts w:ascii="Arial" w:cs="Arial" w:eastAsia="Arial" w:hAnsi="Arial"/>
          <w:sz w:val="18"/>
          <w:szCs w:val="18"/>
          <w:color w:val="auto"/>
        </w:rPr>
        <w:t>. The right to indemnification under this Article 6 shall include the right to be paid by the corporation the expenses incurred by an Indemnitee in defending any such proceeding in advance of its final disposition, such advances to be paid by the corporation within 30 days after the receipt by the corporation of a statement or statements from the claimant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 amounts so advanced if it shall ultimately be determined that such director or officer is not entitled to be indemnified under Section 6.1 or otherwise.</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u w:val="single" w:color="auto"/>
          <w:color w:val="auto"/>
        </w:rPr>
        <w:t>6.3 Non-Exclusivity and Survival of Rights; Amendments</w:t>
      </w:r>
      <w:r>
        <w:rPr>
          <w:rFonts w:ascii="Arial" w:cs="Arial" w:eastAsia="Arial" w:hAnsi="Arial"/>
          <w:sz w:val="16"/>
          <w:szCs w:val="16"/>
          <w:color w:val="auto"/>
        </w:rPr>
        <w:t>. The right to indemnification and the payment of expenses 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6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u w:val="single" w:color="auto"/>
          <w:color w:val="auto"/>
        </w:rPr>
        <w:t>6.4 Determination; Claim</w:t>
      </w:r>
      <w:r>
        <w:rPr>
          <w:rFonts w:ascii="Arial" w:cs="Arial" w:eastAsia="Arial" w:hAnsi="Arial"/>
          <w:sz w:val="16"/>
          <w:szCs w:val="16"/>
          <w:color w:val="auto"/>
        </w:rPr>
        <w:t>. If a claim for indemnification (following the final disposition of a proceeding) or advancement 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u w:val="single" w:color="auto"/>
          <w:color w:val="auto"/>
        </w:rPr>
        <w:t>6.5 Insurance</w:t>
      </w:r>
      <w:r>
        <w:rPr>
          <w:rFonts w:ascii="Arial" w:cs="Arial" w:eastAsia="Arial" w:hAnsi="Arial"/>
          <w:sz w:val="18"/>
          <w:szCs w:val="18"/>
          <w:color w:val="auto"/>
        </w:rPr>
        <w:t>. The corporation may purchase and maintain insurance on its own behalf and on behalf of any person who is or was a director, officer, employee or agent of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right="40"/>
        <w:spacing w:after="0" w:line="259" w:lineRule="auto"/>
        <w:rPr>
          <w:sz w:val="20"/>
          <w:szCs w:val="20"/>
          <w:color w:val="auto"/>
        </w:rPr>
      </w:pPr>
      <w:r>
        <w:rPr>
          <w:rFonts w:ascii="Arial" w:cs="Arial" w:eastAsia="Arial" w:hAnsi="Arial"/>
          <w:sz w:val="18"/>
          <w:szCs w:val="18"/>
          <w:color w:val="auto"/>
        </w:rPr>
        <w:t>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u w:val="single" w:color="auto"/>
          <w:color w:val="auto"/>
        </w:rPr>
        <w:t>6.6 Severability</w:t>
      </w:r>
      <w:r>
        <w:rPr>
          <w:rFonts w:ascii="Arial" w:cs="Arial" w:eastAsia="Arial" w:hAnsi="Arial"/>
          <w:sz w:val="17"/>
          <w:szCs w:val="17"/>
          <w:color w:val="auto"/>
        </w:rPr>
        <w:t>. If any word, clause, provision or provisions of this Article 6 shall be held to be invalid, illegal or 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178"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u w:val="single" w:color="auto"/>
          <w:color w:val="auto"/>
        </w:rPr>
        <w:t>6.7 Reliance</w:t>
      </w:r>
      <w:r>
        <w:rPr>
          <w:rFonts w:ascii="Arial" w:cs="Arial" w:eastAsia="Arial" w:hAnsi="Arial"/>
          <w:sz w:val="17"/>
          <w:szCs w:val="17"/>
          <w:color w:val="auto"/>
        </w:rPr>
        <w:t>. Persons who after the date of the adoption of this provision become or remain directors or officers of the corporation shall be conclusively presumed to have relied on the rights to indemnity, advance of expenses and other rights contained in this Article 6 in entering into or continuing such service. The rights to indemnification and to the advance of expenses conferred in this Article 6 shall apply to claims made against an Indemnitee arising out of acts or omissions that occurred or occur both prior and subsequent to the adoption hereof.</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6.8 Indemnification of Other Persons</w:t>
      </w:r>
      <w:r>
        <w:rPr>
          <w:rFonts w:ascii="Arial" w:cs="Arial" w:eastAsia="Arial" w:hAnsi="Arial"/>
          <w:sz w:val="18"/>
          <w:szCs w:val="18"/>
          <w:color w:val="auto"/>
        </w:rPr>
        <w:t>. This Article 6 shall not limit the right of the corporation, to the extent and in the 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 provided, however,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u w:val="single" w:color="auto"/>
          <w:color w:val="auto"/>
        </w:rPr>
        <w:t>7.1 Certificates for Shares</w:t>
      </w:r>
      <w:r>
        <w:rPr>
          <w:rFonts w:ascii="Arial" w:cs="Arial" w:eastAsia="Arial" w:hAnsi="Arial"/>
          <w:sz w:val="18"/>
          <w:szCs w:val="18"/>
          <w:color w:val="auto"/>
        </w:rPr>
        <w:t>. The shares of the corporation shall be represented by certificates or shall be uncertificated. Certificates for shares, if any, shall be signed by, or in the name of the corporation by, the Chief Executive Officer, the President or a Vice President and by the Chief Financial Officer, the Treasurer or an Assistant Treasurer, or the Secretary or an Assistant Secretary of the corporation.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u w:val="single" w:color="auto"/>
          <w:color w:val="auto"/>
        </w:rPr>
        <w:t>7.2 Signatures on Certificates</w:t>
      </w:r>
      <w:r>
        <w:rPr>
          <w:rFonts w:ascii="Arial" w:cs="Arial" w:eastAsia="Arial" w:hAnsi="Arial"/>
          <w:sz w:val="16"/>
          <w:szCs w:val="16"/>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4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u w:val="single" w:color="auto"/>
          <w:color w:val="auto"/>
        </w:rPr>
        <w:t>7.3 Transfer of Stock</w:t>
      </w:r>
      <w:r>
        <w:rPr>
          <w:rFonts w:ascii="Arial" w:cs="Arial" w:eastAsia="Arial" w:hAnsi="Arial"/>
          <w:sz w:val="17"/>
          <w:szCs w:val="17"/>
          <w:color w:val="auto"/>
        </w:rPr>
        <w:t>. Shares of stock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7.4 Registered Stockholders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u w:val="single" w:color="auto"/>
          <w:color w:val="auto"/>
        </w:rPr>
        <w:t>7.5 Lost, Stolen or Destroyed Certificates</w:t>
      </w:r>
      <w:r>
        <w:rPr>
          <w:rFonts w:ascii="Arial" w:cs="Arial" w:eastAsia="Arial" w:hAnsi="Arial"/>
          <w:sz w:val="16"/>
          <w:szCs w:val="16"/>
          <w:color w:val="auto"/>
        </w:rPr>
        <w:t>. The corporation may direct that a new certificate or certificates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and/or to give the corporation a bond or other adequate security in such sum as it may direct as indemnity against any claim that may be made against the corporation with respect to the certificate alleged to have been lost, stolen or destroyed.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u w:val="single" w:color="auto"/>
          <w:color w:val="auto"/>
        </w:rPr>
        <w:t>8.1 Dividends</w:t>
      </w:r>
      <w:r>
        <w:rPr>
          <w:rFonts w:ascii="Arial" w:cs="Arial" w:eastAsia="Arial" w:hAnsi="Arial"/>
          <w:sz w:val="17"/>
          <w:szCs w:val="17"/>
          <w:color w:val="auto"/>
        </w:rPr>
        <w:t>. Dividends upon the capital stock of the corporation, subject to any restrictions contained in the DGCL or 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w:t>
      </w:r>
    </w:p>
    <w:p>
      <w:pPr>
        <w:spacing w:after="0" w:line="165"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u w:val="single" w:color="auto"/>
          <w:color w:val="auto"/>
        </w:rPr>
        <w:t>8.2 Checks</w:t>
      </w:r>
      <w:r>
        <w:rPr>
          <w:rFonts w:ascii="Arial" w:cs="Arial" w:eastAsia="Arial" w:hAnsi="Arial"/>
          <w:sz w:val="16"/>
          <w:szCs w:val="16"/>
          <w:color w:val="auto"/>
        </w:rPr>
        <w:t>. All checks or demands for money and notes of the corporation shall be signed by such officer or officers or such other person or persons as the Board, or such officers of the corporation as may be designated by the Board to make such designation, may from time to time designate.</w:t>
      </w:r>
    </w:p>
    <w:p>
      <w:pPr>
        <w:spacing w:after="0" w:line="12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u w:val="single" w:color="auto"/>
          <w:color w:val="auto"/>
        </w:rPr>
        <w:t>8.3 Corporate Seal</w:t>
      </w:r>
      <w:r>
        <w:rPr>
          <w:rFonts w:ascii="Arial" w:cs="Arial" w:eastAsia="Arial" w:hAnsi="Arial"/>
          <w:sz w:val="18"/>
          <w:szCs w:val="18"/>
          <w:color w:val="auto"/>
        </w:rPr>
        <w:t>. The Board may, by resolution, adopt a corporate seal. The corporate seal shall have inscribed thereon 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u w:val="single" w:color="auto"/>
          <w:color w:val="auto"/>
        </w:rPr>
        <w:t>8.4 Execution of Corporate Contracts and Instruments</w:t>
      </w:r>
      <w:r>
        <w:rPr>
          <w:rFonts w:ascii="Arial" w:cs="Arial" w:eastAsia="Arial" w:hAnsi="Arial"/>
          <w:sz w:val="18"/>
          <w:szCs w:val="18"/>
          <w:color w:val="auto"/>
        </w:rPr>
        <w:t>.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u w:val="single" w:color="auto"/>
          <w:color w:val="auto"/>
        </w:rPr>
        <w:t>8.5 Representation of Shares of Other Corporations</w:t>
      </w:r>
      <w:r>
        <w:rPr>
          <w:rFonts w:ascii="Arial" w:cs="Arial" w:eastAsia="Arial" w:hAnsi="Arial"/>
          <w:sz w:val="16"/>
          <w:szCs w:val="16"/>
          <w:color w:val="auto"/>
        </w:rPr>
        <w:t>. The Chief Executive Officer, the President or any Vice President, 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is expressly empowered to adopt, amend or repeal these bylaws; provided, however, that any adoption, amendment or repeal of these bylaws by the Board shall require the approval of at least a majority of the directors of the corporation then in office, including the affirmative vote of at least one director from each class of the Board if the Board shall then be divided into classes. The stockholders shall also have power to adopt, amend or repeal these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bylaws; provided, however, that in addition to any vote of the holders of any class or series of stock of the corporation required by law or by the Certificate of 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of the directors of the corporation then in office.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Exclusive Forum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any security of the corporation shall be deemed to have notice of and consented to the provisions of this Article 10.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upperLetter"/>
      <w:start w:val="3"/>
    </w:lvl>
  </w:abstractNum>
  <w:abstractNum w:abstractNumId="3">
    <w:nsid w:val="625558EC"/>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2021-01-25T07:35:41Z</dcterms:created>
  <dcterms:modified xsi:type="dcterms:W3CDTF">2021-01-25T07:35:41Z</dcterms:modified>
</cp:coreProperties>
</file>