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13, 2016</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VERACYTE,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880" w:type="dxa"/>
            <w:vAlign w:val="bottom"/>
          </w:tcPr>
          <w:p>
            <w:pPr>
              <w:jc w:val="center"/>
              <w:ind w:left="1770"/>
              <w:spacing w:after="0"/>
              <w:rPr>
                <w:sz w:val="20"/>
                <w:szCs w:val="20"/>
                <w:color w:val="auto"/>
              </w:rPr>
            </w:pPr>
            <w:r>
              <w:rPr>
                <w:rFonts w:ascii="Arial" w:cs="Arial" w:eastAsia="Arial" w:hAnsi="Arial"/>
                <w:sz w:val="18"/>
                <w:szCs w:val="18"/>
                <w:b w:val="1"/>
                <w:bCs w:val="1"/>
                <w:color w:val="auto"/>
                <w:w w:val="90"/>
              </w:rPr>
              <w:t>001-36156</w:t>
            </w:r>
          </w:p>
        </w:tc>
        <w:tc>
          <w:tcPr>
            <w:tcW w:w="3520" w:type="dxa"/>
            <w:vAlign w:val="bottom"/>
          </w:tcPr>
          <w:p>
            <w:pPr>
              <w:jc w:val="center"/>
              <w:ind w:left="2110"/>
              <w:spacing w:after="0"/>
              <w:rPr>
                <w:sz w:val="20"/>
                <w:szCs w:val="20"/>
                <w:color w:val="auto"/>
              </w:rPr>
            </w:pPr>
            <w:r>
              <w:rPr>
                <w:rFonts w:ascii="Arial" w:cs="Arial" w:eastAsia="Arial" w:hAnsi="Arial"/>
                <w:sz w:val="18"/>
                <w:szCs w:val="18"/>
                <w:b w:val="1"/>
                <w:bCs w:val="1"/>
                <w:color w:val="auto"/>
                <w:w w:val="91"/>
              </w:rPr>
              <w:t>20-5455398</w:t>
            </w:r>
          </w:p>
        </w:tc>
      </w:tr>
      <w:tr>
        <w:trPr>
          <w:trHeight w:val="216"/>
        </w:trPr>
        <w:tc>
          <w:tcPr>
            <w:tcW w:w="1960" w:type="dxa"/>
            <w:vAlign w:val="bottom"/>
          </w:tcPr>
          <w:p>
            <w:pPr>
              <w:jc w:val="center"/>
              <w:spacing w:after="0"/>
              <w:rPr>
                <w:sz w:val="20"/>
                <w:szCs w:val="20"/>
                <w:color w:val="auto"/>
              </w:rPr>
            </w:pPr>
            <w:r>
              <w:rPr>
                <w:rFonts w:ascii="Arial" w:cs="Arial" w:eastAsia="Arial" w:hAnsi="Arial"/>
                <w:sz w:val="18"/>
                <w:szCs w:val="18"/>
                <w:color w:val="auto"/>
                <w:w w:val="91"/>
              </w:rPr>
              <w:t>(State or other jurisdiction</w:t>
            </w:r>
          </w:p>
        </w:tc>
        <w:tc>
          <w:tcPr>
            <w:tcW w:w="3880" w:type="dxa"/>
            <w:vAlign w:val="bottom"/>
          </w:tcPr>
          <w:p>
            <w:pPr>
              <w:jc w:val="center"/>
              <w:ind w:left="1770"/>
              <w:spacing w:after="0"/>
              <w:rPr>
                <w:sz w:val="20"/>
                <w:szCs w:val="20"/>
                <w:color w:val="auto"/>
              </w:rPr>
            </w:pPr>
            <w:r>
              <w:rPr>
                <w:rFonts w:ascii="Arial" w:cs="Arial" w:eastAsia="Arial" w:hAnsi="Arial"/>
                <w:sz w:val="18"/>
                <w:szCs w:val="18"/>
                <w:color w:val="auto"/>
                <w:w w:val="93"/>
              </w:rPr>
              <w:t>(Commission</w:t>
            </w:r>
          </w:p>
        </w:tc>
        <w:tc>
          <w:tcPr>
            <w:tcW w:w="3520" w:type="dxa"/>
            <w:vAlign w:val="bottom"/>
          </w:tcPr>
          <w:p>
            <w:pPr>
              <w:jc w:val="center"/>
              <w:ind w:left="2090"/>
              <w:spacing w:after="0"/>
              <w:rPr>
                <w:sz w:val="20"/>
                <w:szCs w:val="20"/>
                <w:color w:val="auto"/>
              </w:rPr>
            </w:pPr>
            <w:r>
              <w:rPr>
                <w:rFonts w:ascii="Arial" w:cs="Arial" w:eastAsia="Arial" w:hAnsi="Arial"/>
                <w:sz w:val="18"/>
                <w:szCs w:val="18"/>
                <w:color w:val="auto"/>
                <w:w w:val="93"/>
              </w:rPr>
              <w:t>(IRS Employer</w:t>
            </w:r>
          </w:p>
        </w:tc>
      </w:tr>
      <w:tr>
        <w:trPr>
          <w:trHeight w:val="230"/>
        </w:trPr>
        <w:tc>
          <w:tcPr>
            <w:tcW w:w="1960" w:type="dxa"/>
            <w:vAlign w:val="bottom"/>
          </w:tcPr>
          <w:p>
            <w:pPr>
              <w:jc w:val="center"/>
              <w:spacing w:after="0"/>
              <w:rPr>
                <w:sz w:val="20"/>
                <w:szCs w:val="20"/>
                <w:color w:val="auto"/>
              </w:rPr>
            </w:pPr>
            <w:r>
              <w:rPr>
                <w:rFonts w:ascii="Arial" w:cs="Arial" w:eastAsia="Arial" w:hAnsi="Arial"/>
                <w:sz w:val="18"/>
                <w:szCs w:val="18"/>
                <w:color w:val="auto"/>
                <w:w w:val="95"/>
              </w:rPr>
              <w:t>of incorporation)</w:t>
            </w:r>
          </w:p>
        </w:tc>
        <w:tc>
          <w:tcPr>
            <w:tcW w:w="3880" w:type="dxa"/>
            <w:vAlign w:val="bottom"/>
          </w:tcPr>
          <w:p>
            <w:pPr>
              <w:jc w:val="center"/>
              <w:ind w:left="1770"/>
              <w:spacing w:after="0"/>
              <w:rPr>
                <w:sz w:val="20"/>
                <w:szCs w:val="20"/>
                <w:color w:val="auto"/>
              </w:rPr>
            </w:pPr>
            <w:r>
              <w:rPr>
                <w:rFonts w:ascii="Arial" w:cs="Arial" w:eastAsia="Arial" w:hAnsi="Arial"/>
                <w:sz w:val="18"/>
                <w:szCs w:val="18"/>
                <w:color w:val="auto"/>
                <w:w w:val="94"/>
              </w:rPr>
              <w:t>File Number)</w:t>
            </w:r>
          </w:p>
        </w:tc>
        <w:tc>
          <w:tcPr>
            <w:tcW w:w="3520" w:type="dxa"/>
            <w:vAlign w:val="bottom"/>
          </w:tcPr>
          <w:p>
            <w:pPr>
              <w:jc w:val="center"/>
              <w:ind w:left="209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1960" w:type="dxa"/>
            <w:vAlign w:val="bottom"/>
          </w:tcPr>
          <w:p>
            <w:pPr>
              <w:spacing w:after="0"/>
              <w:rPr>
                <w:sz w:val="24"/>
                <w:szCs w:val="24"/>
                <w:color w:val="auto"/>
              </w:rPr>
            </w:pPr>
          </w:p>
        </w:tc>
        <w:tc>
          <w:tcPr>
            <w:tcW w:w="7400" w:type="dxa"/>
            <w:vAlign w:val="bottom"/>
            <w:gridSpan w:val="2"/>
          </w:tcPr>
          <w:p>
            <w:pPr>
              <w:jc w:val="center"/>
              <w:ind w:right="1590"/>
              <w:spacing w:after="0"/>
              <w:rPr>
                <w:sz w:val="20"/>
                <w:szCs w:val="20"/>
                <w:color w:val="auto"/>
              </w:rPr>
            </w:pPr>
            <w:r>
              <w:rPr>
                <w:rFonts w:ascii="Arial" w:cs="Arial" w:eastAsia="Arial" w:hAnsi="Arial"/>
                <w:sz w:val="18"/>
                <w:szCs w:val="18"/>
                <w:b w:val="1"/>
                <w:bCs w:val="1"/>
                <w:color w:val="auto"/>
                <w:w w:val="91"/>
              </w:rPr>
              <w:t>6000 Shoreline Court, Suite 300, South San Francisco, California 94080</w:t>
            </w:r>
          </w:p>
        </w:tc>
      </w:tr>
      <w:tr>
        <w:trPr>
          <w:trHeight w:val="230"/>
        </w:trPr>
        <w:tc>
          <w:tcPr>
            <w:tcW w:w="1960" w:type="dxa"/>
            <w:vAlign w:val="bottom"/>
          </w:tcPr>
          <w:p>
            <w:pPr>
              <w:spacing w:after="0"/>
              <w:rPr>
                <w:sz w:val="20"/>
                <w:szCs w:val="20"/>
                <w:color w:val="auto"/>
              </w:rPr>
            </w:pPr>
          </w:p>
        </w:tc>
        <w:tc>
          <w:tcPr>
            <w:tcW w:w="3880" w:type="dxa"/>
            <w:vAlign w:val="bottom"/>
          </w:tcPr>
          <w:p>
            <w:pPr>
              <w:ind w:left="980"/>
              <w:spacing w:after="0"/>
              <w:rPr>
                <w:sz w:val="20"/>
                <w:szCs w:val="20"/>
                <w:color w:val="auto"/>
              </w:rPr>
            </w:pPr>
            <w:r>
              <w:rPr>
                <w:rFonts w:ascii="Arial" w:cs="Arial" w:eastAsia="Arial" w:hAnsi="Arial"/>
                <w:sz w:val="18"/>
                <w:szCs w:val="18"/>
                <w:color w:val="auto"/>
                <w:w w:val="93"/>
              </w:rPr>
              <w:t>(Address of principal executive offices)</w:t>
            </w:r>
          </w:p>
        </w:tc>
        <w:tc>
          <w:tcPr>
            <w:tcW w:w="3520" w:type="dxa"/>
            <w:vAlign w:val="bottom"/>
          </w:tcPr>
          <w:p>
            <w:pPr>
              <w:ind w:left="40"/>
              <w:spacing w:after="0"/>
              <w:rPr>
                <w:sz w:val="20"/>
                <w:szCs w:val="20"/>
                <w:color w:val="auto"/>
              </w:rPr>
            </w:pPr>
            <w:r>
              <w:rPr>
                <w:rFonts w:ascii="Arial" w:cs="Arial" w:eastAsia="Arial" w:hAnsi="Arial"/>
                <w:sz w:val="18"/>
                <w:szCs w:val="18"/>
                <w:color w:val="auto"/>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820" w:right="440" w:hanging="809"/>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4"/>
          <w:szCs w:val="24"/>
          <w:color w:val="auto"/>
        </w:rPr>
      </w:pPr>
    </w:p>
    <w:p>
      <w:pPr>
        <w:ind w:left="660"/>
        <w:spacing w:after="0"/>
        <w:rPr>
          <w:sz w:val="20"/>
          <w:szCs w:val="20"/>
          <w:color w:val="auto"/>
        </w:rPr>
      </w:pPr>
      <w:r>
        <w:rPr>
          <w:rFonts w:ascii="Arial" w:cs="Arial" w:eastAsia="Arial" w:hAnsi="Arial"/>
          <w:sz w:val="18"/>
          <w:szCs w:val="18"/>
          <w:color w:val="auto"/>
        </w:rPr>
        <w:t>(b)</w:t>
      </w:r>
    </w:p>
    <w:p>
      <w:pPr>
        <w:spacing w:after="0" w:line="225" w:lineRule="exact"/>
        <w:rPr>
          <w:sz w:val="24"/>
          <w:szCs w:val="24"/>
          <w:color w:val="auto"/>
        </w:rPr>
      </w:pPr>
    </w:p>
    <w:p>
      <w:pPr>
        <w:ind w:right="100" w:firstLine="648"/>
        <w:spacing w:after="0" w:line="264" w:lineRule="auto"/>
        <w:rPr>
          <w:sz w:val="20"/>
          <w:szCs w:val="20"/>
          <w:color w:val="auto"/>
        </w:rPr>
      </w:pPr>
      <w:r>
        <w:rPr>
          <w:rFonts w:ascii="Arial" w:cs="Arial" w:eastAsia="Arial" w:hAnsi="Arial"/>
          <w:sz w:val="18"/>
          <w:szCs w:val="18"/>
          <w:color w:val="auto"/>
        </w:rPr>
        <w:t>On June 13, 2016, Shelly D. Guyer, Chief Financial Officer of Veracyte, Inc. (the “Company”), notified the Company that she would be resigning from her position to pursue other career opportunities. Ms. Guyer will be remaining in her position during a transition period, and the Company has initiated a search for a new Chief Financial Officer.</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4"/>
          <w:szCs w:val="24"/>
          <w:color w:val="auto"/>
        </w:rPr>
      </w:pPr>
    </w:p>
    <w:p>
      <w:pPr>
        <w:ind w:right="620" w:firstLine="51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Dated: June 13, 2016</w:t>
      </w:r>
    </w:p>
    <w:p>
      <w:pPr>
        <w:spacing w:after="0" w:line="225" w:lineRule="exact"/>
        <w:rPr>
          <w:sz w:val="24"/>
          <w:szCs w:val="24"/>
          <w:color w:val="auto"/>
        </w:rPr>
      </w:pPr>
    </w:p>
    <w:p>
      <w:pPr>
        <w:ind w:left="5800"/>
        <w:spacing w:after="0"/>
        <w:rPr>
          <w:sz w:val="20"/>
          <w:szCs w:val="20"/>
          <w:color w:val="auto"/>
        </w:rPr>
      </w:pPr>
      <w:r>
        <w:rPr>
          <w:rFonts w:ascii="Arial" w:cs="Arial" w:eastAsia="Arial" w:hAnsi="Arial"/>
          <w:sz w:val="18"/>
          <w:szCs w:val="18"/>
          <w:color w:val="auto"/>
        </w:rPr>
        <w:t>VERACYTE, INC.</w:t>
      </w:r>
    </w:p>
    <w:p>
      <w:pPr>
        <w:spacing w:after="0" w:line="200" w:lineRule="exact"/>
        <w:rPr>
          <w:sz w:val="24"/>
          <w:szCs w:val="24"/>
          <w:color w:val="auto"/>
        </w:rPr>
      </w:pPr>
    </w:p>
    <w:p>
      <w:pPr>
        <w:spacing w:after="0" w:line="241" w:lineRule="exact"/>
        <w:rPr>
          <w:sz w:val="24"/>
          <w:szCs w:val="24"/>
          <w:color w:val="auto"/>
        </w:rPr>
      </w:pPr>
    </w:p>
    <w:tbl>
      <w:tblPr>
        <w:tblLayout w:type="fixed"/>
        <w:tblInd w:w="580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Julie A. Brooks</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Julie A. Brooks</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General Counsel</w:t>
            </w: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44" w:right="239" w:bottom="0" w:gutter="0" w:footer="0" w:header="0"/>
        </w:sectPr>
      </w:pPr>
    </w:p>
    <w:bookmarkStart w:id="1" w:name="page2"/>
    <w:bookmarkEnd w:id="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2019-12-08T13:57:24Z</dcterms:created>
  <dcterms:modified xsi:type="dcterms:W3CDTF">2019-12-08T13:57:24Z</dcterms:modified>
</cp:coreProperties>
</file>