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25"/>
          <w:szCs w:val="25"/>
          <w:b w:val="1"/>
          <w:bCs w:val="1"/>
          <w:color w:val="auto"/>
        </w:rPr>
        <w:t>UNITED STATES</w:t>
      </w:r>
    </w:p>
    <w:p>
      <w:pPr>
        <w:spacing w:after="0" w:line="145" w:lineRule="exact"/>
        <w:rPr>
          <w:sz w:val="24"/>
          <w:szCs w:val="24"/>
          <w:color w:val="auto"/>
        </w:rPr>
      </w:pPr>
    </w:p>
    <w:p>
      <w:pPr>
        <w:jc w:val="center"/>
        <w:ind w:right="-1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4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Washington, D.C. 20549</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________________________</w:t>
      </w:r>
    </w:p>
    <w:p>
      <w:pPr>
        <w:spacing w:after="0" w:line="50" w:lineRule="exact"/>
        <w:rPr>
          <w:sz w:val="24"/>
          <w:szCs w:val="24"/>
          <w:color w:val="auto"/>
        </w:rPr>
      </w:pPr>
    </w:p>
    <w:p>
      <w:pPr>
        <w:jc w:val="center"/>
        <w:ind w:left="3220" w:right="160"/>
        <w:spacing w:after="0" w:line="263" w:lineRule="auto"/>
        <w:rPr>
          <w:sz w:val="20"/>
          <w:szCs w:val="20"/>
          <w:color w:val="auto"/>
        </w:rPr>
      </w:pPr>
      <w:r>
        <w:rPr>
          <w:rFonts w:ascii="Arial" w:cs="Arial" w:eastAsia="Arial" w:hAnsi="Arial"/>
          <w:sz w:val="18"/>
          <w:szCs w:val="18"/>
          <w:b w:val="1"/>
          <w:bCs w:val="1"/>
          <w:color w:val="auto"/>
        </w:rPr>
        <w:t>SCHEDULE 14A INFORMATION PROXY STATEMENT PURSUANT TO SECTION 14(a) OF THE SECURITIES EXCHANGE ACT OF 1934 (AMENDMENT NO. )</w:t>
      </w:r>
    </w:p>
    <w:p>
      <w:pPr>
        <w:spacing w:after="0" w:line="200" w:lineRule="exact"/>
        <w:rPr>
          <w:sz w:val="24"/>
          <w:szCs w:val="24"/>
          <w:color w:val="auto"/>
        </w:rPr>
      </w:pPr>
    </w:p>
    <w:p>
      <w:pPr>
        <w:spacing w:after="0" w:line="254"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________________________</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VERACYTE, INC.</w:t>
      </w:r>
    </w:p>
    <w:p>
      <w:pPr>
        <w:spacing w:after="0" w:line="21"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(Name of Registrant as Specified in its Charter)</w:t>
      </w:r>
    </w:p>
    <w:p>
      <w:pPr>
        <w:ind w:left="4200"/>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4"/>
          <w:szCs w:val="24"/>
          <w:color w:val="auto"/>
        </w:rPr>
      </w:pPr>
    </w:p>
    <w:p>
      <w:pPr>
        <w:ind w:left="29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3" w:lineRule="exact"/>
        <w:rPr>
          <w:sz w:val="24"/>
          <w:szCs w:val="24"/>
          <w:color w:val="auto"/>
        </w:rPr>
      </w:pPr>
    </w:p>
    <w:p>
      <w:pPr>
        <w:ind w:left="520" w:hanging="5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520" w:hanging="51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Arial" w:cs="Arial" w:eastAsia="Arial" w:hAnsi="Arial"/>
          <w:sz w:val="18"/>
          <w:szCs w:val="18"/>
          <w:color w:val="auto"/>
        </w:rPr>
      </w:pPr>
    </w:p>
    <w:p>
      <w:pPr>
        <w:ind w:left="520" w:hanging="513"/>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617855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06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are cordially invited to attend the Annual Meeting of Stockholders of Veracyte, Inc. that will be held virtually on Thursday, June 8, 2023,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 a.m., Pacific Time. The virtual Annual Meeting can be accessed by visiting www.virtualshareholdermeeting.com/VCYT2023, where you will be able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listen to the meeting live, submit questions and vote online. We believe that a virtual stockholder meeting provides greater access to those who may want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attend, and therefore we have chosen this over an in-person meeting. This approach also lowers costs, enables greater participation and is better for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environment.</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matters to be acted upon are described in the accompanying Notice of Annual Meeting and Proxy Statement.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After reading the Proxy Statement, please vote promptly to ensure that your shares will be represented. Whether or not you plan to attend the meeting, please vote by telephone or the internet, or sign and return a proxy card to ensure your representation at the meeting. Your vote is important.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look forward to seeing you at the Annual Meeting.</w:t>
      </w:r>
    </w:p>
    <w:p>
      <w:pPr>
        <w:spacing w:after="0" w:line="38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597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color w:val="auto"/>
        </w:rPr>
        <w:t>Marc Stapley</w:t>
      </w:r>
    </w:p>
    <w:p>
      <w:pPr>
        <w:ind w:left="62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Veracyte, Inc.</w:t>
      </w:r>
    </w:p>
    <w:p>
      <w:pPr>
        <w:spacing w:after="0" w:line="3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6000 Shoreline Court, Suite 300</w:t>
      </w:r>
    </w:p>
    <w:p>
      <w:pPr>
        <w:spacing w:after="0" w:line="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Thursday, June 8, 2023</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Veracyte,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Annual Meeting of Stockholders of Veracyte, Inc., a Delaware corporation (“Veracyte,” “we,” “us” or “our”), will be held virtually via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Internet at www.virtualshareholdermeeting.com/VCYT2023 on Thursday, June 8, 2023, at 10:00 a.m., Pacific Time, for the following purposes:</w:t>
      </w:r>
    </w:p>
    <w:p>
      <w:pPr>
        <w:spacing w:after="0" w:line="222" w:lineRule="exact"/>
        <w:rPr>
          <w:sz w:val="20"/>
          <w:szCs w:val="20"/>
          <w:color w:val="auto"/>
        </w:rPr>
      </w:pPr>
    </w:p>
    <w:p>
      <w:pPr>
        <w:ind w:left="960" w:hanging="30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 directors to serve until the 2026 Annual Meeting of Stockholders or until their successors are duly elected and qualified;</w:t>
      </w:r>
    </w:p>
    <w:p>
      <w:pPr>
        <w:spacing w:after="0" w:line="248" w:lineRule="exact"/>
        <w:rPr>
          <w:rFonts w:ascii="Arial" w:cs="Arial" w:eastAsia="Arial" w:hAnsi="Arial"/>
          <w:sz w:val="16"/>
          <w:szCs w:val="16"/>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2023;</w:t>
      </w:r>
    </w:p>
    <w:p>
      <w:pPr>
        <w:spacing w:after="0" w:line="225" w:lineRule="exact"/>
        <w:rPr>
          <w:rFonts w:ascii="Arial" w:cs="Arial" w:eastAsia="Arial" w:hAnsi="Arial"/>
          <w:sz w:val="18"/>
          <w:szCs w:val="18"/>
          <w:color w:val="auto"/>
        </w:rPr>
      </w:pPr>
    </w:p>
    <w:p>
      <w:pPr>
        <w:ind w:left="1300" w:hanging="64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by us to our named executive officers as disclosed in this Proxy Statement;</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our new Veracyte, Inc. 2023 Equity Incentive Plan;</w:t>
      </w:r>
    </w:p>
    <w:p>
      <w:pPr>
        <w:spacing w:after="0" w:line="225" w:lineRule="exact"/>
        <w:rPr>
          <w:rFonts w:ascii="Arial" w:cs="Arial" w:eastAsia="Arial" w:hAnsi="Arial"/>
          <w:sz w:val="18"/>
          <w:szCs w:val="18"/>
          <w:color w:val="auto"/>
        </w:rPr>
      </w:pPr>
    </w:p>
    <w:p>
      <w:pPr>
        <w:ind w:left="1300" w:hanging="644"/>
        <w:spacing w:after="0" w:line="277" w:lineRule="auto"/>
        <w:tabs>
          <w:tab w:leader="none" w:pos="1041"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an amendment to our existing restated certificate of incorporation in order to declassify our Board of Directors and make other related changes;</w:t>
      </w:r>
    </w:p>
    <w:p>
      <w:pPr>
        <w:spacing w:after="0" w:line="170" w:lineRule="exact"/>
        <w:rPr>
          <w:rFonts w:ascii="Arial" w:cs="Arial" w:eastAsia="Arial" w:hAnsi="Arial"/>
          <w:sz w:val="18"/>
          <w:szCs w:val="18"/>
          <w:color w:val="auto"/>
        </w:rPr>
      </w:pPr>
    </w:p>
    <w:p>
      <w:pPr>
        <w:ind w:left="1300" w:hanging="64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an amendment to our existing restated certificate of incorporation to permit exculpation of officers by Veracyte from personal liability for certain breaches of the duty of care; and</w:t>
      </w:r>
    </w:p>
    <w:p>
      <w:pPr>
        <w:spacing w:after="0" w:line="170" w:lineRule="exact"/>
        <w:rPr>
          <w:rFonts w:ascii="Arial" w:cs="Arial" w:eastAsia="Arial" w:hAnsi="Arial"/>
          <w:sz w:val="18"/>
          <w:szCs w:val="18"/>
          <w:color w:val="auto"/>
        </w:rPr>
      </w:pPr>
    </w:p>
    <w:p>
      <w:pPr>
        <w:ind w:left="1300" w:hanging="644"/>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of Stockholders and any postponement or adjournment of the Annual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stockholders of record as of the close of business on April 10, 2023 are entitled to notice of and to vote at the Annual Meeting and any postponement or adjournment thereof.</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It is important that your shares be represented at this meeting. Even if you plan to attend the meeting, we hope that you will vote as soon as possible. Voting now will ensure your representation at the Annual Meeting regardless of whether you attend. You may vote on the internet, by telephone or by mailing the enclosed proxy card or voting instruction form. You may also attend the Annual Meeting and vote and submit questions during the Annual Meeting via the Internet at www.virtualshareholdermeeting.com/VCYT2023. Please review the instructions on page </w:t>
      </w:r>
      <w:r>
        <w:rPr>
          <w:rFonts w:ascii="Arial" w:cs="Arial" w:eastAsia="Arial" w:hAnsi="Arial"/>
          <w:sz w:val="17"/>
          <w:szCs w:val="17"/>
          <w:b w:val="1"/>
          <w:bCs w:val="1"/>
          <w:u w:val="single" w:color="auto"/>
          <w:color w:val="0000FF"/>
        </w:rPr>
        <w:t>6</w:t>
      </w:r>
      <w:r>
        <w:rPr>
          <w:rFonts w:ascii="Arial" w:cs="Arial" w:eastAsia="Arial" w:hAnsi="Arial"/>
          <w:sz w:val="17"/>
          <w:szCs w:val="17"/>
          <w:b w:val="1"/>
          <w:bCs w:val="1"/>
          <w:color w:val="auto"/>
        </w:rPr>
        <w:t xml:space="preserve"> of the Proxy Statement and your proxy card or voting instruction form regarding each of these voting options.</w:t>
      </w: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708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8"/>
          <w:szCs w:val="18"/>
          <w:color w:val="auto"/>
        </w:rPr>
        <w:t>Marc Stapley</w:t>
      </w:r>
    </w:p>
    <w:p>
      <w:pPr>
        <w:ind w:left="5860"/>
        <w:spacing w:after="0"/>
        <w:rPr>
          <w:sz w:val="20"/>
          <w:szCs w:val="20"/>
          <w:color w:val="auto"/>
        </w:rPr>
      </w:pPr>
      <w:r>
        <w:rPr>
          <w:rFonts w:ascii="Arial" w:cs="Arial" w:eastAsia="Arial" w:hAnsi="Arial"/>
          <w:sz w:val="18"/>
          <w:szCs w:val="18"/>
          <w:i w:val="1"/>
          <w:iCs w:val="1"/>
          <w:color w:val="auto"/>
        </w:rPr>
        <w:t>Chief Executive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2023</w:t>
      </w:r>
    </w:p>
    <w:p>
      <w:pPr>
        <w:spacing w:after="0" w:line="207" w:lineRule="exact"/>
        <w:rPr>
          <w:sz w:val="20"/>
          <w:szCs w:val="20"/>
          <w:color w:val="auto"/>
        </w:rPr>
      </w:pPr>
    </w:p>
    <w:p>
      <w:pPr>
        <w:jc w:val="center"/>
        <w:ind w:left="340" w:right="74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8, 2023.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2023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00" w:type="dxa"/>
            <w:vAlign w:val="bottom"/>
          </w:tcPr>
          <w:p>
            <w:pPr>
              <w:spacing w:after="0"/>
              <w:rPr>
                <w:sz w:val="17"/>
                <w:szCs w:val="17"/>
                <w:color w:val="auto"/>
              </w:rPr>
            </w:pPr>
          </w:p>
        </w:tc>
        <w:tc>
          <w:tcPr>
            <w:tcW w:w="114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8"/>
              </w:rPr>
              <w:t>Page</w:t>
            </w:r>
          </w:p>
        </w:tc>
      </w:tr>
      <w:tr>
        <w:trPr>
          <w:trHeight w:val="237"/>
        </w:trPr>
        <w:tc>
          <w:tcPr>
            <w:tcW w:w="10100" w:type="dxa"/>
            <w:vAlign w:val="bottom"/>
          </w:tcPr>
          <w:p>
            <w:pPr>
              <w:spacing w:after="0"/>
              <w:rPr>
                <w:sz w:val="20"/>
                <w:szCs w:val="20"/>
                <w:color w:val="auto"/>
              </w:rPr>
            </w:pPr>
          </w:p>
        </w:tc>
        <w:tc>
          <w:tcPr>
            <w:tcW w:w="114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9"/>
              </w:rPr>
              <w:t>No.</w:t>
            </w:r>
          </w:p>
        </w:tc>
      </w:tr>
      <w:tr>
        <w:trPr>
          <w:trHeight w:val="189"/>
        </w:trPr>
        <w:tc>
          <w:tcPr>
            <w:tcW w:w="10100" w:type="dxa"/>
            <w:vAlign w:val="bottom"/>
          </w:tcPr>
          <w:p>
            <w:pPr>
              <w:ind w:left="40"/>
              <w:spacing w:after="0" w:line="189" w:lineRule="exact"/>
              <w:rPr>
                <w:sz w:val="20"/>
                <w:szCs w:val="20"/>
                <w:color w:val="auto"/>
              </w:rPr>
            </w:pPr>
            <w:r>
              <w:rPr>
                <w:rFonts w:ascii="Arial" w:cs="Arial" w:eastAsia="Arial" w:hAnsi="Arial"/>
                <w:sz w:val="18"/>
                <w:szCs w:val="18"/>
                <w:b w:val="1"/>
                <w:bCs w:val="1"/>
                <w:color w:val="auto"/>
              </w:rPr>
              <w:t>CAUTIONARY NOTE REGARDING FORWARD-LOOKING STATEMENTS</w:t>
            </w:r>
          </w:p>
        </w:tc>
        <w:tc>
          <w:tcPr>
            <w:tcW w:w="500" w:type="dxa"/>
            <w:vAlign w:val="bottom"/>
            <w:tcBorders>
              <w:top w:val="single" w:sz="8" w:color="auto"/>
            </w:tcBorders>
            <w:gridSpan w:val="2"/>
          </w:tcPr>
          <w:p>
            <w:pPr>
              <w:spacing w:after="0"/>
              <w:rPr>
                <w:sz w:val="16"/>
                <w:szCs w:val="16"/>
                <w:color w:val="auto"/>
              </w:rPr>
            </w:pPr>
          </w:p>
        </w:tc>
        <w:tc>
          <w:tcPr>
            <w:tcW w:w="100" w:type="dxa"/>
            <w:vAlign w:val="bottom"/>
            <w:tcBorders>
              <w:top w:val="single" w:sz="8" w:color="auto"/>
              <w:bottom w:val="single" w:sz="8" w:color="0000FF"/>
            </w:tcBorders>
          </w:tcPr>
          <w:p>
            <w:pPr>
              <w:jc w:val="center"/>
              <w:spacing w:after="0" w:line="189" w:lineRule="exact"/>
              <w:rPr>
                <w:sz w:val="20"/>
                <w:szCs w:val="20"/>
                <w:color w:val="auto"/>
              </w:rPr>
            </w:pPr>
            <w:r>
              <w:rPr>
                <w:rFonts w:ascii="Arial" w:cs="Arial" w:eastAsia="Arial" w:hAnsi="Arial"/>
                <w:sz w:val="18"/>
                <w:szCs w:val="18"/>
                <w:color w:val="0000FF"/>
                <w:w w:val="99"/>
              </w:rPr>
              <w:t>1</w:t>
            </w:r>
          </w:p>
        </w:tc>
        <w:tc>
          <w:tcPr>
            <w:tcW w:w="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PROXY STATEMENT SUMMARY</w:t>
            </w: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GENERAL INFORMATION</w:t>
            </w: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PROPOSAL NO. 1 ELECTION OF DIRECTORS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10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PROPOSAL NO. 2 RATIFICATION OF APPOINTMENT OF INDEPENDENT REGISTERED PUBLIC ACCOUNTING FIRM</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PROPOSAL NO. 3 ADVISORY VOTE ON THE COMPENSATION OF OUR NAMED EXECUTIVE OFFICERS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PROPOSAL NO. 4 APPROVAL OF THE VERACYTE, INC. 2023 EQUITY INCENTIVE PLAN</w:t>
            </w:r>
          </w:p>
        </w:tc>
        <w:tc>
          <w:tcPr>
            <w:tcW w:w="640" w:type="dxa"/>
            <w:vAlign w:val="bottom"/>
            <w:gridSpan w:val="4"/>
          </w:tcPr>
          <w:p>
            <w:pPr>
              <w:jc w:val="center"/>
              <w:ind w:left="370"/>
              <w:spacing w:after="0"/>
              <w:rPr>
                <w:sz w:val="20"/>
                <w:szCs w:val="20"/>
                <w:color w:val="auto"/>
              </w:rPr>
            </w:pPr>
            <w:r>
              <w:rPr>
                <w:rFonts w:ascii="Arial" w:cs="Arial" w:eastAsia="Arial" w:hAnsi="Arial"/>
                <w:sz w:val="18"/>
                <w:szCs w:val="18"/>
                <w:color w:val="0000FF"/>
                <w:w w:val="89"/>
              </w:rPr>
              <w:t>24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010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PROPOSAL NO. 5 ADOPTION OF AN AMENDMENT TO THE CURRENT CERTIFICATE IN ORDER TO DECLASSIFY</w:t>
            </w:r>
          </w:p>
        </w:tc>
        <w:tc>
          <w:tcPr>
            <w:tcW w:w="4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010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OUR BOARD OF DIRECTORS</w:t>
            </w:r>
          </w:p>
        </w:tc>
        <w:tc>
          <w:tcPr>
            <w:tcW w:w="640" w:type="dxa"/>
            <w:vAlign w:val="bottom"/>
            <w:gridSpan w:val="4"/>
          </w:tcPr>
          <w:p>
            <w:pPr>
              <w:jc w:val="center"/>
              <w:ind w:left="370"/>
              <w:spacing w:after="0" w:line="202" w:lineRule="exact"/>
              <w:rPr>
                <w:sz w:val="20"/>
                <w:szCs w:val="20"/>
                <w:color w:val="auto"/>
              </w:rPr>
            </w:pPr>
            <w:r>
              <w:rPr>
                <w:rFonts w:ascii="Arial" w:cs="Arial" w:eastAsia="Arial" w:hAnsi="Arial"/>
                <w:sz w:val="18"/>
                <w:szCs w:val="18"/>
                <w:color w:val="0000FF"/>
                <w:w w:val="89"/>
              </w:rPr>
              <w:t>32</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10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PROPOSAL NO. 6 ADOPTION OF AN AMENDMENT TO THE CURRENT CERTIFICATE IN ORDER TO PERMIT THE</w:t>
            </w:r>
          </w:p>
        </w:tc>
        <w:tc>
          <w:tcPr>
            <w:tcW w:w="4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010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EXCULPATION OF OFFICERS FROM PERSONAL LIABILITY FOR CERTAIN BREACHES OF THE DUTY OF CARE</w:t>
            </w:r>
          </w:p>
        </w:tc>
        <w:tc>
          <w:tcPr>
            <w:tcW w:w="4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2" w:lineRule="exact"/>
              <w:rPr>
                <w:sz w:val="20"/>
                <w:szCs w:val="20"/>
                <w:color w:val="auto"/>
              </w:rPr>
            </w:pPr>
            <w:r>
              <w:rPr>
                <w:rFonts w:ascii="Arial" w:cs="Arial" w:eastAsia="Arial" w:hAnsi="Arial"/>
                <w:sz w:val="18"/>
                <w:szCs w:val="18"/>
                <w:color w:val="0000FF"/>
                <w:w w:val="89"/>
              </w:rPr>
              <w:t>33</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SECURITY OWNERSHIP OF CERTAIN BENEFICIAL OWNERS AND MANAGEMENT</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EXECUTIVE COMPENSATION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EQUITY COMPENSATION PLAN INFORMATION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61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61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CERTAIN RELATIONSHIPS AND RELATED PARTY TRANSACTIONS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62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ADDITIONAL INFORMATION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62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100" w:type="dxa"/>
            <w:vAlign w:val="bottom"/>
          </w:tcPr>
          <w:p>
            <w:pPr>
              <w:ind w:left="40"/>
              <w:spacing w:after="0"/>
              <w:rPr>
                <w:sz w:val="20"/>
                <w:szCs w:val="20"/>
                <w:color w:val="auto"/>
              </w:rPr>
            </w:pPr>
            <w:r>
              <w:rPr>
                <w:rFonts w:ascii="Arial" w:cs="Arial" w:eastAsia="Arial" w:hAnsi="Arial"/>
                <w:sz w:val="18"/>
                <w:szCs w:val="18"/>
                <w:b w:val="1"/>
                <w:bCs w:val="1"/>
                <w:color w:val="auto"/>
              </w:rPr>
              <w:t>OTHER MATTERS AND AVAILABLE INFORMATION</w:t>
            </w:r>
          </w:p>
        </w:tc>
        <w:tc>
          <w:tcPr>
            <w:tcW w:w="640" w:type="dxa"/>
            <w:vAlign w:val="bottom"/>
            <w:gridSpan w:val="4"/>
          </w:tcPr>
          <w:p>
            <w:pPr>
              <w:jc w:val="center"/>
              <w:ind w:left="370"/>
              <w:spacing w:after="0"/>
              <w:rPr>
                <w:sz w:val="20"/>
                <w:szCs w:val="20"/>
                <w:color w:val="auto"/>
              </w:rPr>
            </w:pPr>
            <w:r>
              <w:rPr>
                <w:rFonts w:ascii="Arial" w:cs="Arial" w:eastAsia="Arial" w:hAnsi="Arial"/>
                <w:sz w:val="18"/>
                <w:szCs w:val="18"/>
                <w:color w:val="0000FF"/>
                <w:w w:val="89"/>
              </w:rPr>
              <w:t>63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72"/>
        </w:trPr>
        <w:tc>
          <w:tcPr>
            <w:tcW w:w="10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CAUTIONARY NOTE REGARDING FORWARD-LOOKING STATEMENTS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When used in this proxy statement, the words “expects,” “anticipates,” “intends,” “estimates,” “plans,” “believes,” “continuing,” “ongoing,” and similar expressions are intended to identify forward-looking statements. These are statements that relate to future events and include but not limited to, forward-looking statements that involve risks and uncertainties; our ability to execute our short-term and long-term growth strategies; our plans for environmental, corporate governance and social responsibility, including our plan to release of our inaugural Environmental, Social, and Corporate Governance report; and other future events.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forward-looking statements are only predictions and may differ materially from actual results due to a variety of factors, including, but not limited to, the risks and uncertainties listed in our Annual Report on Form 10-K, filed on March 1, 2023, for the year ended December 31, 2022 and other reports filed with the U.S. Securities and Exchange Commission to which your attention is directed. You should not place undue reliance on these forward-looking statements, which speak only as of the date hereof, and we undertake no obligation to update these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PROXY STATEMENT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summary highlights information contained elsewhere in this proxy statement. You should read the entire proxy statement before voting.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FINANCIAL AND BUSINESS HIGHLIGHTS</w:t>
      </w:r>
    </w:p>
    <w:p>
      <w:pPr>
        <w:spacing w:after="0" w:line="17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for 2022 was $296.5 million, an increase of 35% compared to $219.5 million in 2021.</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Grew total test volume to 102,524 for the full-year 2022, an increase of 30%, compared to the prior year.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Generated $7.5 million in cash from operating activities for the full-year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Ended 2022 with cash, cash equivalents and short-term investments of $178.9 million.</w:t>
      </w:r>
    </w:p>
    <w:p>
      <w:pPr>
        <w:spacing w:after="0" w:line="10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Published and presented over 40 journal articles and scientific abstracts demonstrating the prognostic and predictive value of the Decipher Prostate Genomic Classifier.</w:t>
      </w:r>
    </w:p>
    <w:p>
      <w:pPr>
        <w:spacing w:after="0" w:line="7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Received the highest level of evidence (Level 1) in the NCCN Guidelines for the Decipher Prostate Genomic Classifier, making it the first and only prostate cancer gene expression test to achieve this status.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Expanded the clinical-evidence library for the Afirma Genomic Sequencing Classifier and introduced test enhancements.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Submitted the Envisia Genomic Classifier to the Notified Body for CE marking in the European Union, ahead of schedule.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to progress the Nightingale clinical utility study, which is intended to support reimbursement for our Percepta Nasal Swab.</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Began the transition of our IVD test manufacturing in house and shipped our first Prosigna kits from our facility in Marseille, France.</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Bolstered our Biopharma business with data on our proprietary immuno-oncology technology published in </w:t>
      </w:r>
      <w:r>
        <w:rPr>
          <w:rFonts w:ascii="Arial" w:cs="Arial" w:eastAsia="Arial" w:hAnsi="Arial"/>
          <w:sz w:val="18"/>
          <w:szCs w:val="18"/>
          <w:i w:val="1"/>
          <w:iCs w:val="1"/>
          <w:color w:val="auto"/>
        </w:rPr>
        <w:t>Nature Medicine and The Lancet</w:t>
      </w:r>
      <w:r>
        <w:rPr>
          <w:rFonts w:ascii="Arial" w:cs="Arial" w:eastAsia="Arial" w:hAnsi="Arial"/>
          <w:sz w:val="18"/>
          <w:szCs w:val="18"/>
          <w:color w:val="auto"/>
        </w:rPr>
        <w:t xml:space="preserve"> </w:t>
      </w:r>
      <w:r>
        <w:rPr>
          <w:rFonts w:ascii="Arial" w:cs="Arial" w:eastAsia="Arial" w:hAnsi="Arial"/>
          <w:sz w:val="18"/>
          <w:szCs w:val="18"/>
          <w:i w:val="1"/>
          <w:iCs w:val="1"/>
          <w:color w:val="auto"/>
        </w:rPr>
        <w:t>Oncology</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BOARD HIGHLIGHTS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committed to good corporate governance, which strengthens the accountability of our Board of Directors and promotes the long-term interests of our stockholders. The list below highlights our independent board and leadership and other corporate governance practices, as discussed further in this Proxy Statement.</w:t>
      </w:r>
    </w:p>
    <w:p>
      <w:pPr>
        <w:spacing w:after="0" w:line="1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Majority of directors are independent (seven out of nine current directors).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leadership structure where we currently have an independent Chair of the Board of Directors.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Board of Directors committees, including our Regulatory and Compliance Committee, are composed of independent directors.</w:t>
      </w:r>
    </w:p>
    <w:p>
      <w:pPr>
        <w:spacing w:after="0" w:line="117"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Following feedback from our stockholders, the Board of Directors has recommended that our stockholders adopt an amendment to our restated certificate of incorporation in order to declassify our Board of Directors. The Board of Directors has also approved amended and restated bylaws, which shall become effective contingent upon and subject to the effectiveness of the filing of the amendment relating to the declassification of our Board of Directors with the Delaware Secretary of State after its adoption by our stockholders, to reflect changes relating to declassification of our Board of Directors. Information regarding this proposal can be found under the section titled “Proposal No. 5— Adoption of Amendment to the Current Certificate in Order to Declassify our Board of Directors.”</w:t>
      </w:r>
    </w:p>
    <w:p>
      <w:pPr>
        <w:spacing w:after="0" w:line="79" w:lineRule="exact"/>
        <w:rPr>
          <w:rFonts w:ascii="Arial" w:cs="Arial" w:eastAsia="Arial" w:hAnsi="Arial"/>
          <w:sz w:val="17"/>
          <w:szCs w:val="17"/>
          <w:color w:val="auto"/>
        </w:rPr>
      </w:pPr>
    </w:p>
    <w:p>
      <w:pPr>
        <w:jc w:val="both"/>
        <w:ind w:left="66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oversees our programs relating to corporate responsibility and sustainability, including Environmental, Social, and Corporate Governance (“ESG”), with collaboration with the audit committee, compensation committee, and regulatory and compliance committee on certain ESG matters, as appropriate.</w:t>
      </w:r>
    </w:p>
    <w:p>
      <w:pPr>
        <w:spacing w:after="0" w:line="8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planning to publish our inaugural ESG report during the second quarter of 2023.</w:t>
      </w:r>
    </w:p>
    <w:p>
      <w:pPr>
        <w:spacing w:after="0" w:line="10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is focused on enhancing diversity. Currently, three out of our nine members of the Board of Directors are female, and two out of nine members of the Board of Directors are from underrepresented groups.</w:t>
      </w:r>
    </w:p>
    <w:p>
      <w:pPr>
        <w:spacing w:after="0" w:line="7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employ comprehensive risk oversight practices, including cybersecurity, data privacy, legal and regulatory matters, ESG, and other critical evolving areas.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 w:name="page7"/>
    <w:bookmarkEnd w:id="6"/>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Non-management directors conduct regular executive sessions.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Directors maintain open communication and strong working relationships among themselves and have regular access to management.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Directors conduct a robust annual Board of Directors and committee self-assessment process.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majority voting standard for uncontested elections of directors.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of Directors has robust related party transaction standards for any direct or indirect involvement of a director or management in the company’s business activities.</w:t>
      </w:r>
    </w:p>
    <w:p>
      <w:pPr>
        <w:spacing w:after="0" w:line="4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management team, including our C-Level executive officers, and the non-employee directors on our Board of Directors, are required to hold shares of our common stock pursuant to stock ownership guidelines.</w:t>
      </w:r>
    </w:p>
    <w:p>
      <w:pPr>
        <w:spacing w:after="0" w:line="76"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intend to adopt a clawback policy in accordance with the listing standards adopted by The Nasdaq Stock Market pursuant to final rules regarding recoupment of executive officer compensation in connection with the restatement of financial results adopted by the Securities and Exchange Commission (the “SEC”) in November 2022.</w:t>
      </w:r>
    </w:p>
    <w:p>
      <w:pPr>
        <w:sectPr>
          <w:pgSz w:w="11900" w:h="16838" w:orient="portrait"/>
          <w:cols w:equalWidth="0" w:num="1">
            <w:col w:w="11240"/>
          </w:cols>
          <w:pgMar w:left="320" w:top="895" w:right="339" w:bottom="144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366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66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ELECTION OF DIRECTORS</w:t>
      </w:r>
    </w:p>
    <w:p>
      <w:pPr>
        <w:spacing w:after="0" w:line="54" w:lineRule="exact"/>
        <w:rPr>
          <w:sz w:val="20"/>
          <w:szCs w:val="20"/>
          <w:color w:val="auto"/>
        </w:rPr>
      </w:pPr>
    </w:p>
    <w:p>
      <w:pPr>
        <w:jc w:val="both"/>
        <w:ind w:left="20" w:right="20"/>
        <w:spacing w:after="0" w:line="237" w:lineRule="auto"/>
        <w:rPr>
          <w:sz w:val="20"/>
          <w:szCs w:val="20"/>
          <w:color w:val="auto"/>
        </w:rPr>
      </w:pPr>
      <w:r>
        <w:rPr>
          <w:rFonts w:ascii="Arial" w:cs="Arial" w:eastAsia="Arial" w:hAnsi="Arial"/>
          <w:sz w:val="18"/>
          <w:szCs w:val="18"/>
          <w:color w:val="auto"/>
        </w:rPr>
        <w:t>We are asking our stockholders to elect two Class I directors for a three-year term expiring at the 2026 annual meeting of stockholders and until such director’s successor is duly elected and qualified or until such director’s earlier death, resignation, disqualification or removal. The table below sets forth information with respect to our two nominees standing for election. Both of the nominees are currently serving as directors. Additional information about our director nominees and their respective qualifications can be found under the section titled “Proposal No. 1 Election of Directors—Directors and Nominees.”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246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Age</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0"/>
              </w:rPr>
              <w:t>Director Since</w:t>
            </w:r>
          </w:p>
        </w:tc>
      </w:tr>
      <w:tr>
        <w:trPr>
          <w:trHeight w:val="351"/>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Robert S. Epstein</w:t>
            </w:r>
          </w:p>
        </w:tc>
        <w:tc>
          <w:tcPr>
            <w:tcW w:w="2460" w:type="dxa"/>
            <w:vAlign w:val="bottom"/>
          </w:tcPr>
          <w:p>
            <w:pPr>
              <w:jc w:val="center"/>
              <w:ind w:right="310"/>
              <w:spacing w:after="0"/>
              <w:rPr>
                <w:sz w:val="20"/>
                <w:szCs w:val="20"/>
                <w:color w:val="auto"/>
              </w:rPr>
            </w:pPr>
            <w:r>
              <w:rPr>
                <w:rFonts w:ascii="Arial" w:cs="Arial" w:eastAsia="Arial" w:hAnsi="Arial"/>
                <w:sz w:val="18"/>
                <w:szCs w:val="18"/>
                <w:color w:val="auto"/>
                <w:w w:val="89"/>
              </w:rPr>
              <w:t>67</w:t>
            </w:r>
          </w:p>
        </w:tc>
        <w:tc>
          <w:tcPr>
            <w:tcW w:w="3760" w:type="dxa"/>
            <w:vAlign w:val="bottom"/>
          </w:tcPr>
          <w:p>
            <w:pPr>
              <w:jc w:val="center"/>
              <w:spacing w:after="0"/>
              <w:rPr>
                <w:sz w:val="20"/>
                <w:szCs w:val="20"/>
                <w:color w:val="auto"/>
              </w:rPr>
            </w:pPr>
            <w:r>
              <w:rPr>
                <w:rFonts w:ascii="Arial" w:cs="Arial" w:eastAsia="Arial" w:hAnsi="Arial"/>
                <w:sz w:val="18"/>
                <w:szCs w:val="18"/>
                <w:color w:val="auto"/>
                <w:w w:val="87"/>
              </w:rPr>
              <w:t>January 2015</w:t>
            </w:r>
          </w:p>
        </w:tc>
      </w:tr>
      <w:tr>
        <w:trPr>
          <w:trHeight w:val="432"/>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Evan Jones</w:t>
            </w:r>
          </w:p>
        </w:tc>
        <w:tc>
          <w:tcPr>
            <w:tcW w:w="2460" w:type="dxa"/>
            <w:vAlign w:val="bottom"/>
          </w:tcPr>
          <w:p>
            <w:pPr>
              <w:jc w:val="center"/>
              <w:ind w:right="310"/>
              <w:spacing w:after="0"/>
              <w:rPr>
                <w:sz w:val="20"/>
                <w:szCs w:val="20"/>
                <w:color w:val="auto"/>
              </w:rPr>
            </w:pPr>
            <w:r>
              <w:rPr>
                <w:rFonts w:ascii="Arial" w:cs="Arial" w:eastAsia="Arial" w:hAnsi="Arial"/>
                <w:sz w:val="18"/>
                <w:szCs w:val="18"/>
                <w:color w:val="auto"/>
                <w:w w:val="89"/>
              </w:rPr>
              <w:t>66</w:t>
            </w: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February 2008</w:t>
            </w:r>
          </w:p>
        </w:tc>
      </w:tr>
      <w:tr>
        <w:trPr>
          <w:trHeight w:val="121"/>
        </w:trPr>
        <w:tc>
          <w:tcPr>
            <w:tcW w:w="2240" w:type="dxa"/>
            <w:vAlign w:val="bottom"/>
            <w:tcBorders>
              <w:bottom w:val="single" w:sz="8" w:color="001A3D"/>
            </w:tcBorders>
          </w:tcPr>
          <w:p>
            <w:pPr>
              <w:spacing w:after="0"/>
              <w:rPr>
                <w:sz w:val="10"/>
                <w:szCs w:val="10"/>
                <w:color w:val="auto"/>
              </w:rPr>
            </w:pPr>
          </w:p>
        </w:tc>
        <w:tc>
          <w:tcPr>
            <w:tcW w:w="2460" w:type="dxa"/>
            <w:vAlign w:val="bottom"/>
            <w:tcBorders>
              <w:bottom w:val="single" w:sz="8" w:color="001A3D"/>
            </w:tcBorders>
          </w:tcPr>
          <w:p>
            <w:pPr>
              <w:spacing w:after="0"/>
              <w:rPr>
                <w:sz w:val="10"/>
                <w:szCs w:val="10"/>
                <w:color w:val="auto"/>
              </w:rPr>
            </w:pPr>
          </w:p>
        </w:tc>
        <w:tc>
          <w:tcPr>
            <w:tcW w:w="3760" w:type="dxa"/>
            <w:vAlign w:val="bottom"/>
            <w:tcBorders>
              <w:bottom w:val="single" w:sz="8" w:color="001A3D"/>
            </w:tcBorders>
          </w:tcPr>
          <w:p>
            <w:pPr>
              <w:spacing w:after="0"/>
              <w:rPr>
                <w:sz w:val="10"/>
                <w:szCs w:val="10"/>
                <w:color w:val="auto"/>
              </w:rPr>
            </w:pPr>
          </w:p>
        </w:tc>
      </w:tr>
      <w:tr>
        <w:trPr>
          <w:trHeight w:val="250"/>
        </w:trPr>
        <w:tc>
          <w:tcPr>
            <w:tcW w:w="2240" w:type="dxa"/>
            <w:vAlign w:val="bottom"/>
            <w:tcBorders>
              <w:bottom w:val="single" w:sz="8" w:color="001A3D"/>
            </w:tcBorders>
          </w:tcPr>
          <w:p>
            <w:pPr>
              <w:spacing w:after="0"/>
              <w:rPr>
                <w:sz w:val="21"/>
                <w:szCs w:val="21"/>
                <w:color w:val="auto"/>
              </w:rPr>
            </w:pPr>
          </w:p>
        </w:tc>
        <w:tc>
          <w:tcPr>
            <w:tcW w:w="2460" w:type="dxa"/>
            <w:vAlign w:val="bottom"/>
            <w:tcBorders>
              <w:bottom w:val="single" w:sz="8" w:color="001A3D"/>
            </w:tcBorders>
          </w:tcPr>
          <w:p>
            <w:pPr>
              <w:spacing w:after="0"/>
              <w:rPr>
                <w:sz w:val="21"/>
                <w:szCs w:val="21"/>
                <w:color w:val="auto"/>
              </w:rPr>
            </w:pPr>
          </w:p>
        </w:tc>
        <w:tc>
          <w:tcPr>
            <w:tcW w:w="3760" w:type="dxa"/>
            <w:vAlign w:val="bottom"/>
            <w:tcBorders>
              <w:bottom w:val="single" w:sz="8" w:color="001A3D"/>
            </w:tcBorders>
          </w:tcPr>
          <w:p>
            <w:pPr>
              <w:spacing w:after="0"/>
              <w:rPr>
                <w:sz w:val="21"/>
                <w:szCs w:val="21"/>
                <w:color w:val="auto"/>
              </w:rPr>
            </w:pPr>
          </w:p>
        </w:tc>
      </w:tr>
    </w:tbl>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66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151" w:lineRule="exact"/>
        <w:rPr>
          <w:sz w:val="20"/>
          <w:szCs w:val="20"/>
          <w:color w:val="auto"/>
        </w:rPr>
      </w:pPr>
    </w:p>
    <w:p>
      <w:pPr>
        <w:ind w:left="20" w:right="520"/>
        <w:spacing w:after="0" w:line="250" w:lineRule="auto"/>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59" w:lineRule="exact"/>
        <w:rPr>
          <w:sz w:val="20"/>
          <w:szCs w:val="20"/>
          <w:color w:val="auto"/>
        </w:rPr>
      </w:pPr>
    </w:p>
    <w:p>
      <w:pPr>
        <w:jc w:val="both"/>
        <w:ind w:left="20" w:right="20"/>
        <w:spacing w:after="0" w:line="238" w:lineRule="auto"/>
        <w:rPr>
          <w:sz w:val="20"/>
          <w:szCs w:val="20"/>
          <w:color w:val="auto"/>
        </w:rPr>
      </w:pPr>
      <w:r>
        <w:rPr>
          <w:rFonts w:ascii="Arial" w:cs="Arial" w:eastAsia="Arial" w:hAnsi="Arial"/>
          <w:sz w:val="18"/>
          <w:szCs w:val="18"/>
          <w:color w:val="auto"/>
        </w:rPr>
        <w:t>We are asking our stockholders to ratify the audit committee’s appointment of Ernst &amp; Young LLP as our independent registered public accounting firm for the year ending December 31, 2023. Information regarding fees paid to Ernst &amp; Young LLP during 2022 and 2021 can be found under the section titled “Proposal No.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5366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53663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663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189" w:lineRule="exact"/>
        <w:rPr>
          <w:sz w:val="20"/>
          <w:szCs w:val="20"/>
          <w:color w:val="auto"/>
        </w:rPr>
      </w:pPr>
    </w:p>
    <w:p>
      <w:pPr>
        <w:jc w:val="both"/>
        <w:ind w:left="20" w:right="20"/>
        <w:spacing w:after="0" w:line="238" w:lineRule="auto"/>
        <w:rPr>
          <w:sz w:val="20"/>
          <w:szCs w:val="20"/>
          <w:color w:val="auto"/>
        </w:rPr>
      </w:pPr>
      <w:r>
        <w:rPr>
          <w:rFonts w:ascii="Arial" w:cs="Arial" w:eastAsia="Arial" w:hAnsi="Arial"/>
          <w:sz w:val="18"/>
          <w:szCs w:val="18"/>
          <w:color w:val="auto"/>
        </w:rPr>
        <w:t>We are asking our stockholders to approve, on a non-binding advisory basis, the compensation of our named executive officers, commonly referred to as a “say on pay” vote. Information regarding our executive compensation philosophy and amounts paid to each of our named executive officers in 2022 can be found under the section titled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53663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53663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-1165225</wp:posOffset>
            </wp:positionV>
            <wp:extent cx="1765935" cy="2177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65935" cy="2177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RECOMMENDATION</w:t>
      </w:r>
    </w:p>
    <w:p>
      <w:pPr>
        <w:ind w:left="820"/>
        <w:spacing w:after="0" w:line="234"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791845</wp:posOffset>
            </wp:positionV>
            <wp:extent cx="1765935" cy="1388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6593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BOARD’S</w:t>
      </w:r>
    </w:p>
    <w:p>
      <w:pPr>
        <w:spacing w:after="0" w:line="234" w:lineRule="auto"/>
        <w:rPr>
          <w:sz w:val="20"/>
          <w:szCs w:val="20"/>
          <w:color w:val="auto"/>
        </w:rPr>
      </w:pPr>
      <w:r>
        <w:rPr>
          <w:rFonts w:ascii="Arial" w:cs="Arial" w:eastAsia="Arial" w:hAnsi="Arial"/>
          <w:sz w:val="18"/>
          <w:szCs w:val="18"/>
          <w:b w:val="1"/>
          <w:bCs w:val="1"/>
          <w:color w:val="auto"/>
        </w:rPr>
        <w:t>RECOMMENDATION</w:t>
      </w:r>
    </w:p>
    <w:p>
      <w:pPr>
        <w:ind w:left="820"/>
        <w:spacing w:after="0" w:line="235"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406400</wp:posOffset>
            </wp:positionV>
            <wp:extent cx="1765935" cy="1388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6593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BOARD’S</w:t>
      </w:r>
    </w:p>
    <w:p>
      <w:pPr>
        <w:spacing w:after="0" w:line="234" w:lineRule="auto"/>
        <w:rPr>
          <w:sz w:val="20"/>
          <w:szCs w:val="20"/>
          <w:color w:val="auto"/>
        </w:rPr>
      </w:pPr>
      <w:r>
        <w:rPr>
          <w:rFonts w:ascii="Arial" w:cs="Arial" w:eastAsia="Arial" w:hAnsi="Arial"/>
          <w:sz w:val="18"/>
          <w:szCs w:val="18"/>
          <w:b w:val="1"/>
          <w:bCs w:val="1"/>
          <w:color w:val="auto"/>
        </w:rPr>
        <w:t>RECOMMENDATION</w:t>
      </w:r>
    </w:p>
    <w:p>
      <w:pPr>
        <w:ind w:left="820"/>
        <w:spacing w:after="0" w:line="235"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“FOR” this Proposal</w:t>
      </w:r>
    </w:p>
    <w:p>
      <w:pPr>
        <w:spacing w:after="0" w:line="200" w:lineRule="exact"/>
        <w:rPr>
          <w:sz w:val="20"/>
          <w:szCs w:val="20"/>
          <w:color w:val="auto"/>
        </w:rPr>
      </w:pPr>
    </w:p>
    <w:p>
      <w:pPr>
        <w:sectPr>
          <w:pgSz w:w="11900" w:h="16838" w:orient="portrait"/>
          <w:cols w:equalWidth="0" w:num="2">
            <w:col w:w="8460" w:space="520"/>
            <w:col w:w="226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53663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66385" cy="8255"/>
                    </a:xfrm>
                    <a:prstGeom prst="rect">
                      <a:avLst/>
                    </a:prstGeom>
                    <a:noFill/>
                  </pic:spPr>
                </pic:pic>
              </a:graphicData>
            </a:graphic>
          </wp:anchor>
        </w:drawing>
        <w:t>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53663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VERACYTE, INC. 2023 EQUITY INCENTIVE PLAN</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asking our stockholders to approve our new Veracyte, Inc. 2023 Equity Incentive Plan, as amended (the “Plan”). If approved by our stockholders, the Plan will replace our existing 2013 Stock Incentive Plan (the “Prior Plan”), which was adopted in connection with our initial public offering and expires on October 2, 2023. If the Plan is approved by our stockholders, the Plan will become effective on June 8, 2023, the date of our Annual Meeting. Information regarding this proposal can be found under the section titled “Proposal No. 4—Approval of the Veracyte, Inc. 2023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53663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137795</wp:posOffset>
            </wp:positionV>
            <wp:extent cx="53663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53663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4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ADOPTION OF AN AMENDMENT TO THE CURRENT CERTIFICATE IN ORDER TO DECLASSIFY OUR BOARD OF DIRECTORS</w:t>
      </w:r>
    </w:p>
    <w:p>
      <w:pPr>
        <w:spacing w:after="0" w:line="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asking our stockholders to adopt an amendment to our Restated Certificate of Incorporation (the “Current Certificate”) in order to declassify our Board of Directors and make other conforming, administrative and technical changes (the “Declassification Amendment”). Information regarding this proposal can be found under the section titled “Proposal No. 5—Adoption of Amendment to the Current Certificate in Order to Declassify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53663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129540</wp:posOffset>
            </wp:positionV>
            <wp:extent cx="53663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53663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43" w:lineRule="exact"/>
        <w:rPr>
          <w:sz w:val="20"/>
          <w:szCs w:val="20"/>
          <w:color w:val="auto"/>
        </w:rPr>
      </w:pPr>
    </w:p>
    <w:p>
      <w:pPr>
        <w:jc w:val="both"/>
        <w:ind w:right="220"/>
        <w:spacing w:after="0" w:line="250" w:lineRule="auto"/>
        <w:rPr>
          <w:sz w:val="20"/>
          <w:szCs w:val="20"/>
          <w:color w:val="auto"/>
        </w:rPr>
      </w:pPr>
      <w:r>
        <w:rPr>
          <w:rFonts w:ascii="Arial" w:cs="Arial" w:eastAsia="Arial" w:hAnsi="Arial"/>
          <w:sz w:val="18"/>
          <w:szCs w:val="18"/>
          <w:b w:val="1"/>
          <w:bCs w:val="1"/>
          <w:color w:val="auto"/>
        </w:rPr>
        <w:t>ADOPTION OF AN AMENDMENT TO THE CURRENT CERTIFICATE IN ORDER TO PERMIT THE EXCULPATION OF OFFICERS FROM PERSONAL LIABILITY FOR CERTAIN BREACHES OF THE DUTY OF CARE</w:t>
      </w:r>
    </w:p>
    <w:p>
      <w:pPr>
        <w:spacing w:after="0" w:line="1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asking our stockholders to adopt an amendment to our Current Certificate in order to provide exculpation for our officers from personal liability for certain breaches of the duty of care (the “Officer Exculpation Amendment”). Information regarding this proposal can be found under the section titled “Proposal No. 6—Adoption of Amendment to the Current Certificate in Order to Permit the Exculpation of Officers from Personal Liability for Certain Breaches of the Duty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53663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-633730</wp:posOffset>
            </wp:positionV>
            <wp:extent cx="1765935" cy="1371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65935" cy="137160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b w:val="1"/>
          <w:bCs w:val="1"/>
          <w:color w:val="auto"/>
        </w:rPr>
        <w:t>BOARD’S</w:t>
      </w:r>
    </w:p>
    <w:p>
      <w:pPr>
        <w:spacing w:after="0" w:line="219" w:lineRule="auto"/>
        <w:rPr>
          <w:sz w:val="20"/>
          <w:szCs w:val="20"/>
          <w:color w:val="auto"/>
        </w:rPr>
      </w:pPr>
      <w:r>
        <w:rPr>
          <w:rFonts w:ascii="Arial" w:cs="Arial" w:eastAsia="Arial" w:hAnsi="Arial"/>
          <w:sz w:val="18"/>
          <w:szCs w:val="18"/>
          <w:b w:val="1"/>
          <w:bCs w:val="1"/>
          <w:color w:val="auto"/>
        </w:rPr>
        <w:t>RECOMMENDATION</w:t>
      </w:r>
    </w:p>
    <w:p>
      <w:pPr>
        <w:ind w:left="820"/>
        <w:spacing w:after="0" w:line="234"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397510</wp:posOffset>
            </wp:positionV>
            <wp:extent cx="1765935" cy="1259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6593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BOARD’S</w:t>
      </w:r>
    </w:p>
    <w:p>
      <w:pPr>
        <w:spacing w:after="0" w:line="219" w:lineRule="auto"/>
        <w:rPr>
          <w:sz w:val="20"/>
          <w:szCs w:val="20"/>
          <w:color w:val="auto"/>
        </w:rPr>
      </w:pPr>
      <w:r>
        <w:rPr>
          <w:rFonts w:ascii="Arial" w:cs="Arial" w:eastAsia="Arial" w:hAnsi="Arial"/>
          <w:sz w:val="18"/>
          <w:szCs w:val="18"/>
          <w:b w:val="1"/>
          <w:bCs w:val="1"/>
          <w:color w:val="auto"/>
        </w:rPr>
        <w:t>RECOMMENDATION</w:t>
      </w:r>
    </w:p>
    <w:p>
      <w:pPr>
        <w:ind w:left="820"/>
        <w:spacing w:after="0" w:line="234"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346075</wp:posOffset>
            </wp:positionV>
            <wp:extent cx="1765935" cy="1388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6593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BOARD’S</w:t>
      </w:r>
    </w:p>
    <w:p>
      <w:pPr>
        <w:spacing w:after="0" w:line="219" w:lineRule="auto"/>
        <w:rPr>
          <w:sz w:val="20"/>
          <w:szCs w:val="20"/>
          <w:color w:val="auto"/>
        </w:rPr>
      </w:pPr>
      <w:r>
        <w:rPr>
          <w:rFonts w:ascii="Arial" w:cs="Arial" w:eastAsia="Arial" w:hAnsi="Arial"/>
          <w:sz w:val="18"/>
          <w:szCs w:val="18"/>
          <w:b w:val="1"/>
          <w:bCs w:val="1"/>
          <w:color w:val="auto"/>
        </w:rPr>
        <w:t>RECOMMENDATION</w:t>
      </w:r>
    </w:p>
    <w:p>
      <w:pPr>
        <w:ind w:left="820"/>
        <w:spacing w:after="0" w:line="234"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“FOR” this Proposal</w:t>
      </w:r>
    </w:p>
    <w:p>
      <w:pPr>
        <w:sectPr>
          <w:pgSz w:w="11900" w:h="16838" w:orient="portrait"/>
          <w:cols w:equalWidth="0" w:num="2">
            <w:col w:w="8420" w:space="540"/>
            <w:col w:w="1820"/>
          </w:cols>
          <w:pgMar w:left="340" w:top="945" w:right="7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2023 Annual Meeting of Stockholders</w:t>
      </w:r>
    </w:p>
    <w:p>
      <w:pPr>
        <w:spacing w:after="0" w:line="15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Solicitation and Voting</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proxy statement (“Proxy Statement”) is furnished in connection with the solicitation by the board of directors (“Board of Directors”) of Veracyte, Inc., a Delaware corporation (“we,” “us,” “our” or “Veracyte”), of proxies in the accompanying form to be used at our Annual Meeting of Stockholders on Thursday, June 8, 2023, at 10:00 a.m., Pacific Time, and any postponement or adjournment thereof (the “Annual Meeting”). To provide greater access to those who may want to attend, the Annual Meeting will be held virtually via the Internet at www.virtualshareholdermeeting.com/VCYT2023.</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Notice of Internet Availability of Proxy Materials and this Proxy Statement for the Annual Meeting and the accompanying form of proxy were first distributed and made available on the Internet to stockholders on or about April 27, 2023. Our annual report on Form 10-K for the year ended December 31, 2022 (the “Annual Report”) is available with this Proxy Statement by following the instructions in the Notice of Internet Availability of Proxy Materials. Our Annual Report is also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proposals will be voted on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Six proposals will be voted on at the Annual Meeting: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two Class I directors to serve until the 2026 Annual Meeting or until their successors are duly elected and qualified;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approval, on a non-binding advisory basis, of the compensation of our named executive officers, as disclosed in this Proxy Statement;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the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the Declassification Amendment;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the Officer Exculpation Amendment.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 of Directors’ recommendations?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that you vote: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election of each of the nominated Class I directors;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ratification of the appointment of Ernst &amp; Young LLP as our independent registered public accounting firm for 2023;</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9" w:name="page10"/>
    <w:bookmarkEnd w:id="9"/>
    <w:p>
      <w:pPr>
        <w:ind w:left="1960" w:hanging="323"/>
        <w:spacing w:after="0" w:line="277" w:lineRule="auto"/>
        <w:rPr>
          <w:sz w:val="20"/>
          <w:szCs w:val="20"/>
          <w:color w:val="auto"/>
        </w:rPr>
      </w:pPr>
      <w:r>
        <w:rPr>
          <w:rFonts w:ascii="Arial" w:cs="Arial" w:eastAsia="Arial" w:hAnsi="Arial"/>
          <w:sz w:val="18"/>
          <w:szCs w:val="18"/>
          <w:color w:val="auto"/>
        </w:rPr>
        <w:t>“FOR” the approval, on a non-binding advisory basis, of the compensation of our named executive officers, as disclosed in this Proxy Statement;</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approval of the Plan;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adoption of the Declassification Amendment; and</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adoption of the Officer Exculpation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there be any other items of business on the agenda?</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year’s Annual Meeting will take place virtually through the Internet. We have designed the format of this year’s Annual Meeting to ensure that our stockholders who attend the Annual Meeting will be afforded the same rights and opportunities to participate as they would at an in-person meeting. You are entitled to attend and participate in the Annual Meeting only if you were a stockholder of record as of the close of business on April 10, 2023 (the “Record Date”), or if you hold a valid proxy for the meeting, as described below. Each stockholder is entitled to one vote for each share of our common stock held as of the Record Date. To be admitted to the Annual Meeting at www.virtualshareholdermeeting.com/VCYT2023, you must enter the 16-digit control number found on your proxy card or other proxy materials. If you do not have a control number, please contact the brokerage firm, bank, dealer, or other similar organization that holds your account as soon as possible so that you can be provided with a control number.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holding shares as a stockholder of record and as a beneficial owner?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Broadridge Corporate Issuer Solutions, Inc.,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considered, with respect to those shares, the “stockholder of record.” As a stockholder of record, you may vote at the Annual Meeting or vote by telephone, by Internet, or by filling out and returning the proxy card.</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Beneficial Owner. </w:t>
      </w:r>
      <w:r>
        <w:rPr>
          <w:rFonts w:ascii="Arial" w:cs="Arial" w:eastAsia="Arial" w:hAnsi="Arial"/>
          <w:sz w:val="17"/>
          <w:szCs w:val="17"/>
          <w:color w:val="auto"/>
        </w:rPr>
        <w:t>If your shares are held in a brokerage account or by a bank or other nominee, you are considered the “beneficial owner”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held in street name. As the beneficial owner, you have the right to direct your broker, bank or nominee how to vote your shares by using the voting instruction form included in the mailing.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jc w:val="both"/>
        <w:ind w:left="660" w:hanging="328"/>
        <w:spacing w:after="0" w:line="273"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 Stockholders of record may submit proxies by completing, signing and dating each proxy card received and returning it in the prepaid</w:t>
      </w:r>
      <w:r>
        <w:rPr>
          <w:rFonts w:ascii="Arial" w:cs="Arial" w:eastAsia="Arial" w:hAnsi="Arial"/>
          <w:sz w:val="17"/>
          <w:szCs w:val="17"/>
          <w:b w:val="1"/>
          <w:bCs w:val="1"/>
          <w:color w:val="auto"/>
        </w:rPr>
        <w:t xml:space="preserve"> </w:t>
      </w:r>
      <w:r>
        <w:rPr>
          <w:rFonts w:ascii="Arial" w:cs="Arial" w:eastAsia="Arial" w:hAnsi="Arial"/>
          <w:sz w:val="17"/>
          <w:szCs w:val="17"/>
          <w:color w:val="auto"/>
        </w:rPr>
        <w:t>envelope. Sign your name exactly as it appears on the proxy. If you return your signed proxy but do not indicate your voting preferences, your shares will be voted on your behalf “FOR” the election of the nominees for Class I director, “FOR” the ratification of the independent registered public accounting firm for 2023, “FOR” the compensation of our named executive officers; “FOR” the approval of the Plan; “FOR” the adoption of the Declassification Amendment; and “FOR” the adoption of the Officer Exculpation Amendment. Stockholders who hold shares beneficially in street name may provide voting instructions by mail by completing, signing and dating the voting instruction forms provided by their brokers, banks or other nominees. Voting by mail will close based on mail received the day before the meeting date.</w:t>
      </w:r>
    </w:p>
    <w:p>
      <w:pPr>
        <w:spacing w:after="0" w:line="198" w:lineRule="exact"/>
        <w:rPr>
          <w:rFonts w:ascii="Arial" w:cs="Arial" w:eastAsia="Arial" w:hAnsi="Arial"/>
          <w:sz w:val="17"/>
          <w:szCs w:val="17"/>
          <w:color w:val="auto"/>
        </w:rPr>
      </w:pPr>
    </w:p>
    <w:p>
      <w:pPr>
        <w:jc w:val="both"/>
        <w:ind w:left="660" w:hanging="328"/>
        <w:spacing w:after="0" w:line="261"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Stockholders of record may submit proxies by following the telephone voting instructions on their proxy cards. Most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left="660"/>
        <w:spacing w:after="0" w:line="277" w:lineRule="auto"/>
        <w:rPr>
          <w:sz w:val="20"/>
          <w:szCs w:val="20"/>
          <w:color w:val="auto"/>
        </w:rPr>
      </w:pPr>
      <w:r>
        <w:rPr>
          <w:rFonts w:ascii="Arial" w:cs="Arial" w:eastAsia="Arial" w:hAnsi="Arial"/>
          <w:sz w:val="18"/>
          <w:szCs w:val="18"/>
          <w:color w:val="auto"/>
        </w:rPr>
        <w:t>instructions by telephone, you may incur costs such as telephone access charges for which you will be responsible. The telephone voting facilities will close at 11:59 p.m., Eastern Time, the day before the meeting date.</w:t>
      </w:r>
    </w:p>
    <w:p>
      <w:pPr>
        <w:spacing w:after="0" w:line="19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w:t>
      </w:r>
    </w:p>
    <w:p>
      <w:pPr>
        <w:spacing w:after="0" w:line="256" w:lineRule="exact"/>
        <w:rPr>
          <w:sz w:val="20"/>
          <w:szCs w:val="20"/>
          <w:color w:val="auto"/>
        </w:rPr>
      </w:pPr>
    </w:p>
    <w:p>
      <w:pPr>
        <w:jc w:val="both"/>
        <w:ind w:left="1800"/>
        <w:spacing w:after="0" w:line="255" w:lineRule="auto"/>
        <w:rPr>
          <w:sz w:val="20"/>
          <w:szCs w:val="20"/>
          <w:color w:val="auto"/>
        </w:rPr>
      </w:pPr>
      <w:r>
        <w:rPr>
          <w:rFonts w:ascii="Arial" w:cs="Arial" w:eastAsia="Arial" w:hAnsi="Arial"/>
          <w:sz w:val="18"/>
          <w:szCs w:val="18"/>
          <w:i w:val="1"/>
          <w:iCs w:val="1"/>
          <w:color w:val="auto"/>
        </w:rPr>
        <w:t xml:space="preserve">Before the Annual Meeting </w:t>
      </w:r>
      <w:r>
        <w:rPr>
          <w:rFonts w:ascii="Arial" w:cs="Arial" w:eastAsia="Arial" w:hAnsi="Arial"/>
          <w:sz w:val="18"/>
          <w:szCs w:val="18"/>
          <w:color w:val="auto"/>
        </w:rPr>
        <w:t>- Stockholders of record may submit proxies by following the internet voting instructions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cards. Most stockholders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Time, the day before the meeting date.</w:t>
      </w:r>
    </w:p>
    <w:p>
      <w:pPr>
        <w:spacing w:after="0" w:line="219" w:lineRule="exact"/>
        <w:rPr>
          <w:sz w:val="20"/>
          <w:szCs w:val="20"/>
          <w:color w:val="auto"/>
        </w:rPr>
      </w:pPr>
    </w:p>
    <w:p>
      <w:pPr>
        <w:jc w:val="both"/>
        <w:ind w:left="1800"/>
        <w:spacing w:after="0" w:line="254" w:lineRule="auto"/>
        <w:rPr>
          <w:sz w:val="20"/>
          <w:szCs w:val="20"/>
          <w:color w:val="auto"/>
        </w:rPr>
      </w:pPr>
      <w:r>
        <w:rPr>
          <w:rFonts w:ascii="Arial" w:cs="Arial" w:eastAsia="Arial" w:hAnsi="Arial"/>
          <w:sz w:val="18"/>
          <w:szCs w:val="18"/>
          <w:i w:val="1"/>
          <w:iCs w:val="1"/>
          <w:color w:val="auto"/>
        </w:rPr>
        <w:t xml:space="preserve">During the Annual Meeting </w:t>
      </w:r>
      <w:r>
        <w:rPr>
          <w:rFonts w:ascii="Arial" w:cs="Arial" w:eastAsia="Arial" w:hAnsi="Arial"/>
          <w:sz w:val="18"/>
          <w:szCs w:val="18"/>
          <w:color w:val="auto"/>
        </w:rPr>
        <w:t>- Stockholders of record may attend the Annual Meeting by visiting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www.virtualshareholdermeeting.com/VCYT2023 where stockholders may vote and submit questions during the Annual Meeting. The Annual Meeting starts at 10:00 a.m. Pacific Time. Please have your 16-digit control number found on your proxy card or other proxy materials. Instructions on how to attend and participate via the internet are posted at www.virtualshareholdermeeting.com/VCYT2023. If you are not the stockholder of record, please refer to the voting instructions provided by your nominee to direct your nominee on how to vote your shares. </w:t>
      </w:r>
      <w:r>
        <w:rPr>
          <w:rFonts w:ascii="Arial" w:cs="Arial" w:eastAsia="Arial" w:hAnsi="Arial"/>
          <w:sz w:val="18"/>
          <w:szCs w:val="18"/>
          <w:b w:val="1"/>
          <w:bCs w:val="1"/>
          <w:i w:val="1"/>
          <w:iCs w:val="1"/>
          <w:color w:val="auto"/>
        </w:rPr>
        <w:t>Even if you plan to attend the Annual Meeting, we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recommend that you also submit your proxy or voting instructions or vote by telephone or the internet so that your vote will be counted if you later decide not to attend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need technical assistance during the Annual Meeting?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encourage you to access the Annual Meeting before it begins. Online check-in will start shortly before the meeting on June 8, 2023. If you encounter any difficulties accessing the virtual meeting during the check-in or meeting time, please call the technical support number that will be posted on the virtual Annual Meeting log-in page.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or revoke my proxy?</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You may change your vote or revoke your proxy at any time prior to the vote at the Annual Meeting. If you are a stockholder of record and submitted your proxy by mail, you must file with our Secretary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beneficial owner of shares held in street name and you wish to change or revoke your vote, please consult the voting instructions provided with this Proxy Statement or contact your broker, bank or nominee.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Proposal No. 1, you may vote “FOR” or “AGAINST” each of the Class I nominees. You may also “ABSTAIN” from voting.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No. 2, the appointment of Ernst &amp; Young LLP as our independent registered public accounting firm for 2023, you may vote “FOR,” vote “AGAINST” or “ABSTAIN.” Abstentions have the same effect as votes “AGAINST” this proposal.</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No. 3, the approval, on a non-binding advisory basis, of the compensation of our named executive officers, you may vote “FOR,” vote “AGAINST” or “ABSTAIN.” Abstentions have the same effect as votes “AGAINST” this proposal.</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No. 4, the approval of the Plan, you may vote “FOR,” vote “AGAINST” or “ABSTAIN.” Abstentions have the same effect as votes “AGAINST” this proposal.</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No. 5, the adoption of the Declassification Amendment, you may vote “FOR,” vote “AGAINST” or “ABSTAIN.” Abstentions have the same effect as votes “AGAINST” this proposal.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ind w:right="20" w:firstLine="648"/>
        <w:spacing w:after="0" w:line="277" w:lineRule="auto"/>
        <w:rPr>
          <w:sz w:val="20"/>
          <w:szCs w:val="20"/>
          <w:color w:val="auto"/>
        </w:rPr>
      </w:pPr>
      <w:r>
        <w:rPr>
          <w:rFonts w:ascii="Arial" w:cs="Arial" w:eastAsia="Arial" w:hAnsi="Arial"/>
          <w:sz w:val="18"/>
          <w:szCs w:val="18"/>
          <w:color w:val="auto"/>
        </w:rPr>
        <w:t>For Proposal No. 6, the adoption of the Officer Exculpation Amendment, you may vote “FOR,” vote “AGAINST” or “ABSTAIN.” Abstentions have the same effect as votes “AGAINST” this proposal.</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 nominees to the Board of Directors, “FOR” the ratification of Ernst &amp; Young LLP as our independent registered public accounting firm for 2023, “FOR” approving, on a non-binding advisory basis, the compensation of our named executive officers, “FOR” the approval of the Plan; “FOR” the adoption of the Declassification Amendment; “FOR” the adoption of the Officer Exculpation Amendment; and in the discretion of the proxy holders on any other matters that may properly come before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a majority voting standard for uncontested elections of directors (Proposal No. 1), which means that to be elected, a director nominee must receive a majority of the votes cast, i.e. the number of shares voted “FOR” a director nominee must exceed the votes cast “AGAINST” that nominee.</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vote of a majority of the shares of our common stock that are present in person or represented by proxy at the 2023 Annual Meeting and entitled to vote is required to ratify the appointment of Ernst &amp; Young LLP as our independent registered public accounting firm (Proposal No. 2), to approve the advisory resolution on named executive officer compensation (Proposal No. 3), and to approve the Plan (Proposal No. 4).</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affirmative vote of at least 66 2/3% of the voting power of all of the shares of our common stock outstanding as of the Record Date is required for the adoption of the Declassification Amendment (Proposal No. 5) and the adoption the Officer Exculpation Amendment (Proposal No. 6).</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Abstentions are deemed to be shares present or represented by proxy and entitled to vote. Abstentions have no effect on Proposal No. 1 and the same effect as a vote against Proposals No. 2, 3, 4, 5, and 6.</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you hold shares beneficially in street name and do not provide your broker or nominee with voting instructions, your shares may constitute “broker non-votes.” Broker non-votes occur when shares held by a broker for a beneficial owner are not voted because the broker did not receive voting instructions from the beneficial owner and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the ratification of Ernst &amp; Young LLP as our independent registered public accounting firm for 2023 is considered a routine matter. The election of directors, the advisory vote on compensation of our named executive officers, the approval of the Plan, the adoption of the Declassification Amendment and the adoption of the Officer Exculpation Amendment are non-routine matters. Broker non-votes are counted for purposes of determining whether a quorum is present. Broker non-votes will have no effect on Proposals No. 1, 2, 3 and 4. Broker non-votes will have the same effect as an against with respect to Proposals No. 5 and 6. Accordingly, we encourage you to provide voting instructions to your broker, whether or not you plan to attend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cumulative voting permitted for the election of directors?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Stockholders may not cumulate votes in the election of directors, which means that each stockholder may vote no more than the number of shares he or she owns for a single director candidate.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presence at the Annual Meeting of the holders of a majority of the shares of common stock outstanding on the Record Date will constitute a quorum. Your shares are counted as present at the Annual Meeting if you are present and vote at the Annual Meeting or if you have properly submitted a proxy. As of the close of business on the Record Date, there were 72,383,031 shares of our common stock outstanding. Both abstentions and broker non-votes are counted for the purpose of determining the presence of a quorum.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proxies solicited?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What happens if only one of the Declassification Amendment (Proposal No. 5) or the Officer Exculpation Amendment (Proposal No. 6) is adopted, or if both are adopted?</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Proposals No. 5 and 6 are independent from one another. If our stockholders approve one proposal and not the other (and if the Board of Directors does not abandon the approved proposal after it is adopted by the stockholders), we will file a certificate of amendment reflecting an amendment to the current restated certificate of incorporation that reflects the adopted proposal as soon as practicable after approval by the stockholders.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our stockholders approve both proposals (and if the Board of Directors does not abandon the approved proposals after they are adopted by the stockholders), we will file a certificate of amendment to the current restated certificate of incorporation that reflects the adopted proposals as soon as practicable after approval by the stockholders.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intend to file a restated certificate of incorporation that will integrate the approved amendment(s) (unless abandoned) into a single document, without further amending our certificate of incorporation. Under the Delaware General Corporation Law, this restatement would not require further stockholder approval.</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connection with Proposal No. 5, we approved amended and restated bylaws, which shall become effective contingent upon and subject to stockholder approval of the amendment in Proposal No. 5 to declassify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Participating in the Annual Meeting</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participate in the virtual meeting, visit www.virtualshareholdermeeting.com/VCYT2023 and enter the 16-digit control number included on your proxy card or on the instructions that accompanied your proxy materials.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you wish to submit a question during the Annual Meeting, log into the virtual meeting platform at www.virtualshareholdermeeting.com/VCYT2023, type your question into the “Ask a Question” field, and click “Submit.” If your question is properly submitted during the relevant portion of the meeting agenda, we will seek to respond to your question during the live webcast. We reserve the right to exclude questions that are irrelevant to meeting matters, irrelevant to our business, or derogatory or in bad taste; that relate to pending or threatened litigation; that are personal grievances; or that are otherwise inappropriate (as determined by the chair of the Annual Meeting). A webcast replay of the Annual Meeting, including the Q&amp;A session, will also be archived on the “Investor Relations” section of our website, which is located at https://investor.veracyte.com/investor-relations.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www.virtualshareholdermeeting.com/VCYT2023</w:t>
      </w:r>
      <w:r>
        <w:rPr>
          <w:rFonts w:ascii="Arial" w:cs="Arial" w:eastAsia="Arial" w:hAnsi="Arial"/>
          <w:sz w:val="18"/>
          <w:szCs w:val="18"/>
          <w:i w:val="1"/>
          <w:iCs w:val="1"/>
          <w:color w:val="auto"/>
        </w:rPr>
        <w:t>.</w:t>
      </w:r>
      <w:r>
        <w:rPr>
          <w:rFonts w:ascii="Arial" w:cs="Arial" w:eastAsia="Arial" w:hAnsi="Arial"/>
          <w:sz w:val="18"/>
          <w:szCs w:val="18"/>
          <w:color w:val="auto"/>
        </w:rPr>
        <w:t xml:space="preserve"> If you encounter technical difficulties accessing our meeting or asking questions during the meeting, a support line will be available on the login page of the virtual meeting website.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directors is currently set at nine and our Board of Directors is divided into three classes, each serving staggered, three-year terms:</w:t>
      </w:r>
    </w:p>
    <w:p>
      <w:pPr>
        <w:spacing w:after="0" w:line="248" w:lineRule="exact"/>
        <w:rPr>
          <w:sz w:val="20"/>
          <w:szCs w:val="20"/>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Class I directors are Bonnie H. Anderson, Robert S. Epstein, M.D., M.S., and Evan Jones and their terms will expire at the Annual Meeting;</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Class II directors are Muna Bhanji, John L. Bishop and Marc Stapley, and their terms will expire at the annual meeting of stockholders to be held in 2024 (the “2024 Annual Meeting”);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Class III directors are Eliav Barr, Karin Eastham, and Jens Holstein and their terms will expire at the annual meeting of stockholders to be held in 2025 (the “2025 Annual Meeting”).</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Ms. Anderson, a current Class I director, requested that the nominating and governance committee not consider her to serve an additional term as a Class I director. Accordingly, Ms. Anderson’s term as a director will end at the Annual Meeting. The Board of Directors has approved to set the number of directors at eight effective upon the conclusion of the Annual Meeting. The remaining two Class I directors will be elected at the Annual Meeting to serve until the annual meeting of stockholders to be held in 2026 (the “2026 Annual Meeting”) or until their successors are duly elected and qualified, with the other classes of directors continuing to serve for the remainder of their respective terms. If the two nominees receive more votes “FOR” reelection than “AGAINST,” they will be reelected to the Board of Directors. The nominating and corporate governance committee of the Board of Directors has recommended, and the Board of Directors has designated Robert S. Epstein, M.D., M.S., and Evan Jones as the nominees for Class I directors to serve until the 2026 Annual Meeting.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our stockholders approve Proposal No. 5 (and if the Board of Directors does not abandon the proposed amendment after it is adopted by the stockholders), the declassification of the Board of Directors will occur as follows:</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office of those directors elected at the Annual Meeting will expire at the 2026 Annual Meeting;</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continuing directors whose current terms will expire at the 2024 Annual Meeting and the 2025 Annual Meeting (the Class II directors and the Class III directors, respectively) will serve the remainder of their terms;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 the 2024 Annual Meeting, the current Class II directors will stand for election for a one-year term expiring at the 2025 Annual Meeting;</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2025 Annual Meeting, the current Class II directors and Class III directors will stand for election for a one-year term expiring at the 2026 Annual Meeting; and</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beginning with the 2026 Annual Meeting, all the nominees for director will stand for election for one-year terms expiring at the next annual meeting of stockholders.</w:t>
      </w:r>
    </w:p>
    <w:p>
      <w:pPr>
        <w:spacing w:after="0" w:line="15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Names of the Class I nominees and the other members of the Board of Directors and certain biographical information as of April 10, 2023 are set forth below: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tbl>
      <w:tblPr>
        <w:tblLayout w:type="fixed"/>
        <w:tblInd w:w="220" w:type="dxa"/>
        <w:tblCellMar>
          <w:top w:w="0" w:type="dxa"/>
          <w:left w:w="0" w:type="dxa"/>
          <w:bottom w:w="0" w:type="dxa"/>
          <w:right w:w="0" w:type="dxa"/>
        </w:tblCellMar>
      </w:tblPr>
      <w:tr>
        <w:trPr>
          <w:trHeight w:val="186"/>
        </w:trPr>
        <w:tc>
          <w:tcPr>
            <w:tcW w:w="29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4980" w:type="dxa"/>
            <w:vAlign w:val="bottom"/>
          </w:tcPr>
          <w:p>
            <w:pPr>
              <w:ind w:left="2200"/>
              <w:spacing w:after="0"/>
              <w:rPr>
                <w:sz w:val="20"/>
                <w:szCs w:val="20"/>
                <w:color w:val="auto"/>
              </w:rPr>
            </w:pPr>
            <w:r>
              <w:rPr>
                <w:rFonts w:ascii="Arial" w:cs="Arial" w:eastAsia="Arial" w:hAnsi="Arial"/>
                <w:sz w:val="14"/>
                <w:szCs w:val="14"/>
                <w:b w:val="1"/>
                <w:bCs w:val="1"/>
                <w:color w:val="auto"/>
              </w:rPr>
              <w:t>Position with Veracyte</w:t>
            </w: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Director Since</w:t>
            </w:r>
          </w:p>
        </w:tc>
      </w:tr>
      <w:tr>
        <w:trPr>
          <w:trHeight w:val="26"/>
        </w:trPr>
        <w:tc>
          <w:tcPr>
            <w:tcW w:w="2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Marc Stapley</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4980" w:type="dxa"/>
            <w:vAlign w:val="bottom"/>
          </w:tcPr>
          <w:p>
            <w:pPr>
              <w:ind w:left="40"/>
              <w:spacing w:after="0"/>
              <w:rPr>
                <w:sz w:val="20"/>
                <w:szCs w:val="20"/>
                <w:color w:val="auto"/>
              </w:rPr>
            </w:pPr>
            <w:r>
              <w:rPr>
                <w:rFonts w:ascii="Arial" w:cs="Arial" w:eastAsia="Arial" w:hAnsi="Arial"/>
                <w:sz w:val="18"/>
                <w:szCs w:val="18"/>
                <w:color w:val="auto"/>
              </w:rPr>
              <w:t>Chief Executive Officer and 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Bonnie H. Anderson (1)</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4980" w:type="dxa"/>
            <w:vAlign w:val="bottom"/>
          </w:tcPr>
          <w:p>
            <w:pPr>
              <w:ind w:left="40"/>
              <w:spacing w:after="0"/>
              <w:rPr>
                <w:sz w:val="20"/>
                <w:szCs w:val="20"/>
                <w:color w:val="auto"/>
              </w:rPr>
            </w:pPr>
            <w:r>
              <w:rPr>
                <w:rFonts w:ascii="Arial" w:cs="Arial" w:eastAsia="Arial" w:hAnsi="Arial"/>
                <w:sz w:val="18"/>
                <w:szCs w:val="18"/>
                <w:color w:val="auto"/>
              </w:rPr>
              <w:t>Co-Founder and 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Eliav Barr</w:t>
            </w: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Muna Bhanji</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John L. Bishop</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Karin Eastham</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Robert S. Epstein, M.D., M.S.</w:t>
            </w: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4980" w:type="dxa"/>
            <w:vAlign w:val="bottom"/>
          </w:tcPr>
          <w:p>
            <w:pPr>
              <w:ind w:left="40"/>
              <w:spacing w:after="0"/>
              <w:rPr>
                <w:sz w:val="20"/>
                <w:szCs w:val="20"/>
                <w:color w:val="auto"/>
              </w:rPr>
            </w:pPr>
            <w:r>
              <w:rPr>
                <w:rFonts w:ascii="Arial" w:cs="Arial" w:eastAsia="Arial" w:hAnsi="Arial"/>
                <w:sz w:val="18"/>
                <w:szCs w:val="18"/>
                <w:color w:val="auto"/>
              </w:rPr>
              <w:t>Chairperson, Director and Director Nominee</w:t>
            </w:r>
          </w:p>
        </w:tc>
        <w:tc>
          <w:tcPr>
            <w:tcW w:w="23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Jens Holstein</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3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Evan Jones</w:t>
            </w: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 and Director Nominee</w:t>
            </w:r>
          </w:p>
        </w:tc>
        <w:tc>
          <w:tcPr>
            <w:tcW w:w="2320" w:type="dxa"/>
            <w:vAlign w:val="bottom"/>
          </w:tcPr>
          <w:p>
            <w:pPr>
              <w:jc w:val="right"/>
              <w:spacing w:after="0"/>
              <w:rPr>
                <w:sz w:val="20"/>
                <w:szCs w:val="20"/>
                <w:color w:val="auto"/>
              </w:rPr>
            </w:pPr>
            <w:r>
              <w:rPr>
                <w:rFonts w:ascii="Arial" w:cs="Arial" w:eastAsia="Arial" w:hAnsi="Arial"/>
                <w:sz w:val="18"/>
                <w:szCs w:val="18"/>
                <w:color w:val="auto"/>
              </w:rPr>
              <w:t>2008</w:t>
            </w:r>
          </w:p>
        </w:tc>
      </w:tr>
    </w:tbl>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Ms. Anderson’s term as a director will end at the Annual Meeting.</w:t>
      </w:r>
    </w:p>
    <w:p>
      <w:pPr>
        <w:spacing w:after="0" w:line="3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Marc Stapley </w:t>
      </w:r>
      <w:r>
        <w:rPr>
          <w:rFonts w:ascii="Arial" w:cs="Arial" w:eastAsia="Arial" w:hAnsi="Arial"/>
          <w:sz w:val="17"/>
          <w:szCs w:val="17"/>
          <w:color w:val="auto"/>
        </w:rPr>
        <w:t>has served as our Chief Executive Officer since June 1, 2021 and as a member of our Board of Directors since June 8, 2021. 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Chief Executive Officer of Helix OpCo, LLC, a genomics company, from April 2019 to May 2021. Prior to that, Mr. Stapley served in key managerial positions at Illumina, Inc., a genetic sequencing company, including as Chief Financial Officer from January 2012 to January 2017, as Chief Administrative Officer from December 2015 to October 2017, and as Executive Vice President from October 2017 to January 2019. From 2009 to 2012, Mr. Stapley served as Senior Vice President, Finance at Pfizer Inc., a pharmaceutical company. Mr. Stapley has served as a member of the board of directors of Glaukos Corporation, an ophthalmic medical technology company, since 2014, and has served as a member of the board of directors of Helix since 2015. Mr. Stapley holds a B.Sc. (Honors) in Mathematics from The University of Reading (England). We believe that Mr. Stapley is qualified to serve on our Board of Directors due to his significant leadership experience in the diagnostics and genetic sequencing fields, as well as his experience as our Chief Executive Officer and his service on the boards of directors of other life sciences and healthcare companies.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Bonnie H. Anderson </w:t>
      </w:r>
      <w:r>
        <w:rPr>
          <w:rFonts w:ascii="Arial" w:cs="Arial" w:eastAsia="Arial" w:hAnsi="Arial"/>
          <w:sz w:val="17"/>
          <w:szCs w:val="17"/>
          <w:color w:val="auto"/>
        </w:rPr>
        <w:t>is our co-founder and has served as a member of our Board of Directors since February 2008, including service as our Chair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of Directors from 2016 to 2023. From February 2008 to May 2021, she served as our Chief Executive Officer. From August 2013 to February 2017, she also served as our President. Prior to joining, Ms. Anderson was an independent strategic consultant from April 2006 to January 2008, including as a strategic consultant in the formation of Veracyte from July 2007 to January 2008. Ms. Anderson was a Vice President at Beckman Coulter, Inc., a manufacturer of biomedical testing instrument systems, tests and supplies, from September 2000 to March 2006 after serving in several leadership roles during her 1989 to 2006 employment with the company. Ms. Anderson currently serves as a member of the board of directors of Bruker Corporation, DNA Script and as a trustee of the Keck Graduate Institute of Applied Life Sciences. Ms. Anderson previously served as a member of the board of directors of Biotechnology Innovation Organization and Castle Biosciences, Inc. from June 2015 to August 2020. Ms. Anderson holds a B.S. in Medical Technology from Indiana University of Pennsylvania. We believe that Ms. Anderson is qualified to serve on our Board of Directors due to her extensive industry experience, strategic perspective of our development, historic knowledge of our company as a co-founder and key leadership position as our former Chief Executive Officer.</w:t>
      </w: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Eliav Barr, M.D., </w:t>
      </w:r>
      <w:r>
        <w:rPr>
          <w:rFonts w:ascii="Arial" w:cs="Arial" w:eastAsia="Arial" w:hAnsi="Arial"/>
          <w:sz w:val="17"/>
          <w:szCs w:val="17"/>
          <w:color w:val="auto"/>
        </w:rPr>
        <w:t>has served on our Board of Directors since August 2022. Dr. Barr has served as Head of Global Clinical Development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Officer at Merck Research Laboratories (“MRL”), a division of Merck &amp; Co., Inc. (“Merck”), since April 2022. He is also the Chairperson of the Late Development Review Committee at MRL, the governance committee that oversees the development programs for pipeline and in-line products in the Cardiovascular, Diabetes/Endocrine/ Metabolism, Immunology, Neurology, Oncology, Psychiatry, Respiratory, and Vaccines/Infectious Diseases therapeutic areas. Dr. Barr has held numerous leadership positions within MRL since joining the company in 1995, including serving as Senior Vice President, Global Medical and Scientific Affairs from 2018 to 2022. Prior to joining Merck, Dr. Barr pursued post-doctoral training at the University of Michigan and was on faculty at the University of Chicago. He holds a B.S. from Pennsylvania State University and an M.D. from Jefferson Medical College of Thomas Jefferson University and completed an Internal Medicine residency and Cardiology Fellowship at Johns Hopkins. We believe that Dr. Barr is qualified to serve on our Board of Directors due to his knowledge of the life sciences industry, his medical experience and his extensive executive and senior management experience in the biopharmaceutical industry.</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Muna Bhanji </w:t>
      </w:r>
      <w:r>
        <w:rPr>
          <w:rFonts w:ascii="Arial" w:cs="Arial" w:eastAsia="Arial" w:hAnsi="Arial"/>
          <w:sz w:val="18"/>
          <w:szCs w:val="18"/>
          <w:color w:val="auto"/>
        </w:rPr>
        <w:t>has served on our Board of Directors since March 2021. Ms. Bhanji is the Founder and President, TIBA Global Access LLC,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senior advisory/consultancy focused on commercialization and market access strategy development, serving the biopharmaceutical industry. Her prior experience includes an over 34 year tenure at Merck, during which she held a number of senior leadership roles within the U.S. and Global commercial organizations including Senior Vice President, Oncology and Senior Vice President, Hospital &amp; Specialty Franchises. Most recently, through December 2020, she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served as the Senior Vice President, Global Market Access &amp; Policy. In addition to serving as a director on a private company board, she currently serves on the board of directors of Intellia Therapeutics, Inc., Cytokinetics, Inc., Ardelyx, Inc. and Corus International, an international NGO. Prior to that, she had served on the boards of Possible Health, a Nepal based NGO, the Foundation of Managed Care Pharmacy and had also chaired Merck’s Supervisory Board in the Netherlands. Ms. Bhanji earned her Bachelor of Pharmacy degree from Rutgers School of Pharmacy and an M.B.A. from St. Joseph’s University. We believe that Ms. Bhanji is qualified to serve on our Board of Directors due to her extensive experience in strategic roles in the biopharmaceutical industry.</w:t>
      </w:r>
    </w:p>
    <w:p>
      <w:pPr>
        <w:spacing w:after="0" w:line="2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John L. Bishop </w:t>
      </w:r>
      <w:r>
        <w:rPr>
          <w:rFonts w:ascii="Arial" w:cs="Arial" w:eastAsia="Arial" w:hAnsi="Arial"/>
          <w:sz w:val="17"/>
          <w:szCs w:val="17"/>
          <w:color w:val="auto"/>
        </w:rPr>
        <w:t>has served on our Board of Directors since December 2014. Mr. Bishop served as the Chief Executive Officer and as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of directors of Cepheid Inc., a molecular diagnostics company, from April 2002 to November 2016, and became the chairman of its board of directors in February 2013. Mr. Bishop retired from Cepheid and resigned from the board of directors following the acquisition of Cepheid by Danaher Corporation. Mr. Bishop served as President and a member of the board of directors of Vysis, Inc., a genomic disease management company that was acquired by Abbott Laboratories, a health care company, from 1993 to 2002, and as Chief Executive Officer from 1996 to 2002. From 1991 until 1993, Mr. Bishop was Chairman and Chief Executive Officer of MicroProbe Corporation, a biotechnology company, and, from 1987 until 1991, of Source Scientific Systems Inc., a biomedical instrument manufacturing company. He previously served on the board of directors of Sense Biodetection Ltd, a private molecular diagnostics company focused on infectious disease from February 2020 until its sale in January 2023 and as a member of the board of directors and compensation committee of Conceptus, Inc. from February 2009 until June 2013 upon its acquisition by Bayer HealthCare LLC. Mr. Bishop also served as the chairman of the board of directors of AdvaMedDx, a division of the Advanced Medical Technology Association, a private medical diagnostics industry advocacy group, from December 2013 until April 2017. Mr. Bishop holds a B.S. from the University of Miami. We believe that Mr. Bishop is qualified to serve on our Board of Directors due to his significant experience as the chief executive officer of a publicly traded molecular diagnostics company, among his other executive and board experience in the life sciences industry.</w:t>
      </w:r>
    </w:p>
    <w:p>
      <w:pPr>
        <w:spacing w:after="0" w:line="2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Karin Eastham </w:t>
      </w:r>
      <w:r>
        <w:rPr>
          <w:rFonts w:ascii="Arial" w:cs="Arial" w:eastAsia="Arial" w:hAnsi="Arial"/>
          <w:sz w:val="17"/>
          <w:szCs w:val="17"/>
          <w:color w:val="auto"/>
        </w:rPr>
        <w:t>has served on our Board of Directors since December 2012. Ms. Eastham has served on the board of directors of Personalis, Inc., a</w:t>
      </w:r>
      <w:r>
        <w:rPr>
          <w:rFonts w:ascii="Arial" w:cs="Arial" w:eastAsia="Arial" w:hAnsi="Arial"/>
          <w:sz w:val="17"/>
          <w:szCs w:val="17"/>
          <w:i w:val="1"/>
          <w:iCs w:val="1"/>
          <w:color w:val="auto"/>
        </w:rPr>
        <w:t xml:space="preserve"> </w:t>
      </w:r>
      <w:r>
        <w:rPr>
          <w:rFonts w:ascii="Arial" w:cs="Arial" w:eastAsia="Arial" w:hAnsi="Arial"/>
          <w:sz w:val="17"/>
          <w:szCs w:val="17"/>
          <w:color w:val="auto"/>
        </w:rPr>
        <w:t>biotechnology company, since September 2019, and has served as chair of the board of directors of Personalis, Inc. since May 2022. She also has served on the boards of directors of Nektar Therapeutics, a biopharmaceutical company, since September 2018, and Geron Corporation, a biotechnology company, since March 2009.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Ms. Eastham previously held similar positions with several life sciences companies. Ms. Eastham also previously served as a member of the board of directors of Illumina, Inc. from August 2004 to May 2019, MorphoSys AG from May 2012 to May 2017, Amylin Pharmaceuticals, Inc. from September 2005 until its acquisition in August 2012, Genoptix, Inc. from July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 (inactive). We believe that Ms. Eastham is qualified to serve on our Board of Directors due to her experience as a director of numerous life sciences companies, as well as her extensive senior management experience in the biopharmaceutical industry.</w:t>
      </w:r>
    </w:p>
    <w:p>
      <w:pPr>
        <w:spacing w:after="0" w:line="2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Robert S. Epstein, M.D., M.S. </w:t>
      </w:r>
      <w:r>
        <w:rPr>
          <w:rFonts w:ascii="Arial" w:cs="Arial" w:eastAsia="Arial" w:hAnsi="Arial"/>
          <w:sz w:val="17"/>
          <w:szCs w:val="17"/>
          <w:color w:val="auto"/>
        </w:rPr>
        <w:t>has served on our Board of Directors since January 2015 and is Chair of the Board of Directors. Dr. Epstein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strategic consultant to life sciences companies since 2013. From 2010 to 2012, Dr. Epstein served as President of the Medco-UBC Division and as Chief Research and Development Officer of Medco Health Solutions, Inc., a managed healthcare company. Prior to that, Dr. Epstein served as Medco’s Chief Medical Officer from 1997 to 2010. Dr. Epstein has served as a member of the board of directors of Fate Therapeutics, Inc. since March 2014 and Illumina, Inc. since November 2012. Dr. Epstein previously served as a member of the board of directors of Aveo Pharmaceuticals, Inc. from December 2012 to June 2014 and was Chairman of the Board of Decipher Biosciences, Inc. (“Decipher”) from December 2019 until March 2021. Dr. Epstein is the former president of the International Society of Pharmacoeconomics and Outcomes Research, and served on the board of directors of the Drug Information Association and the International Society of Quality of Life. He has also served on the Centers for Disease Control and Prevention Evaluation of Genomic Applications in Practice &amp; Prevention Stakeholder Committee and the Agency for Healthcare Research and Quality Centers for Education and Research on Therapeutics Committee. Dr. Epstein holds a B.S. in Biomedical Science and an M.D. from the University of Michigan, and an M.S. in Preventive Medicine from the University of Maryland. We believe that Dr. Epstein is qualified to serve on our Board of Directors due to his extensive experience in strategic roles in healthcare companies, his expertise in reimbursement and FDA regulation, and his experience as a director of publicly traded companies in the life sciences industry.</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Jens Holstein </w:t>
      </w:r>
      <w:r>
        <w:rPr>
          <w:rFonts w:ascii="Arial" w:cs="Arial" w:eastAsia="Arial" w:hAnsi="Arial"/>
          <w:sz w:val="18"/>
          <w:szCs w:val="18"/>
          <w:color w:val="auto"/>
        </w:rPr>
        <w:t>has served on our Board of Directors since August 2020. Mr. Holstein has served as Chief Financial Officer of BioNTech SE, a</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 company, since July 2021. Previously, Mr. Holstein served as chief financial officer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both"/>
        <w:spacing w:after="0" w:line="272" w:lineRule="auto"/>
        <w:rPr>
          <w:sz w:val="20"/>
          <w:szCs w:val="20"/>
          <w:color w:val="auto"/>
        </w:rPr>
      </w:pPr>
      <w:r>
        <w:rPr>
          <w:rFonts w:ascii="Arial" w:cs="Arial" w:eastAsia="Arial" w:hAnsi="Arial"/>
          <w:sz w:val="17"/>
          <w:szCs w:val="17"/>
          <w:color w:val="auto"/>
        </w:rPr>
        <w:t>of MorphoSys AG, a biopharmaceutical company, from May 2011 to December 2020. From July 1999 to April 2011, Mr. Holstein held various positions at Fresenius SE &amp; Co. KGaA, a health care company, including regional Chief Financial Officer of Fresenius Kabi AG for the EME (Europe/Middle East) region and managing director of Fresenius Kabi Deutschland GmbH. Prior to joining Fresenius, Mr. Holstein spent several years in the consulting industry, with positions in Frankfurt and London. Mr. Holstein served as a director of InflaRx N.V., a biopharmaceutical company, from September 2018 to July 2020. Mr. Holstein holds a diploma in Business Administration from the University of Münster, Germany. We believe that Mr. Holstein is qualified to serve on our Board of Directors due to his significant experience as the chief financial officer of a publicly-traded biopharmaceutical company, as well as his extensive experience in management positions in life science and healthcare companies.</w:t>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on our Board of Directors since February 2008. Mr. Jones has also served as Managing Member of jVen Capital, LLC, a</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investment company, since 2007. He served as Chief Executive Officer of OpGen, Inc., a genetic analysis company, from 2013 to March 2020, and also served as a director from 2009 to June 2021. He was a co-founder of Digene Corporation, a biotechnology company focused on women’s health and molecular diagnostic testing, serving as chairman of its board of directors from 1995 until its acquisition in 2007 and served as Chief Executive Officer from 1990 to 2006 and as President from 1990 to 1999. Mr. Jones served as a member of the board of directors of Foundation Medicine, Inc. until its merger with Roche Holdings, Inc. in July 2018. Mr. Jones served as a director of Fluidigm Corporation from March 2011 to August 2017. Mr. Jones received a B.A. in biochemistry from the University of Colorado and an M.B.A. from The Wharton School at the University of Pennsylvania. We believe that Mr. Jones is qualified to serve on our Board of Directors due to his knowledge of the life sciences industry and his experience as a chief executive officer and as a board member of other publicly-traded and privately-held life sciences companies.</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“FOR” Election as Director for Each of the Class I Nominees Set Forth Above.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generally nominates directors whose term is scheduled to expire at the next annual meeting of stockholders and appoints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our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our company and the Board of Directors. Although our company has no formal diversity policy for board members, the board and the nominating and corporate governance committee consider diversity of backgrounds and experiences and other forms of diversity when selecting nominees.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and corporate governance committee believes it appropriate for at least one, and, preferably, multiple, members of the Board of Directors to meet the criteria for an “audit committee financial expert” as defined by Securities and Exchange Commission (the “SEC”) rules, and that a majority of the members of the board meet the definition of “independent director” under the rules of The Nasdaq Stock Market. The nominating and corporate governance committee believes it appropriate for certain key members of our management - currently, our Chief Executive Officer - to participate as members of the Board of Directors.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each annual meeting of stockholders, the nominating and corporate governance committee identifies nominees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nominees is a member of the Board of Directors standing for re-election as a director.</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stockholder who wishes to suggest a prospective nominee for the Board of Directors should notify our Secretary or any member of the nominating and corporate governance committee in writing with any supporting material the stockholder considers appropriate. In addition, our amended and restated bylaws contain provisions that address the process by which a stockholder may nominate an individual to stand for election to the Board of Directors at our annual meeting of stockholders. In order to nominate a candidate for director, including in accordance with the SEC’s universal proxy rules, a stockholder must give timely notice in writing to our Secretary and otherwise comply with the provisions of our amended and restated bylaws. To be timely for our 2024 annual meeting, our amended and restated bylaws provide that we must have received the stockholder’s notice not earlier than 5:00 p.m. Eastern Time on February 9, 2024 and not later than 5:00 p.m. Eastern Time on March 10, 2024. Information required by the amended and restated bylaws to be in the notice include the name and contact information for the candidate and the person making the nomination and other information about the nominee that must be disclosed in proxy solicitations under Section 14 of the Securities Exchange Act of 1934, as amended (“Exchange Act”) and the related rules and regulations under that Section.</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Stockholder nominations must be made in accordance with the procedures outlined in, and include the information required by, our amended and restated bylaws and must be addressed to: Secretary, Veracyte, Inc., 6000 Shoreline Court, Suite 300, South San Francisco, California 94080. You may obtain a copy of the full text of this provision of the amended and restated bylaws by writing to our Secretary at the above address.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Expertise, Experience and Attributes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is comprised of a diverse mix of directors with complementary expertise, experience and attributes, as summarized in the table below. Our directors may also have limited experience or attributes in addition to what is reflected in the “Number of Directors” column below. The “Number of Directors” column includes Ms. Anderson who is not standing for re-election at the Annual Meeting and whose term as a director will end at the Annual Meeting.</w:t>
      </w:r>
    </w:p>
    <w:p>
      <w:pPr>
        <w:sectPr>
          <w:pgSz w:w="11900" w:h="16838" w:orient="portrait"/>
          <w:cols w:equalWidth="0" w:num="1">
            <w:col w:w="11240"/>
          </w:cols>
          <w:pgMar w:left="320" w:top="895" w:right="339" w:bottom="1440" w:gutter="0" w:footer="0" w:header="0"/>
        </w:sect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Expertise, Experience or</w:t>
      </w:r>
    </w:p>
    <w:p>
      <w:pPr>
        <w:spacing w:after="0" w:line="16" w:lineRule="exact"/>
        <w:rPr>
          <w:sz w:val="20"/>
          <w:szCs w:val="20"/>
          <w:color w:val="auto"/>
        </w:rPr>
      </w:pPr>
    </w:p>
    <w:p>
      <w:pPr>
        <w:ind w:left="820"/>
        <w:spacing w:after="0"/>
        <w:tabs>
          <w:tab w:leader="none" w:pos="5360" w:val="left"/>
        </w:tabs>
        <w:rPr>
          <w:sz w:val="20"/>
          <w:szCs w:val="20"/>
          <w:color w:val="auto"/>
        </w:rPr>
      </w:pPr>
      <w:r>
        <w:rPr>
          <w:rFonts w:ascii="Arial" w:cs="Arial" w:eastAsia="Arial" w:hAnsi="Arial"/>
          <w:sz w:val="18"/>
          <w:szCs w:val="18"/>
          <w:b w:val="1"/>
          <w:bCs w:val="1"/>
          <w:color w:val="auto"/>
        </w:rPr>
        <w:t>Attribute</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21590</wp:posOffset>
            </wp:positionV>
            <wp:extent cx="58204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37" w:lineRule="exact"/>
        <w:rPr>
          <w:sz w:val="20"/>
          <w:szCs w:val="20"/>
          <w:color w:val="auto"/>
        </w:rPr>
      </w:pPr>
    </w:p>
    <w:p>
      <w:pPr>
        <w:ind w:left="100"/>
        <w:spacing w:after="0"/>
        <w:tabs>
          <w:tab w:leader="none" w:pos="2400" w:val="left"/>
        </w:tabs>
        <w:rPr>
          <w:sz w:val="20"/>
          <w:szCs w:val="20"/>
          <w:color w:val="auto"/>
        </w:rPr>
      </w:pPr>
      <w:r>
        <w:rPr>
          <w:rFonts w:ascii="Arial" w:cs="Arial" w:eastAsia="Arial" w:hAnsi="Arial"/>
          <w:sz w:val="18"/>
          <w:szCs w:val="18"/>
          <w:b w:val="1"/>
          <w:bCs w:val="1"/>
          <w:color w:val="auto"/>
        </w:rPr>
        <w:t>Biotechnology and Product</w:t>
      </w:r>
      <w:r>
        <w:rPr>
          <w:sz w:val="20"/>
          <w:szCs w:val="20"/>
          <w:color w:val="auto"/>
        </w:rPr>
        <w:tab/>
      </w:r>
      <w:r>
        <w:rPr>
          <w:rFonts w:ascii="Arial" w:cs="Arial" w:eastAsia="Arial" w:hAnsi="Arial"/>
          <w:sz w:val="16"/>
          <w:szCs w:val="16"/>
          <w:color w:val="auto"/>
        </w:rPr>
        <w:t>Significant background working in the biotechnology industry and in management of life</w:t>
      </w:r>
    </w:p>
    <w:p>
      <w:pPr>
        <w:spacing w:after="0" w:line="16" w:lineRule="exact"/>
        <w:rPr>
          <w:sz w:val="20"/>
          <w:szCs w:val="20"/>
          <w:color w:val="auto"/>
        </w:rPr>
      </w:pPr>
    </w:p>
    <w:p>
      <w:pPr>
        <w:ind w:left="100"/>
        <w:spacing w:after="0"/>
        <w:tabs>
          <w:tab w:leader="none" w:pos="2400" w:val="left"/>
        </w:tabs>
        <w:rPr>
          <w:sz w:val="20"/>
          <w:szCs w:val="20"/>
          <w:color w:val="auto"/>
        </w:rPr>
      </w:pPr>
      <w:r>
        <w:rPr>
          <w:rFonts w:ascii="Arial" w:cs="Arial" w:eastAsia="Arial" w:hAnsi="Arial"/>
          <w:sz w:val="18"/>
          <w:szCs w:val="18"/>
          <w:b w:val="1"/>
          <w:bCs w:val="1"/>
          <w:color w:val="auto"/>
        </w:rPr>
        <w:t>Development</w:t>
      </w:r>
      <w:r>
        <w:rPr>
          <w:sz w:val="20"/>
          <w:szCs w:val="20"/>
          <w:color w:val="auto"/>
        </w:rPr>
        <w:tab/>
      </w:r>
      <w:r>
        <w:rPr>
          <w:rFonts w:ascii="Arial" w:cs="Arial" w:eastAsia="Arial" w:hAnsi="Arial"/>
          <w:sz w:val="18"/>
          <w:szCs w:val="18"/>
          <w:color w:val="auto"/>
        </w:rPr>
        <w:t>sciences companies; experience in product development.</w:t>
      </w:r>
    </w:p>
    <w:p>
      <w:pPr>
        <w:spacing w:after="0" w:line="43" w:lineRule="exact"/>
        <w:rPr>
          <w:sz w:val="20"/>
          <w:szCs w:val="20"/>
          <w:color w:val="auto"/>
        </w:rPr>
      </w:pPr>
    </w:p>
    <w:p>
      <w:pPr>
        <w:ind w:left="100"/>
        <w:spacing w:after="0"/>
        <w:tabs>
          <w:tab w:leader="none" w:pos="2400" w:val="left"/>
        </w:tabs>
        <w:rPr>
          <w:sz w:val="20"/>
          <w:szCs w:val="20"/>
          <w:color w:val="auto"/>
        </w:rPr>
      </w:pPr>
      <w:r>
        <w:rPr>
          <w:rFonts w:ascii="Arial" w:cs="Arial" w:eastAsia="Arial" w:hAnsi="Arial"/>
          <w:sz w:val="16"/>
          <w:szCs w:val="16"/>
          <w:b w:val="1"/>
          <w:bCs w:val="1"/>
          <w:color w:val="auto"/>
        </w:rPr>
        <w:t>Leadership</w:t>
      </w:r>
      <w:r>
        <w:rPr>
          <w:sz w:val="20"/>
          <w:szCs w:val="20"/>
          <w:color w:val="auto"/>
        </w:rPr>
        <w:tab/>
      </w:r>
      <w:r>
        <w:rPr>
          <w:rFonts w:ascii="Arial" w:cs="Arial" w:eastAsia="Arial" w:hAnsi="Arial"/>
          <w:sz w:val="16"/>
          <w:szCs w:val="16"/>
          <w:color w:val="auto"/>
        </w:rPr>
        <w:t>Extensive executive, director or management experience from leadership and governance</w:t>
      </w:r>
    </w:p>
    <w:p>
      <w:pPr>
        <w:spacing w:after="0" w:line="3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roles in corporations, government or public organizations.</w:t>
      </w:r>
    </w:p>
    <w:p>
      <w:pPr>
        <w:spacing w:after="0" w:line="43" w:lineRule="exact"/>
        <w:rPr>
          <w:sz w:val="20"/>
          <w:szCs w:val="20"/>
          <w:color w:val="auto"/>
        </w:rPr>
      </w:pPr>
    </w:p>
    <w:p>
      <w:pPr>
        <w:ind w:left="100"/>
        <w:spacing w:after="0"/>
        <w:tabs>
          <w:tab w:leader="none" w:pos="2400" w:val="left"/>
        </w:tabs>
        <w:rPr>
          <w:sz w:val="20"/>
          <w:szCs w:val="20"/>
          <w:color w:val="auto"/>
        </w:rPr>
      </w:pPr>
      <w:r>
        <w:rPr>
          <w:rFonts w:ascii="Arial" w:cs="Arial" w:eastAsia="Arial" w:hAnsi="Arial"/>
          <w:sz w:val="16"/>
          <w:szCs w:val="16"/>
          <w:b w:val="1"/>
          <w:bCs w:val="1"/>
          <w:color w:val="auto"/>
        </w:rPr>
        <w:t>Diversity</w:t>
      </w:r>
      <w:r>
        <w:rPr>
          <w:sz w:val="20"/>
          <w:szCs w:val="20"/>
          <w:color w:val="auto"/>
        </w:rPr>
        <w:tab/>
      </w:r>
      <w:r>
        <w:rPr>
          <w:rFonts w:ascii="Arial" w:cs="Arial" w:eastAsia="Arial" w:hAnsi="Arial"/>
          <w:sz w:val="16"/>
          <w:szCs w:val="16"/>
          <w:color w:val="auto"/>
        </w:rPr>
        <w:t>Representation of gender, ethnic, geographic, cultural or other perspectives that expand the</w:t>
      </w:r>
    </w:p>
    <w:p>
      <w:pPr>
        <w:spacing w:after="0" w:line="39" w:lineRule="exact"/>
        <w:rPr>
          <w:sz w:val="20"/>
          <w:szCs w:val="20"/>
          <w:color w:val="auto"/>
        </w:rPr>
      </w:pPr>
    </w:p>
    <w:p>
      <w:pPr>
        <w:ind w:left="2420" w:right="60"/>
        <w:spacing w:after="0" w:line="258" w:lineRule="auto"/>
        <w:rPr>
          <w:sz w:val="20"/>
          <w:szCs w:val="20"/>
          <w:color w:val="auto"/>
        </w:rPr>
      </w:pPr>
      <w:r>
        <w:rPr>
          <w:rFonts w:ascii="Arial" w:cs="Arial" w:eastAsia="Arial" w:hAnsi="Arial"/>
          <w:sz w:val="18"/>
          <w:szCs w:val="18"/>
          <w:color w:val="auto"/>
        </w:rPr>
        <w:t>Board of Directors’ understanding of the needs and viewpoints of our customers, partners, employees and other stakeholders.</w:t>
      </w:r>
    </w:p>
    <w:p>
      <w:pPr>
        <w:spacing w:after="0" w:line="7" w:lineRule="exact"/>
        <w:rPr>
          <w:sz w:val="20"/>
          <w:szCs w:val="20"/>
          <w:color w:val="auto"/>
        </w:rPr>
      </w:pPr>
    </w:p>
    <w:p>
      <w:pPr>
        <w:ind w:left="100"/>
        <w:spacing w:after="0"/>
        <w:tabs>
          <w:tab w:leader="none" w:pos="2400" w:val="left"/>
        </w:tabs>
        <w:rPr>
          <w:sz w:val="20"/>
          <w:szCs w:val="20"/>
          <w:color w:val="auto"/>
        </w:rPr>
      </w:pPr>
      <w:r>
        <w:rPr>
          <w:rFonts w:ascii="Arial" w:cs="Arial" w:eastAsia="Arial" w:hAnsi="Arial"/>
          <w:sz w:val="17"/>
          <w:szCs w:val="17"/>
          <w:b w:val="1"/>
          <w:bCs w:val="1"/>
          <w:color w:val="auto"/>
        </w:rPr>
        <w:t>Finance</w:t>
      </w:r>
      <w:r>
        <w:rPr>
          <w:sz w:val="20"/>
          <w:szCs w:val="20"/>
          <w:color w:val="auto"/>
        </w:rPr>
        <w:tab/>
      </w:r>
      <w:r>
        <w:rPr>
          <w:rFonts w:ascii="Arial" w:cs="Arial" w:eastAsia="Arial" w:hAnsi="Arial"/>
          <w:sz w:val="17"/>
          <w:szCs w:val="17"/>
          <w:color w:val="auto"/>
        </w:rPr>
        <w:t>Leadership or management experience resulting in financial proficiency and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40640</wp:posOffset>
            </wp:positionV>
            <wp:extent cx="11226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9 of 9</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9 of 9</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4 of 9</w:t>
      </w:r>
    </w:p>
    <w:p>
      <w:pPr>
        <w:spacing w:after="0" w:line="200" w:lineRule="exact"/>
        <w:rPr>
          <w:sz w:val="20"/>
          <w:szCs w:val="20"/>
          <w:color w:val="auto"/>
        </w:rPr>
      </w:pPr>
    </w:p>
    <w:p>
      <w:pPr>
        <w:spacing w:after="0" w:line="26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7 of 9</w:t>
      </w:r>
    </w:p>
    <w:p>
      <w:pPr>
        <w:spacing w:after="0" w:line="200" w:lineRule="exact"/>
        <w:rPr>
          <w:sz w:val="20"/>
          <w:szCs w:val="20"/>
          <w:color w:val="auto"/>
        </w:rPr>
      </w:pPr>
    </w:p>
    <w:p>
      <w:pPr>
        <w:sectPr>
          <w:pgSz w:w="11900" w:h="16838" w:orient="portrait"/>
          <w:cols w:equalWidth="0" w:num="2">
            <w:col w:w="8980" w:space="520"/>
            <w:col w:w="1740"/>
          </w:cols>
          <w:pgMar w:left="320" w:top="895"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Tenure and Age Distribution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tenure and age distribution of our Board of Directors as of April 10, 2023.</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2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Tenure</w:t>
            </w:r>
          </w:p>
        </w:tc>
        <w:tc>
          <w:tcPr>
            <w:tcW w:w="2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Number of Directors</w:t>
            </w:r>
          </w:p>
        </w:tc>
        <w:tc>
          <w:tcPr>
            <w:tcW w:w="2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Age</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Directors</w:t>
            </w:r>
          </w:p>
        </w:tc>
      </w:tr>
      <w:tr>
        <w:trPr>
          <w:trHeight w:val="25"/>
        </w:trPr>
        <w:tc>
          <w:tcPr>
            <w:tcW w:w="2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24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More than 10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60" w:type="dxa"/>
            <w:vAlign w:val="bottom"/>
          </w:tcPr>
          <w:p>
            <w:pPr>
              <w:spacing w:after="0"/>
              <w:rPr>
                <w:sz w:val="20"/>
                <w:szCs w:val="20"/>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70+ years</w:t>
            </w: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56"/>
        </w:trPr>
        <w:tc>
          <w:tcPr>
            <w:tcW w:w="24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6 – 10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22"/>
                <w:szCs w:val="22"/>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61 – 70 years</w:t>
            </w: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56"/>
        </w:trPr>
        <w:tc>
          <w:tcPr>
            <w:tcW w:w="24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0 – 5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60" w:type="dxa"/>
            <w:vAlign w:val="bottom"/>
          </w:tcPr>
          <w:p>
            <w:pPr>
              <w:spacing w:after="0"/>
              <w:rPr>
                <w:sz w:val="22"/>
                <w:szCs w:val="22"/>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45 – 60 years</w:t>
            </w: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8" w:name="page19"/>
    <w:bookmarkEnd w:id="18"/>
    <w:p>
      <w:pPr>
        <w:jc w:val="cente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1477010</wp:posOffset>
            </wp:positionH>
            <wp:positionV relativeFrom="page">
              <wp:posOffset>886460</wp:posOffset>
            </wp:positionV>
            <wp:extent cx="4834890" cy="2631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34890" cy="2631440"/>
                    </a:xfrm>
                    <a:prstGeom prst="rect">
                      <a:avLst/>
                    </a:prstGeom>
                    <a:noFill/>
                  </pic:spPr>
                </pic:pic>
              </a:graphicData>
            </a:graphic>
          </wp:anchor>
        </w:drawing>
        <w:t>Board Diversity Matrix (As of March 31, 2023)</w:t>
      </w:r>
    </w:p>
    <w:p>
      <w:pPr>
        <w:spacing w:after="0" w:line="26" w:lineRule="exact"/>
        <w:rPr>
          <w:sz w:val="20"/>
          <w:szCs w:val="20"/>
          <w:color w:val="auto"/>
        </w:rPr>
      </w:pPr>
    </w:p>
    <w:tbl>
      <w:tblPr>
        <w:tblLayout w:type="fixed"/>
        <w:tblInd w:w="2000" w:type="dxa"/>
        <w:tblCellMar>
          <w:top w:w="0" w:type="dxa"/>
          <w:left w:w="0" w:type="dxa"/>
          <w:bottom w:w="0" w:type="dxa"/>
          <w:right w:w="0" w:type="dxa"/>
        </w:tblCellMar>
      </w:tblPr>
      <w:tr>
        <w:trPr>
          <w:trHeight w:val="247"/>
        </w:trPr>
        <w:tc>
          <w:tcPr>
            <w:tcW w:w="38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Total Number of Directors</w:t>
            </w:r>
          </w:p>
        </w:tc>
        <w:tc>
          <w:tcPr>
            <w:tcW w:w="8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1500" w:type="dxa"/>
            <w:vAlign w:val="bottom"/>
            <w:tcBorders>
              <w:top w:val="single" w:sz="8" w:color="auto"/>
            </w:tcBorders>
          </w:tcPr>
          <w:p>
            <w:pPr>
              <w:spacing w:after="0"/>
              <w:rPr>
                <w:sz w:val="21"/>
                <w:szCs w:val="21"/>
                <w:color w:val="auto"/>
              </w:rPr>
            </w:pPr>
          </w:p>
        </w:tc>
      </w:tr>
      <w:tr>
        <w:trPr>
          <w:trHeight w:val="22"/>
        </w:trPr>
        <w:tc>
          <w:tcPr>
            <w:tcW w:w="38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9"/>
        </w:trPr>
        <w:tc>
          <w:tcPr>
            <w:tcW w:w="382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3"/>
              </w:rPr>
              <w:t>Non-</w:t>
            </w:r>
          </w:p>
        </w:tc>
        <w:tc>
          <w:tcPr>
            <w:tcW w:w="15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89"/>
              </w:rPr>
              <w:t>Did Not Disclose</w:t>
            </w:r>
          </w:p>
        </w:tc>
      </w:tr>
      <w:tr>
        <w:trPr>
          <w:trHeight w:val="237"/>
        </w:trPr>
        <w:tc>
          <w:tcPr>
            <w:tcW w:w="38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Female</w:t>
            </w:r>
          </w:p>
        </w:tc>
        <w:tc>
          <w:tcPr>
            <w:tcW w:w="7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Male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Binary</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Gender</w:t>
            </w:r>
          </w:p>
        </w:tc>
      </w:tr>
      <w:tr>
        <w:trPr>
          <w:trHeight w:val="223"/>
        </w:trPr>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Part I: Gender Identity</w:t>
            </w:r>
          </w:p>
        </w:tc>
        <w:tc>
          <w:tcPr>
            <w:tcW w:w="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30"/>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Directors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6"/>
        </w:trPr>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Part II: Demographic Background</w:t>
            </w: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30"/>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African American or Black</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4"/>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Alaskan Native or Native American</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4"/>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Asian or South Asian</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4"/>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Hispanic or Latinx</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4"/>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Native Hawaiian or Pacific Islander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4"/>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White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4"/>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Two or More Races or Ethnicities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4"/>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LGBTQ+</w:t>
            </w: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500" w:type="dxa"/>
            <w:vAlign w:val="bottom"/>
          </w:tcPr>
          <w:p>
            <w:pPr>
              <w:spacing w:after="0"/>
              <w:rPr>
                <w:sz w:val="19"/>
                <w:szCs w:val="19"/>
                <w:color w:val="auto"/>
              </w:rPr>
            </w:pPr>
          </w:p>
        </w:tc>
      </w:tr>
      <w:tr>
        <w:trPr>
          <w:trHeight w:val="26"/>
        </w:trPr>
        <w:tc>
          <w:tcPr>
            <w:tcW w:w="3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4"/>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Did Not Disclose Demographic Background</w:t>
            </w: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spacing w:after="0"/>
              <w:rPr>
                <w:sz w:val="19"/>
                <w:szCs w:val="19"/>
                <w:color w:val="auto"/>
              </w:rPr>
            </w:pPr>
          </w:p>
        </w:tc>
      </w:tr>
      <w:tr>
        <w:trPr>
          <w:trHeight w:val="26"/>
        </w:trPr>
        <w:tc>
          <w:tcPr>
            <w:tcW w:w="3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 Standard for Director Elections and Director Resignation Policy</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amended and restated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Director Resignation Policy requires each incumbent nominee to submit an irrevocable contingent resignation letter prior to the annual meeting of stockholders in which such election is to take place. This addresses the “holdover” director situation under the Delaware General Corporation Law (“DGCL”) pursuant to which a director remains on the board of directors until such director’s successor is elected and qualified. Such resignation becomes effective only upon (i) such nominee’s failure to receive the requisite number of votes for re-election at any future meeting at which such person would face re-election and (ii) our Board of Directors’ acceptance of such resignation. If the nominee does not receive the requisite number of votes for re-election, our nominating and corporate governance committee will make a recommendation to our Board of Directors as to whether to accept or reject the resignation, or whether other action should be taken. Our Board of Directors will act on the nominating and corporate governance committee’s recommendation and publicly disclose its decision and the rationale behind it within 90 days from the date of the certification of the election results.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Board of Directors has determined that, except for Mr. Stapley and Ms. Anderson, each individual who currently serves as a member of our Board of Directors is, and each individual who served as a member of our Board of Directors in 2022 was, an “independent director” within the meaning of Rule 5605 of The Nasdaq Stock Market. Mr. Stapley is not considered independent as he serves as our Chief Executive Officer and Ms. Anderson is not considered independent because she was employed as our Chief Executive Officer during the past three years. For Ms. Bhanji, Mr. Bishop, Ms. Eastham, Dr. Epstein, Dr. Barr, Mr. Holstein and Mr. Jones, the Board of Directors considered their relationship and transactions with us and our security holders.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members of our Compensation Committee during 2022 included Karin Eastham, Jens Holstein and Robert S. Epstein. No member of our Compensation Committee in 2022 was at any time during 2022 or at any other time an officer or employee of ours, and none had or have any relationships with us that are required to be disclosed under Item 404 of Regulation S-K. None of our executive officers has served as a member of the Board of Directors, or as a member of the</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compensation or similar committee, of any entity that has one or more executive officers who served on our Board of Directors or Compensation Committee during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held eight meetings and acted by written consent two times during 2022. Each director, with the exception of Eliav Barr, M.D., attended at least 75% of the aggregate number of meetings held by the Board of Directors and of the committees on which such director served. Dr. Barr joined the Board of Directors in August 2022 and, due to pre-existing scheduling conflicts when he joined the Board of Directors, was unable to attend two Board meetings, therefore attending 60% of the meetings for 2022.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Below is a description of each committee of the Board of Directors. The Board of Directors has determined that each director who serves on the audit, compensation, nominating and corporate governance, and regulatory and compliance committees is “independent,” as that term is defined for such committee by applicable listing standards of The Nasdaq Stock Market, rules of the SEC, and the applicable written charter for each of these committees. The charters of the audit, compensation, nominating and corporate governance, and regulatory and compliance committees are available on the investor section of our website under the corporate governance tab (https://investor.veracyte.com/corporate-governance).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and Financial Expert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current members of the audit committee are Jens Holstein, its Chair, Karin Eastham, and Evan Jones. The audit committee held five meetings during 2022. 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The Board of Directors has determined that Mr. Holstein, Ms. Eastham and Mr. Jones each are qualified as an “audit committee financial expert” under the definition outlined by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current members of the compensation committee are Karin Eastham, its Chair, Robert S. Epstein and Jens Holstein. The compensation committee held seven meetings and acted by written consent eight times during 2022. Our compensation committee oversees our compensation policies, plans and benefits programs and determines and approves or, in the case of our chief executive officer,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non-employee directors’ compensation to the full Board of Directors. The compensation committee has the sole authority to select, retain, terminate, and approve the fees and other retention terms of consultants as it deems appropriate to perform its duties.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current members of the nominating and corporate governance committee are Robert S. Epstein, its Chair, Muna Bhanji and Evan Jones. The nominating and corporate governance committee held four meetings during 2022.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 as well as recommendations and monitoring of the Company’s Environmental, Social, and Corporate Governance (ESG) efforts.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current members of the regulatory and compliance committee are Evan Jones, its Chair, Muna Bhanji and Eliav Barr. The regulatory and compliance committee held four meetings during 2022. Our regulatory and compliance committee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assists our board in meeting its responsibilities with regard to oversight of our compliance with healthcare legal and regulatory requirements applicable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Structure of the Board of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regular engagement with our stockholders and our commitment to environmental, social and corporate governance, including our regular review of our corporate governance structure and evaluation of recent trends in corporate governance, we are submitting and recommending approval of a proposal to our stockholders at the Annual Meeting to declassify our Board of Directors, which, if approved by our stockholders, would provide for our Board of Directors to declassify over a three-year period beginning with the directors to be nominated for election at our 2024 annual meeting of stockholders as discussed further under “Proposal No. 6 Adoption of an Amendment to the Current Certificate in Order to Permit the Exculpation of Officers from Personal Liability for Certain Breaches of the Duty of Care.”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Our nominating and corporate governance committee periodically considers the leadership structure of our Board of Directors and makes such recommendations to our Board of Directors as our nominating and corporate governance committee deems appropriate. Our Board of Directors believes it is important to have flexibility in selecting the Chair of the Board of Directors and our board leadership structure. The Board of Directors believes that is currently in the best interests of Veracyte and its stockholder for Dr. Epstein, an independent director, to serve as our Chair. Dr. Epstein has served on our Board of Directors since January 2015 and has deep familiarity with our business and our industry, including in-depth knowledge of the issues, opportunities and challenges facing our company and its business and make him well qualified to serve as our Chair. The Board of Directors believes that this leadership structure provides our Board of Directors with significant strengths and an independent leadership perspective. In his capacity as Chair, Dr. Epstein also serves </w:t>
      </w:r>
      <w:r>
        <w:rPr>
          <w:rFonts w:ascii="Arial" w:cs="Arial" w:eastAsia="Arial" w:hAnsi="Arial"/>
          <w:sz w:val="16"/>
          <w:szCs w:val="16"/>
          <w:i w:val="1"/>
          <w:iCs w:val="1"/>
          <w:color w:val="auto"/>
        </w:rPr>
        <w:t>ex officio</w:t>
      </w:r>
      <w:r>
        <w:rPr>
          <w:rFonts w:ascii="Arial" w:cs="Arial" w:eastAsia="Arial" w:hAnsi="Arial"/>
          <w:sz w:val="16"/>
          <w:szCs w:val="16"/>
          <w:color w:val="auto"/>
        </w:rPr>
        <w:t xml:space="preserve"> on all committees of the board and chairs executive sessions of the independent directors. The Board of Directors retains the authority to modify this structure as it deems appropriate. In making board leadership structure determinations, the Board of Directors considers many factors, including the specific needs of the business and what is in the best interests of our stockholders. Any changes to the leadership structure of our Board of Directors, if made, will be disclosed on the Investor Relations portion of our website, and in our proxy materials. Our Board of Directors, in its sole discretion, may seek input from our stockholders on the leadership structure of the Board of Directors.</w:t>
      </w:r>
    </w:p>
    <w:p>
      <w:pPr>
        <w:spacing w:after="0" w:line="1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Board of Directors is responsible for overseeing the overall risk management process at Veracyte. The responsibility for managing risk rests with executive management, while the committees of the Board of Directors and the Board of Directors as a whole participate in the oversight process. The risk oversight process of the Board of Directors builds upon management’s risk assessment and mitigation processes, which include reviews of long-term strategic and operational planning, strategic biopharmaceutical partnerships and material opportunities, executive talent acquisition, retention, and development, compensation and evaluation, reputational, regulatory and legal compliance including those laws and regulations relating to product and service promotional activities, Medicare billing and reimbursement and provision of laboratory services, cybersecurity, privacy and financial reporting and internal controls. The Board of Directors considers strategic risks and opportunities and regularly receives reports from executive management regarding specific aspects of risk management, including but not limited to, our ability to expand our platform, products, and services globally, our ability to achieve the expected benefits from our acquisition of the diagnostic rights to the nCounter Analysis System, and our ability to potentially inform diagnosis and treatment decisions in new oncology indications. Our Board of Directors reviews strategic and operational risk in the context of discussions, question-and-answer sessions, and reports from the management team at each regular Board of Directors meeting, receives reports on all significant committee activities at each regular Board of Directors meeting, and evaluates the risks inherent in significant transactions. Management, under oversight of the Audit Committee, is in the process of conducting its annual enterprise risk management assessment to assess key enterprise risks over different time horizons (short-term (current to six months), mid-term (six to twelve months) and long-term (more than twelve months). Following such assessment, key risk areas will be shared with the Audit Committee and management will assign owners to each risk who are tasked with reviewing and assessing the contributing factors, evaluating management’s existing risk mitigation capabilities, identifying risk mitigation enhancement considerations and potential future state activities and assessing resources needed to implement desired mitigation enhancements.</w:t>
      </w:r>
    </w:p>
    <w:p>
      <w:pPr>
        <w:spacing w:after="0" w:line="17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Each committee of the Board of Directors meets with key management personnel and representatives of outside advisors to oversee risks associated with their respective principal areas of focus both with management present and in separate executive sessions, as described below. We believe this division of responsibilities is an effective approach for addressing the risks we face and that our Board of Directors leadership structure supports this approach. The audit committee reviews (i) our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6"/>
          <w:szCs w:val="16"/>
          <w:color w:val="auto"/>
        </w:rPr>
        <w:t>major financial risks and enterprise exposures and the steps management has taken to monitor or mitigate such risks and exposures, including our risk assessment and risk management policies, as well as cybersecurity and data privacy risks and risk exposures in other areas, as the audit committee deems appropriate from time to time; (ii) our programs for promoting and monitoring compliance with applicable legal and regulatory requirements, as well as major legal regulatory compliance risk exposures and the steps management has taken to monitor or mitigate such exposures; and (iii) the status of any significant legal and regulatory matters and any material reports or inquiries received from regulators or government agencies that reasonably could be expected to have a significant impact on our financial statements. The compensation committee reviews major compensation- and human capital-related risk exposures and the steps management has taken to monitor or mitigate such exposures. The nominating and corporate governance committee reviews and assesses risks relating to our corporate governance practices, reviews and assesses our performance, risks, controls, and procedures relating to corporate responsibility and sustainability, including environmental, social and governance (“ESG”) matters, reviews the independence of our Board of Directors, and reviews and discusses our Board of Directors’ leadership structure and role in risk oversight. The regulatory and compliance committee assists the Board of Directors with oversight of the Company’s compliance with legal and regulatory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of Corporate Strategy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One of our Board of Directors’ key responsibilities is overseeing management’s formulation and execution of corporate strategy. Our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our Board of Directors receives information and formal updates from our management and actively engages with the senior leadership team with respect to our corporate strategy. Our Board of Directors’ diverse skill set and experience enhances its ability to support management in the execution and evaluation of our corporate strategy. The independent members of our Board of Directors also hold regularly scheduled executive sessions at which strategy is discussed.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Oversight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Securing the information of our patients, users, team members, vendors, and other third parties is important to us. We continue to adopt appropriate physical, technological, and administrative controls. While everyone at our company plays a part in managing these risks, oversight responsibility is shared by our Board of Directors, our audit committee, and management, including our Chief Information Officer.</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regular cybersecurity updates in the form of written reports and presentations to our audit committee at our quarterly meetings. Our audit committee regularly reviews results from our cybersecurity testing and remediation plans, our cybersecurity roadmap, and the threat landscape. Additionally, we leverage the National Institute of Standards and Technology Cyber Security Framework to address standards, guidelines and best practices to manage cybersecurity risk, and we engage third-party partners for risk assessments, penetration tests and program enhancements. We continue to raise cybersecurity awareness with our employees through training and reinforcement, including simulated phishing campaigns. We also maintain information security risk insurance coverage.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Veracyte’s Approach to Human Capital Management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u w:val="single" w:color="auto"/>
          <w:color w:val="auto"/>
        </w:rPr>
        <w:t>Our People.</w:t>
      </w:r>
      <w:r>
        <w:rPr>
          <w:rFonts w:ascii="Arial" w:cs="Arial" w:eastAsia="Arial" w:hAnsi="Arial"/>
          <w:sz w:val="18"/>
          <w:szCs w:val="18"/>
          <w:i w:val="1"/>
          <w:iCs w:val="1"/>
          <w:color w:val="auto"/>
        </w:rPr>
        <w:t xml:space="preserve"> </w:t>
      </w:r>
      <w:r>
        <w:rPr>
          <w:rFonts w:ascii="Arial" w:cs="Arial" w:eastAsia="Arial" w:hAnsi="Arial"/>
          <w:sz w:val="18"/>
          <w:szCs w:val="18"/>
          <w:color w:val="auto"/>
        </w:rPr>
        <w:t>At December 31, 2022, we had 787 employees, of which 246 work in laboratory operations, 126 in research and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development, 194 in selling and marketing, and 221 in general and administrative, including 86 in billing and client services, 35 in information technology and 32 in finance. None of our employees in the U.S are the subject of collective bargaining arrangements. Our employees in France belong to local works councils, subject to customary collective bargaining arrangements under local law. Our management considers its relationships with employees to be good.</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u w:val="single" w:color="auto"/>
          <w:color w:val="auto"/>
        </w:rPr>
        <w:t>Diversity, Inclusion, and Belonging.</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in an inclusive workforce, where people of diverse backgrounds are represented, engaged and</w:t>
      </w:r>
      <w:r>
        <w:rPr>
          <w:rFonts w:ascii="Arial" w:cs="Arial" w:eastAsia="Arial" w:hAnsi="Arial"/>
          <w:sz w:val="16"/>
          <w:szCs w:val="16"/>
          <w:i w:val="1"/>
          <w:iCs w:val="1"/>
          <w:color w:val="auto"/>
        </w:rPr>
        <w:t xml:space="preserve"> </w:t>
      </w:r>
      <w:r>
        <w:rPr>
          <w:rFonts w:ascii="Arial" w:cs="Arial" w:eastAsia="Arial" w:hAnsi="Arial"/>
          <w:sz w:val="16"/>
          <w:szCs w:val="16"/>
          <w:color w:val="auto"/>
        </w:rPr>
        <w:t>empowered to inspire innovative ideas and decisions. In the United States, women comprise 59% of our employees, including more than half of our executive leadership team and 41% at the Vice President level and above, as of December 31, 2022. Three of our nine directors were women, as of December 31, 2022. Additionally, as of December 31, 2022, 50% of our U.S. employees were non-White. We strive to further advance diversity among our employees, executives, and our Board of Directors and believe that the resulting range of employee ideas, experiences and perspectives strengthens our company. In 2022, we sponsored employees in the launch of our first Employee Resource Group, Veracyte Women’s Leadership (VWL). We will continue to promote diversity, inclusion, equity, and belonging through our culture work and individual initiatives to support and empower all employees.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2957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pride ourselves on our strong culture, which encourages innovation, collaboration, and mutual respect. We were named a Bay Area “Top Workplace” by the Bay Area News Group in 2022, marking the ninth consecutive year we received this distinction. This award is based solely on employee feedback gathered through an anonymous, third-party survey. At the beginning of 2022, we sent a culture survey to all employees globally as part of a company-wide initiative to activate our culture in support of our overall corporate strategy. The survey had a response rate of 79% and provided valuable insights into ways to bolster our talent programs and identify areas for improvement. Importantly, the results also informed and helped us define a new set of core values across the company: Patients; Innovation; Results; Collaboration; and Compassion. Individual members of our leadership team have volunteered to sponsor each aspirational value to ensure the values are embedded into our culture.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committed to supporting our employees’ long-term success by investing in training programs and educational opportunities to help foster personal and professional growth. We have implemented general and job-specific training programs so that employees can gain the necessary qualifications for their position and can continue to develop and grow within the company. In France, we work closely with the democratically elected employee works council to support effective communication and collaboration.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Evaluations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conduct an annual self-evaluation process for our Board of Directors and its committees. As part of this process, each member of our Board of Directors individually completes a detailed survey prepared by outside counsel to discuss their assessment of the performance of the Board of Directors and its committees, their own performance, and the performance of fellow members of the Board of Directors. The feedback received is then shared with the nominating and corporate governance committee, and then presented to and discussed with the full Board of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evaluation process is used:</w:t>
      </w:r>
    </w:p>
    <w:p>
      <w:pPr>
        <w:spacing w:after="0" w:line="117" w:lineRule="exact"/>
        <w:rPr>
          <w:sz w:val="20"/>
          <w:szCs w:val="20"/>
          <w:color w:val="auto"/>
        </w:rPr>
      </w:pPr>
    </w:p>
    <w:p>
      <w:pPr>
        <w:ind w:left="660" w:hanging="328"/>
        <w:spacing w:after="0" w:line="316"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our Board of Directors and nominating and corporate governance committee to assess the current composition of our Board of Directors and its committees and make recommendations for the qualifications, expertise, and characteristics we should seek in identifying potential new directors;</w:t>
      </w:r>
    </w:p>
    <w:p>
      <w:pPr>
        <w:spacing w:after="0" w:line="1" w:lineRule="exact"/>
        <w:rPr>
          <w:rFonts w:ascii="Arial" w:cs="Arial" w:eastAsia="Arial" w:hAnsi="Arial"/>
          <w:sz w:val="16"/>
          <w:szCs w:val="16"/>
          <w:color w:val="auto"/>
        </w:rPr>
      </w:pPr>
    </w:p>
    <w:p>
      <w:pPr>
        <w:ind w:left="660" w:hanging="328"/>
        <w:spacing w:after="0" w:line="316"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our Board of Directors and nominating and corporate governance committee to identify the strengths and areas of opportunity of each member of our Board of Directors and to provide insight into how the contributions of each member of our Board of Directors can be most valuable;</w:t>
      </w:r>
    </w:p>
    <w:p>
      <w:pPr>
        <w:spacing w:after="0" w:line="1"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improve the quality of discussion and materials presented to the Board of Directors and its committees so that information they receive enables them to function most effectively and to address the issues they consider most critical;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our nominating and corporate governance committee as part of its annual review of each director’s performance when considering whether to nominate the director for re-election to the Board of Directors.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our stockholder. The Secretary will review any communications received from a stockholder and all material communications from stockholders will be forwarded to the appropriate director or directors or committee of the board based on the subject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adopted a Code of Business Conduct and Ethics that applies to all of our officers and employees. The Code of Business Conduct and Ethics sets forth the basic principles that guide the business conduct of our employees. We have also adopted a Senior Financial Officers’ Code of Ethics that specifically applies to our Chief Executive Officer, our Chief Financial Officer and key management employees. Stockholders may request a free copy of our Code of Business Conduct and Ethics and our Senior Financial Officers’ Code of Ethics by contacting Veracyte, Inc., Attention: Chief Financial Officer, 6000 Shoreline Court, Suite 300, South San Francisco, California 94080.</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maintain a whistleblower and compliance hotline where employees or partners may confidentially and anonymously report any concerns about potential misconduct. We launched a Compliance and Business Ethics page on our veracyte.com website in 2022 to allow for ease of reporting through our hotline.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date, there have been no waivers under our Code of Business Conduct and Ethics or Senior Financial Officers’ Code of Ethics. We intend to disclose future amendments to certain provisions of our Code of Business Conduct and Ethics or Senior Financial Officers’ Code of Ethics or waivers of such Codes granted to executive officers and directors on our website at http://www.veracyte.com within four business days following the date of such amendment or waiver.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our global expansion, beginning in 2021 we required all employees to complete Foreign Corrupt Practices Act training through an online platform and relaunched our Anti-Corruption Policy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2022 Director Compensation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2022, our Compensation Committee engaged Aon’s Human Capital Solutions practice, a division of Aon plc (“Aon”) (formerly known as Radford), an independent compensation consultant, to provide an analysis of non-employee director compensation, including an analysis of compensation paid to non-employee directors by companies in our peer group (as described in “Compensation Discussion and Analysis - 2022 Peer Group”), and an assessment of both the equity compensation and an evaluation of the type of equity instruments being awarded. The following table sets forth cash amounts and the value of equity compensation awarded to, earned by, or paid to our non-employee directors for their service in 2022. Mr. Stapley and Ms. Anderson are not included in the table below as neither received compensation for service as a director in 2022. The compensation received by Mr. Stapley as employees is shown in the “Executive Compensation—Summary Compensation Table” below.</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200" w:type="dxa"/>
            <w:vAlign w:val="bottom"/>
          </w:tcPr>
          <w:p>
            <w:pPr>
              <w:jc w:val="right"/>
              <w:ind w:right="650"/>
              <w:spacing w:after="0"/>
              <w:rPr>
                <w:sz w:val="20"/>
                <w:szCs w:val="20"/>
                <w:color w:val="auto"/>
              </w:rPr>
            </w:pPr>
            <w:r>
              <w:rPr>
                <w:rFonts w:ascii="Arial" w:cs="Arial" w:eastAsia="Arial" w:hAnsi="Arial"/>
                <w:sz w:val="18"/>
                <w:szCs w:val="18"/>
                <w:b w:val="1"/>
                <w:bCs w:val="1"/>
                <w:color w:val="auto"/>
              </w:rPr>
              <w:t>Fees Earned</w:t>
            </w:r>
          </w:p>
        </w:tc>
        <w:tc>
          <w:tcPr>
            <w:tcW w:w="2280" w:type="dxa"/>
            <w:vAlign w:val="bottom"/>
          </w:tcPr>
          <w:p>
            <w:pPr>
              <w:jc w:val="right"/>
              <w:ind w:right="1090"/>
              <w:spacing w:after="0"/>
              <w:rPr>
                <w:sz w:val="20"/>
                <w:szCs w:val="20"/>
                <w:color w:val="auto"/>
              </w:rPr>
            </w:pPr>
            <w:r>
              <w:rPr>
                <w:rFonts w:ascii="Arial" w:cs="Arial" w:eastAsia="Arial" w:hAnsi="Arial"/>
                <w:sz w:val="18"/>
                <w:szCs w:val="18"/>
                <w:b w:val="1"/>
                <w:bCs w:val="1"/>
                <w:color w:val="auto"/>
              </w:rPr>
              <w:t>Stock</w:t>
            </w:r>
          </w:p>
        </w:tc>
        <w:tc>
          <w:tcPr>
            <w:tcW w:w="1720" w:type="dxa"/>
            <w:vAlign w:val="bottom"/>
          </w:tcPr>
          <w:p>
            <w:pPr>
              <w:spacing w:after="0"/>
              <w:rPr>
                <w:sz w:val="17"/>
                <w:szCs w:val="17"/>
                <w:color w:val="auto"/>
              </w:rPr>
            </w:pPr>
          </w:p>
        </w:tc>
      </w:tr>
      <w:tr>
        <w:trPr>
          <w:trHeight w:val="261"/>
        </w:trPr>
        <w:tc>
          <w:tcPr>
            <w:tcW w:w="394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Name</w:t>
            </w:r>
          </w:p>
        </w:tc>
        <w:tc>
          <w:tcPr>
            <w:tcW w:w="3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or Paid in Cash ($)</w:t>
            </w:r>
          </w:p>
        </w:tc>
        <w:tc>
          <w:tcPr>
            <w:tcW w:w="22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Awards ($)(1)(2)</w:t>
            </w:r>
          </w:p>
        </w:tc>
        <w:tc>
          <w:tcPr>
            <w:tcW w:w="17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Total ($)</w:t>
            </w:r>
          </w:p>
        </w:tc>
      </w:tr>
      <w:tr>
        <w:trPr>
          <w:trHeight w:val="247"/>
        </w:trPr>
        <w:tc>
          <w:tcPr>
            <w:tcW w:w="3940" w:type="dxa"/>
            <w:vAlign w:val="bottom"/>
          </w:tcPr>
          <w:p>
            <w:pPr>
              <w:ind w:left="20"/>
              <w:spacing w:after="0"/>
              <w:rPr>
                <w:sz w:val="20"/>
                <w:szCs w:val="20"/>
                <w:color w:val="auto"/>
              </w:rPr>
            </w:pPr>
            <w:r>
              <w:rPr>
                <w:rFonts w:ascii="Arial" w:cs="Arial" w:eastAsia="Arial" w:hAnsi="Arial"/>
                <w:sz w:val="20"/>
                <w:szCs w:val="20"/>
                <w:color w:val="auto"/>
              </w:rPr>
              <w:t>Eliav Barr (3)</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18,748</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499,998</w:t>
            </w:r>
          </w:p>
        </w:tc>
        <w:tc>
          <w:tcPr>
            <w:tcW w:w="1720" w:type="dxa"/>
            <w:vAlign w:val="bottom"/>
          </w:tcPr>
          <w:p>
            <w:pPr>
              <w:jc w:val="right"/>
              <w:spacing w:after="0"/>
              <w:rPr>
                <w:sz w:val="20"/>
                <w:szCs w:val="20"/>
                <w:color w:val="auto"/>
              </w:rPr>
            </w:pPr>
            <w:r>
              <w:rPr>
                <w:rFonts w:ascii="Arial" w:cs="Arial" w:eastAsia="Arial" w:hAnsi="Arial"/>
                <w:sz w:val="18"/>
                <w:szCs w:val="18"/>
                <w:color w:val="auto"/>
              </w:rPr>
              <w:t>518,746</w:t>
            </w:r>
          </w:p>
        </w:tc>
      </w:tr>
      <w:tr>
        <w:trPr>
          <w:trHeight w:val="256"/>
        </w:trPr>
        <w:tc>
          <w:tcPr>
            <w:tcW w:w="3940" w:type="dxa"/>
            <w:vAlign w:val="bottom"/>
          </w:tcPr>
          <w:p>
            <w:pPr>
              <w:ind w:left="20"/>
              <w:spacing w:after="0"/>
              <w:rPr>
                <w:sz w:val="20"/>
                <w:szCs w:val="20"/>
                <w:color w:val="auto"/>
              </w:rPr>
            </w:pPr>
            <w:r>
              <w:rPr>
                <w:rFonts w:ascii="Arial" w:cs="Arial" w:eastAsia="Arial" w:hAnsi="Arial"/>
                <w:sz w:val="20"/>
                <w:szCs w:val="20"/>
                <w:color w:val="auto"/>
              </w:rPr>
              <w:t>Muna Bhanji</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249,985</w:t>
            </w:r>
          </w:p>
        </w:tc>
        <w:tc>
          <w:tcPr>
            <w:tcW w:w="1720" w:type="dxa"/>
            <w:vAlign w:val="bottom"/>
          </w:tcPr>
          <w:p>
            <w:pPr>
              <w:jc w:val="right"/>
              <w:spacing w:after="0"/>
              <w:rPr>
                <w:sz w:val="20"/>
                <w:szCs w:val="20"/>
                <w:color w:val="auto"/>
              </w:rPr>
            </w:pPr>
            <w:r>
              <w:rPr>
                <w:rFonts w:ascii="Arial" w:cs="Arial" w:eastAsia="Arial" w:hAnsi="Arial"/>
                <w:sz w:val="18"/>
                <w:szCs w:val="18"/>
                <w:color w:val="auto"/>
              </w:rPr>
              <w:t>299,985</w:t>
            </w:r>
          </w:p>
        </w:tc>
      </w:tr>
      <w:tr>
        <w:trPr>
          <w:trHeight w:val="257"/>
        </w:trPr>
        <w:tc>
          <w:tcPr>
            <w:tcW w:w="3940" w:type="dxa"/>
            <w:vAlign w:val="bottom"/>
          </w:tcPr>
          <w:p>
            <w:pPr>
              <w:ind w:left="20"/>
              <w:spacing w:after="0"/>
              <w:rPr>
                <w:sz w:val="20"/>
                <w:szCs w:val="20"/>
                <w:color w:val="auto"/>
              </w:rPr>
            </w:pPr>
            <w:r>
              <w:rPr>
                <w:rFonts w:ascii="Arial" w:cs="Arial" w:eastAsia="Arial" w:hAnsi="Arial"/>
                <w:sz w:val="20"/>
                <w:szCs w:val="20"/>
                <w:color w:val="auto"/>
              </w:rPr>
              <w:t>John L. Bishop</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65,000</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249,985</w:t>
            </w:r>
          </w:p>
        </w:tc>
        <w:tc>
          <w:tcPr>
            <w:tcW w:w="1720" w:type="dxa"/>
            <w:vAlign w:val="bottom"/>
          </w:tcPr>
          <w:p>
            <w:pPr>
              <w:jc w:val="right"/>
              <w:spacing w:after="0"/>
              <w:rPr>
                <w:sz w:val="20"/>
                <w:szCs w:val="20"/>
                <w:color w:val="auto"/>
              </w:rPr>
            </w:pPr>
            <w:r>
              <w:rPr>
                <w:rFonts w:ascii="Arial" w:cs="Arial" w:eastAsia="Arial" w:hAnsi="Arial"/>
                <w:sz w:val="18"/>
                <w:szCs w:val="18"/>
                <w:color w:val="auto"/>
              </w:rPr>
              <w:t>314,985</w:t>
            </w:r>
          </w:p>
        </w:tc>
      </w:tr>
      <w:tr>
        <w:trPr>
          <w:trHeight w:val="257"/>
        </w:trPr>
        <w:tc>
          <w:tcPr>
            <w:tcW w:w="3940" w:type="dxa"/>
            <w:vAlign w:val="bottom"/>
          </w:tcPr>
          <w:p>
            <w:pPr>
              <w:ind w:left="20"/>
              <w:spacing w:after="0"/>
              <w:rPr>
                <w:sz w:val="20"/>
                <w:szCs w:val="20"/>
                <w:color w:val="auto"/>
              </w:rPr>
            </w:pPr>
            <w:r>
              <w:rPr>
                <w:rFonts w:ascii="Arial" w:cs="Arial" w:eastAsia="Arial" w:hAnsi="Arial"/>
                <w:sz w:val="20"/>
                <w:szCs w:val="20"/>
                <w:color w:val="auto"/>
              </w:rPr>
              <w:t>Karin Eastham</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65,000</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249,985</w:t>
            </w:r>
          </w:p>
        </w:tc>
        <w:tc>
          <w:tcPr>
            <w:tcW w:w="1720" w:type="dxa"/>
            <w:vAlign w:val="bottom"/>
          </w:tcPr>
          <w:p>
            <w:pPr>
              <w:jc w:val="right"/>
              <w:spacing w:after="0"/>
              <w:rPr>
                <w:sz w:val="20"/>
                <w:szCs w:val="20"/>
                <w:color w:val="auto"/>
              </w:rPr>
            </w:pPr>
            <w:r>
              <w:rPr>
                <w:rFonts w:ascii="Arial" w:cs="Arial" w:eastAsia="Arial" w:hAnsi="Arial"/>
                <w:sz w:val="18"/>
                <w:szCs w:val="18"/>
                <w:color w:val="auto"/>
              </w:rPr>
              <w:t>314,985</w:t>
            </w:r>
          </w:p>
        </w:tc>
      </w:tr>
      <w:tr>
        <w:trPr>
          <w:trHeight w:val="257"/>
        </w:trPr>
        <w:tc>
          <w:tcPr>
            <w:tcW w:w="3940" w:type="dxa"/>
            <w:vAlign w:val="bottom"/>
          </w:tcPr>
          <w:p>
            <w:pPr>
              <w:ind w:left="20"/>
              <w:spacing w:after="0"/>
              <w:rPr>
                <w:sz w:val="20"/>
                <w:szCs w:val="20"/>
                <w:color w:val="auto"/>
              </w:rPr>
            </w:pPr>
            <w:r>
              <w:rPr>
                <w:rFonts w:ascii="Arial" w:cs="Arial" w:eastAsia="Arial" w:hAnsi="Arial"/>
                <w:sz w:val="20"/>
                <w:szCs w:val="20"/>
                <w:color w:val="auto"/>
              </w:rPr>
              <w:t>Robert S. Epstein</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57,500</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249,985</w:t>
            </w:r>
          </w:p>
        </w:tc>
        <w:tc>
          <w:tcPr>
            <w:tcW w:w="1720" w:type="dxa"/>
            <w:vAlign w:val="bottom"/>
          </w:tcPr>
          <w:p>
            <w:pPr>
              <w:jc w:val="right"/>
              <w:spacing w:after="0"/>
              <w:rPr>
                <w:sz w:val="20"/>
                <w:szCs w:val="20"/>
                <w:color w:val="auto"/>
              </w:rPr>
            </w:pPr>
            <w:r>
              <w:rPr>
                <w:rFonts w:ascii="Arial" w:cs="Arial" w:eastAsia="Arial" w:hAnsi="Arial"/>
                <w:sz w:val="18"/>
                <w:szCs w:val="18"/>
                <w:color w:val="auto"/>
              </w:rPr>
              <w:t>307,485</w:t>
            </w:r>
          </w:p>
        </w:tc>
      </w:tr>
      <w:tr>
        <w:trPr>
          <w:trHeight w:val="256"/>
        </w:trPr>
        <w:tc>
          <w:tcPr>
            <w:tcW w:w="3940" w:type="dxa"/>
            <w:vAlign w:val="bottom"/>
          </w:tcPr>
          <w:p>
            <w:pPr>
              <w:ind w:left="20"/>
              <w:spacing w:after="0"/>
              <w:rPr>
                <w:sz w:val="20"/>
                <w:szCs w:val="20"/>
                <w:color w:val="auto"/>
              </w:rPr>
            </w:pPr>
            <w:r>
              <w:rPr>
                <w:rFonts w:ascii="Arial" w:cs="Arial" w:eastAsia="Arial" w:hAnsi="Arial"/>
                <w:sz w:val="20"/>
                <w:szCs w:val="20"/>
                <w:color w:val="auto"/>
              </w:rPr>
              <w:t>Kevin K. Gordon (4)</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29,792</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29,792</w:t>
            </w:r>
          </w:p>
        </w:tc>
      </w:tr>
      <w:tr>
        <w:trPr>
          <w:trHeight w:val="257"/>
        </w:trPr>
        <w:tc>
          <w:tcPr>
            <w:tcW w:w="3940" w:type="dxa"/>
            <w:vAlign w:val="bottom"/>
          </w:tcPr>
          <w:p>
            <w:pPr>
              <w:ind w:left="20"/>
              <w:spacing w:after="0"/>
              <w:rPr>
                <w:sz w:val="20"/>
                <w:szCs w:val="20"/>
                <w:color w:val="auto"/>
              </w:rPr>
            </w:pPr>
            <w:r>
              <w:rPr>
                <w:rFonts w:ascii="Arial" w:cs="Arial" w:eastAsia="Arial" w:hAnsi="Arial"/>
                <w:sz w:val="20"/>
                <w:szCs w:val="20"/>
                <w:color w:val="auto"/>
              </w:rPr>
              <w:t>Jens Holstein</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68,385</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249,985</w:t>
            </w:r>
          </w:p>
        </w:tc>
        <w:tc>
          <w:tcPr>
            <w:tcW w:w="1720" w:type="dxa"/>
            <w:vAlign w:val="bottom"/>
          </w:tcPr>
          <w:p>
            <w:pPr>
              <w:jc w:val="right"/>
              <w:spacing w:after="0"/>
              <w:rPr>
                <w:sz w:val="20"/>
                <w:szCs w:val="20"/>
                <w:color w:val="auto"/>
              </w:rPr>
            </w:pPr>
            <w:r>
              <w:rPr>
                <w:rFonts w:ascii="Arial" w:cs="Arial" w:eastAsia="Arial" w:hAnsi="Arial"/>
                <w:sz w:val="18"/>
                <w:szCs w:val="18"/>
                <w:color w:val="auto"/>
              </w:rPr>
              <w:t>318,370</w:t>
            </w:r>
          </w:p>
        </w:tc>
      </w:tr>
      <w:tr>
        <w:trPr>
          <w:trHeight w:val="260"/>
        </w:trPr>
        <w:tc>
          <w:tcPr>
            <w:tcW w:w="3940" w:type="dxa"/>
            <w:vAlign w:val="bottom"/>
          </w:tcPr>
          <w:p>
            <w:pPr>
              <w:ind w:left="20"/>
              <w:spacing w:after="0"/>
              <w:rPr>
                <w:sz w:val="20"/>
                <w:szCs w:val="20"/>
                <w:color w:val="auto"/>
              </w:rPr>
            </w:pPr>
            <w:r>
              <w:rPr>
                <w:rFonts w:ascii="Arial" w:cs="Arial" w:eastAsia="Arial" w:hAnsi="Arial"/>
                <w:sz w:val="20"/>
                <w:szCs w:val="20"/>
                <w:color w:val="auto"/>
              </w:rPr>
              <w:t>Evan Jones</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65,000</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249,985</w:t>
            </w:r>
          </w:p>
        </w:tc>
        <w:tc>
          <w:tcPr>
            <w:tcW w:w="1720" w:type="dxa"/>
            <w:vAlign w:val="bottom"/>
          </w:tcPr>
          <w:p>
            <w:pPr>
              <w:jc w:val="right"/>
              <w:spacing w:after="0"/>
              <w:rPr>
                <w:sz w:val="20"/>
                <w:szCs w:val="20"/>
                <w:color w:val="auto"/>
              </w:rPr>
            </w:pPr>
            <w:r>
              <w:rPr>
                <w:rFonts w:ascii="Arial" w:cs="Arial" w:eastAsia="Arial" w:hAnsi="Arial"/>
                <w:sz w:val="18"/>
                <w:szCs w:val="18"/>
                <w:color w:val="auto"/>
              </w:rPr>
              <w:t>314,985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163195</wp:posOffset>
            </wp:positionV>
            <wp:extent cx="3111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660" w:right="60" w:hanging="419"/>
        <w:spacing w:after="0" w:line="21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represent the aggregate fair value of the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2022. There can be no assurance that stock awards will settle (in which case no value will be realized by the individual) or that the value on settlement will approximate the fair value as computed in accordance with ASC 718.</w:t>
      </w:r>
    </w:p>
    <w:p>
      <w:pPr>
        <w:spacing w:after="0" w:line="340" w:lineRule="exact"/>
        <w:rPr>
          <w:rFonts w:ascii="Arial" w:cs="Arial" w:eastAsia="Arial" w:hAnsi="Arial"/>
          <w:sz w:val="18"/>
          <w:szCs w:val="18"/>
          <w:color w:val="auto"/>
        </w:rPr>
      </w:pPr>
    </w:p>
    <w:p>
      <w:pPr>
        <w:ind w:left="660" w:right="60" w:hanging="419"/>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or stock awards held by non-employee directors at December 31, 2022:</w:t>
      </w:r>
    </w:p>
    <w:p>
      <w:pPr>
        <w:spacing w:after="0" w:line="11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352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Name</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Number of Shares</w:t>
            </w:r>
          </w:p>
        </w:tc>
      </w:tr>
      <w:tr>
        <w:trPr>
          <w:trHeight w:val="222"/>
        </w:trPr>
        <w:tc>
          <w:tcPr>
            <w:tcW w:w="3520" w:type="dxa"/>
            <w:vAlign w:val="bottom"/>
          </w:tcPr>
          <w:p>
            <w:pPr>
              <w:ind w:left="20"/>
              <w:spacing w:after="0"/>
              <w:rPr>
                <w:sz w:val="20"/>
                <w:szCs w:val="20"/>
                <w:color w:val="auto"/>
              </w:rPr>
            </w:pPr>
            <w:r>
              <w:rPr>
                <w:rFonts w:ascii="Arial" w:cs="Arial" w:eastAsia="Arial" w:hAnsi="Arial"/>
                <w:sz w:val="18"/>
                <w:szCs w:val="18"/>
                <w:color w:val="auto"/>
              </w:rPr>
              <w:t>Eliav Barr</w:t>
            </w:r>
          </w:p>
        </w:tc>
        <w:tc>
          <w:tcPr>
            <w:tcW w:w="2860" w:type="dxa"/>
            <w:vAlign w:val="bottom"/>
          </w:tcPr>
          <w:p>
            <w:pPr>
              <w:jc w:val="right"/>
              <w:spacing w:after="0"/>
              <w:rPr>
                <w:sz w:val="20"/>
                <w:szCs w:val="20"/>
                <w:color w:val="auto"/>
              </w:rPr>
            </w:pPr>
            <w:r>
              <w:rPr>
                <w:rFonts w:ascii="Arial" w:cs="Arial" w:eastAsia="Arial" w:hAnsi="Arial"/>
                <w:sz w:val="18"/>
                <w:szCs w:val="18"/>
                <w:color w:val="auto"/>
              </w:rPr>
              <w:t>20,721</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Muna Bhanji</w:t>
            </w:r>
          </w:p>
        </w:tc>
        <w:tc>
          <w:tcPr>
            <w:tcW w:w="2860" w:type="dxa"/>
            <w:vAlign w:val="bottom"/>
          </w:tcPr>
          <w:p>
            <w:pPr>
              <w:jc w:val="right"/>
              <w:spacing w:after="0"/>
              <w:rPr>
                <w:sz w:val="20"/>
                <w:szCs w:val="20"/>
                <w:color w:val="auto"/>
              </w:rPr>
            </w:pPr>
            <w:r>
              <w:rPr>
                <w:rFonts w:ascii="Arial" w:cs="Arial" w:eastAsia="Arial" w:hAnsi="Arial"/>
                <w:sz w:val="18"/>
                <w:szCs w:val="18"/>
                <w:color w:val="auto"/>
              </w:rPr>
              <w:t>22,425</w:t>
            </w: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John L. Bishop</w:t>
            </w:r>
          </w:p>
        </w:tc>
        <w:tc>
          <w:tcPr>
            <w:tcW w:w="2860" w:type="dxa"/>
            <w:vAlign w:val="bottom"/>
          </w:tcPr>
          <w:p>
            <w:pPr>
              <w:jc w:val="right"/>
              <w:spacing w:after="0"/>
              <w:rPr>
                <w:sz w:val="20"/>
                <w:szCs w:val="20"/>
                <w:color w:val="auto"/>
              </w:rPr>
            </w:pPr>
            <w:r>
              <w:rPr>
                <w:rFonts w:ascii="Arial" w:cs="Arial" w:eastAsia="Arial" w:hAnsi="Arial"/>
                <w:sz w:val="18"/>
                <w:szCs w:val="18"/>
                <w:color w:val="auto"/>
              </w:rPr>
              <w:t>99,731</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Karin Eastham</w:t>
            </w:r>
          </w:p>
        </w:tc>
        <w:tc>
          <w:tcPr>
            <w:tcW w:w="2860" w:type="dxa"/>
            <w:vAlign w:val="bottom"/>
          </w:tcPr>
          <w:p>
            <w:pPr>
              <w:jc w:val="right"/>
              <w:spacing w:after="0"/>
              <w:rPr>
                <w:sz w:val="20"/>
                <w:szCs w:val="20"/>
                <w:color w:val="auto"/>
              </w:rPr>
            </w:pPr>
            <w:r>
              <w:rPr>
                <w:rFonts w:ascii="Arial" w:cs="Arial" w:eastAsia="Arial" w:hAnsi="Arial"/>
                <w:sz w:val="18"/>
                <w:szCs w:val="18"/>
                <w:color w:val="auto"/>
              </w:rPr>
              <w:t>113,481</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Robert S. Epstein</w:t>
            </w:r>
          </w:p>
        </w:tc>
        <w:tc>
          <w:tcPr>
            <w:tcW w:w="2860" w:type="dxa"/>
            <w:vAlign w:val="bottom"/>
          </w:tcPr>
          <w:p>
            <w:pPr>
              <w:jc w:val="right"/>
              <w:spacing w:after="0"/>
              <w:rPr>
                <w:sz w:val="20"/>
                <w:szCs w:val="20"/>
                <w:color w:val="auto"/>
              </w:rPr>
            </w:pPr>
            <w:r>
              <w:rPr>
                <w:rFonts w:ascii="Arial" w:cs="Arial" w:eastAsia="Arial" w:hAnsi="Arial"/>
                <w:sz w:val="18"/>
                <w:szCs w:val="18"/>
                <w:color w:val="auto"/>
              </w:rPr>
              <w:t>89,731</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Kevin K. Gordon</w:t>
            </w:r>
          </w:p>
        </w:tc>
        <w:tc>
          <w:tcPr>
            <w:tcW w:w="28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Jens Holstein</w:t>
            </w:r>
          </w:p>
        </w:tc>
        <w:tc>
          <w:tcPr>
            <w:tcW w:w="2860" w:type="dxa"/>
            <w:vAlign w:val="bottom"/>
          </w:tcPr>
          <w:p>
            <w:pPr>
              <w:jc w:val="right"/>
              <w:spacing w:after="0"/>
              <w:rPr>
                <w:sz w:val="20"/>
                <w:szCs w:val="20"/>
                <w:color w:val="auto"/>
              </w:rPr>
            </w:pPr>
            <w:r>
              <w:rPr>
                <w:rFonts w:ascii="Arial" w:cs="Arial" w:eastAsia="Arial" w:hAnsi="Arial"/>
                <w:sz w:val="18"/>
                <w:szCs w:val="18"/>
                <w:color w:val="auto"/>
              </w:rPr>
              <w:t>49,731</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Evan Jones</w:t>
            </w:r>
          </w:p>
        </w:tc>
        <w:tc>
          <w:tcPr>
            <w:tcW w:w="2860" w:type="dxa"/>
            <w:vAlign w:val="bottom"/>
          </w:tcPr>
          <w:p>
            <w:pPr>
              <w:jc w:val="right"/>
              <w:spacing w:after="0"/>
              <w:rPr>
                <w:sz w:val="20"/>
                <w:szCs w:val="20"/>
                <w:color w:val="auto"/>
              </w:rPr>
            </w:pPr>
            <w:r>
              <w:rPr>
                <w:rFonts w:ascii="Arial" w:cs="Arial" w:eastAsia="Arial" w:hAnsi="Arial"/>
                <w:sz w:val="18"/>
                <w:szCs w:val="18"/>
                <w:color w:val="auto"/>
              </w:rPr>
              <w:t>84,731</w:t>
            </w:r>
          </w:p>
        </w:tc>
      </w:tr>
    </w:tbl>
    <w:p>
      <w:pPr>
        <w:spacing w:after="0" w:line="161" w:lineRule="exact"/>
        <w:rPr>
          <w:sz w:val="20"/>
          <w:szCs w:val="20"/>
          <w:color w:val="auto"/>
        </w:rPr>
      </w:pPr>
    </w:p>
    <w:p>
      <w:pPr>
        <w:ind w:left="660" w:hanging="41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Barr was appointed to our Board of Directors on August 9, 2022.</w:t>
      </w:r>
    </w:p>
    <w:p>
      <w:pPr>
        <w:spacing w:after="0" w:line="41" w:lineRule="exact"/>
        <w:rPr>
          <w:rFonts w:ascii="Arial" w:cs="Arial" w:eastAsia="Arial" w:hAnsi="Arial"/>
          <w:sz w:val="18"/>
          <w:szCs w:val="18"/>
          <w:color w:val="auto"/>
        </w:rPr>
      </w:pPr>
    </w:p>
    <w:p>
      <w:pPr>
        <w:ind w:left="660" w:hanging="419"/>
        <w:spacing w:after="0"/>
        <w:tabs>
          <w:tab w:leader="none" w:pos="660" w:val="left"/>
        </w:tabs>
        <w:numPr>
          <w:ilvl w:val="0"/>
          <w:numId w:val="16"/>
        </w:numPr>
        <w:rPr>
          <w:rFonts w:ascii="Arial" w:cs="Arial" w:eastAsia="Arial" w:hAnsi="Arial"/>
          <w:sz w:val="36"/>
          <w:szCs w:val="36"/>
          <w:color w:val="auto"/>
          <w:vertAlign w:val="superscript"/>
        </w:rPr>
      </w:pPr>
      <w:r>
        <w:rPr>
          <w:rFonts w:ascii="Arial" w:cs="Arial" w:eastAsia="Arial" w:hAnsi="Arial"/>
          <w:sz w:val="18"/>
          <w:szCs w:val="18"/>
          <w:color w:val="auto"/>
        </w:rPr>
        <w:t>Mr. Gordon’s term on our Board of Directors expired at the 2022 Annual Meeting of Stockholders on June 15, 2022.</w:t>
      </w:r>
    </w:p>
    <w:p>
      <w:pPr>
        <w:spacing w:after="0" w:line="200" w:lineRule="exact"/>
        <w:rPr>
          <w:sz w:val="20"/>
          <w:szCs w:val="20"/>
          <w:color w:val="auto"/>
        </w:rPr>
      </w:pPr>
    </w:p>
    <w:p>
      <w:pPr>
        <w:spacing w:after="0" w:line="2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Directors who are employees do not receive any fees or equity awards for their service on the Board of Directors or any committee. In February 2022, our compensation committee and Board of Directors reviewed our then-current non-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employee director compensation program and competitive market data on the same, determined to retain the cash retainer without change from 2021 and to decrease the equity awards from 2021, as detailed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Retainers</w:t>
      </w:r>
    </w:p>
    <w:p>
      <w:pPr>
        <w:spacing w:after="0" w:line="10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$40,000 annual cash retainer for service on our Board of Directors;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$20,000 annual cash retainer for the chair of our audit committee and $10,000 for each of its other members;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$15,000 annual cash retainer for the chair of our compensation committee and $7,500 for each of its other members;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$10,000 annual cash retainer for the chair of our nominating and corporate governance committee and $5,000 for each of its other members;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$10,000 annual cash retainer for the chair of our regulatory and compliance committee and $5,000 for each of its other members; and</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$25,000 additional annual cash retainer for the lead independent director (as needed).</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w:t>
      </w:r>
    </w:p>
    <w:p>
      <w:pPr>
        <w:spacing w:after="0" w:line="1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2023, our compensation committee and Board of Directors reviewed our then-current non-employee director compensation program and competitive market data on the same, determined to retain the cash retainer without change from 2022 (as detailed above) other than to provide that the chair of the Board of Directors will receive an annual cash retainer of $80,000 in lieu of the $40,000 annual cash retainer for general service on the Board of Directors and also determined to retain the equity awards without change from 2022 (as detailed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10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compensation program for non-employee directors provides for the grant of restricted stock units (“RSUs”) to our non-employee directors, as described below. Our compensation policy for non-employee directors currently provides that any non-employee director who first joins our Board of Directors is automatically granted RSUs valued on the grant date at $500,000 (decreased from $600,000 in 2021) (the “Initial RSUs”). The Initial RSUs will vest as to one-third of those shares on each of the first, second and third annual anniversaries of the date of grant. In addition, on the first business day after each annual meeting of stockholders, each non-employee director who continues to serve on our Board of Directors and who has served as a director for at least six months will be automatically granted RSUs valued on the grant date at $250,000 (decreased from $300,000 in 2021) (the “Annual RSUs”). The Annual RSUs will vest in full on the first anniversary of the date of grant or, if earlier, the date of the next annual meeting of stockholders. These grants and their terms are set forth in our 2013 Stock Incentive Plan. The vesting of the options and RSUs described above will accelerate in full upon a “change in control” as defined in our 2013 Stock Incentive Plan. Pursuant to the terms of the 2013 Stock Incentive Plan, no non-employee director may receive equity awards under our 2013 Stock Incentive Plan that, when combined with cash compensation received for service as a non-employee director, exceeds $750,000 in value in any calendar year, which amount shall instead be $1,500,000 in value in the calendar year in which such director first joins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audit committee has appointed Ernst &amp; Young LLP as our independent registered public accounting firm for 2023. Ernst &amp; Young LLP has audited our financial statements since 2014. Representatives of Ernst &amp; Young LLP are expected to be present at the Annual Meeting. They will have an opportunity to make a statement, if they desire to do so, and will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Independent Registered Public Accounting Firm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fees billed for professional audit services and other services rendered to us by Ernst &amp; Young LLP for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2"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December 31,</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340" w:type="dxa"/>
            <w:vAlign w:val="bottom"/>
            <w:gridSpan w:val="2"/>
            <w:vMerge w:val="restart"/>
          </w:tcPr>
          <w:p>
            <w:pPr>
              <w:ind w:left="20"/>
              <w:spacing w:after="0"/>
              <w:rPr>
                <w:sz w:val="20"/>
                <w:szCs w:val="20"/>
                <w:color w:val="auto"/>
              </w:rPr>
            </w:pPr>
            <w:r>
              <w:rPr>
                <w:rFonts w:ascii="Arial" w:cs="Arial" w:eastAsia="Arial" w:hAnsi="Arial"/>
                <w:sz w:val="18"/>
                <w:szCs w:val="18"/>
                <w:color w:val="auto"/>
              </w:rPr>
              <w:t>Audit Fees(1)</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340" w:type="dxa"/>
            <w:vAlign w:val="bottom"/>
            <w:gridSpan w:val="2"/>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2,206,118</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2,437,913</w:t>
            </w:r>
          </w:p>
        </w:tc>
        <w:tc>
          <w:tcPr>
            <w:tcW w:w="0" w:type="dxa"/>
            <w:vAlign w:val="bottom"/>
          </w:tcPr>
          <w:p>
            <w:pPr>
              <w:spacing w:after="0"/>
              <w:rPr>
                <w:sz w:val="1"/>
                <w:szCs w:val="1"/>
                <w:color w:val="auto"/>
              </w:rPr>
            </w:pPr>
          </w:p>
        </w:tc>
      </w:tr>
      <w:tr>
        <w:trPr>
          <w:trHeight w:val="230"/>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Audit-related Fees(2)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48,500</w:t>
            </w:r>
          </w:p>
        </w:tc>
        <w:tc>
          <w:tcPr>
            <w:tcW w:w="0" w:type="dxa"/>
            <w:vAlign w:val="bottom"/>
          </w:tcPr>
          <w:p>
            <w:pPr>
              <w:spacing w:after="0"/>
              <w:rPr>
                <w:sz w:val="1"/>
                <w:szCs w:val="1"/>
                <w:color w:val="auto"/>
              </w:rPr>
            </w:pPr>
          </w:p>
        </w:tc>
      </w:tr>
      <w:tr>
        <w:trPr>
          <w:trHeight w:val="229"/>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Tax Fees(3)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164,800</w:t>
            </w:r>
          </w:p>
        </w:tc>
        <w:tc>
          <w:tcPr>
            <w:tcW w:w="0" w:type="dxa"/>
            <w:vAlign w:val="bottom"/>
          </w:tcPr>
          <w:p>
            <w:pPr>
              <w:spacing w:after="0"/>
              <w:rPr>
                <w:sz w:val="1"/>
                <w:szCs w:val="1"/>
                <w:color w:val="auto"/>
              </w:rPr>
            </w:pPr>
          </w:p>
        </w:tc>
      </w:tr>
      <w:tr>
        <w:trPr>
          <w:trHeight w:val="230"/>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All Other Fees(4)</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23"/>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2,207,763</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2,654,498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auto"/>
            </w:tcBorders>
          </w:tcPr>
          <w:p>
            <w:pPr>
              <w:spacing w:after="0"/>
              <w:rPr>
                <w:sz w:val="20"/>
                <w:szCs w:val="20"/>
                <w:color w:val="auto"/>
              </w:rPr>
            </w:pPr>
          </w:p>
        </w:tc>
        <w:tc>
          <w:tcPr>
            <w:tcW w:w="5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040" w:right="740" w:hanging="280"/>
        <w:spacing w:after="0" w:line="23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include fees and out-of-pocket expenses, whether or not yet invoiced, for professional services provided in connection with the audit of our annual financial statements and review of our quarterly financial statements.</w:t>
      </w:r>
    </w:p>
    <w:p>
      <w:pPr>
        <w:spacing w:after="0" w:line="296" w:lineRule="exact"/>
        <w:rPr>
          <w:rFonts w:ascii="Arial" w:cs="Arial" w:eastAsia="Arial" w:hAnsi="Arial"/>
          <w:sz w:val="18"/>
          <w:szCs w:val="18"/>
          <w:color w:val="auto"/>
        </w:rPr>
      </w:pPr>
    </w:p>
    <w:p>
      <w:pPr>
        <w:ind w:left="1040" w:hanging="28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include fees for consultations on accounting and reporting matters for acquisitions.</w:t>
      </w:r>
    </w:p>
    <w:p>
      <w:pPr>
        <w:spacing w:after="0" w:line="130" w:lineRule="exact"/>
        <w:rPr>
          <w:rFonts w:ascii="Arial" w:cs="Arial" w:eastAsia="Arial" w:hAnsi="Arial"/>
          <w:sz w:val="18"/>
          <w:szCs w:val="18"/>
          <w:color w:val="auto"/>
        </w:rPr>
      </w:pPr>
    </w:p>
    <w:p>
      <w:pPr>
        <w:ind w:left="1040" w:hanging="28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fees consist of tax consulting services.</w:t>
      </w:r>
    </w:p>
    <w:p>
      <w:pPr>
        <w:spacing w:after="0" w:line="319" w:lineRule="exact"/>
        <w:rPr>
          <w:rFonts w:ascii="Arial" w:cs="Arial" w:eastAsia="Arial" w:hAnsi="Arial"/>
          <w:sz w:val="18"/>
          <w:szCs w:val="18"/>
          <w:color w:val="auto"/>
        </w:rPr>
      </w:pPr>
    </w:p>
    <w:p>
      <w:pPr>
        <w:ind w:left="1040" w:hanging="28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fees consist of consultations not related to audit or tax fess and access to an online accounting literature database.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audit committee's policy is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Ratification will require the vote of a majority of the shares present and entitled to vote at the Annual Meeting. Stockholder ratification of the selection of Ernst &amp; Young LLP as our independent registered public accounting firm is not required by our amended and restated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spacing w:after="0" w:line="201" w:lineRule="exact"/>
        <w:rPr>
          <w:sz w:val="20"/>
          <w:szCs w:val="20"/>
          <w:color w:val="auto"/>
        </w:rPr>
      </w:pPr>
    </w:p>
    <w:p>
      <w:pPr>
        <w:ind w:right="920" w:firstLine="648"/>
        <w:spacing w:after="0" w:line="282" w:lineRule="auto"/>
        <w:rPr>
          <w:sz w:val="20"/>
          <w:szCs w:val="20"/>
          <w:color w:val="auto"/>
        </w:rPr>
      </w:pPr>
      <w:r>
        <w:rPr>
          <w:rFonts w:ascii="Arial" w:cs="Arial" w:eastAsia="Arial" w:hAnsi="Arial"/>
          <w:sz w:val="18"/>
          <w:szCs w:val="18"/>
          <w:b w:val="1"/>
          <w:bCs w:val="1"/>
          <w:color w:val="auto"/>
        </w:rPr>
        <w:t>The Board of Directors Recommends a Vote “FOR” Ratification of Ernst &amp; Young LLP as our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accordance with the rules of the SEC, we are providing stockholders with an opportunity to make a non-binding, advisory vote on the compensation of our named executive officers. This non-binding advisory vote is commonly referred to as a “say on pay” vote. The non-binding advisory vote on the compensation of our named executive officers, as disclosed in this Proxy Statement, will be determined by the vote of a majority of the shares present at the Annual Meeting or voting by proxy and entitled to vote. Abstentions have the same effect as votes “AGAINST” this proposal.</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7" w:name="page28"/>
    <w:bookmarkEnd w:id="27"/>
    <w:p>
      <w:pPr>
        <w:jc w:val="both"/>
        <w:ind w:firstLine="648"/>
        <w:spacing w:after="0" w:line="257" w:lineRule="auto"/>
        <w:rPr>
          <w:sz w:val="20"/>
          <w:szCs w:val="20"/>
          <w:color w:val="auto"/>
        </w:rPr>
      </w:pPr>
      <w:r>
        <w:rPr>
          <w:rFonts w:ascii="Arial" w:cs="Arial" w:eastAsia="Arial" w:hAnsi="Arial"/>
          <w:sz w:val="18"/>
          <w:szCs w:val="18"/>
          <w:color w:val="auto"/>
        </w:rPr>
        <w:t>Stockholders are urged to read the “Executive Compensation” section of this Proxy Statement, which discusses how our executive compensation policies and procedures implement our compensation philosophy and contains tabular information and narrative discussion about the compensation of our named executive officers. The compensation committee and the Board of Directors believe that these policies and procedures are effective in implementing our compensation philosophy and in achieving our goals. Accordingly, we ask our stockholders to vote “FOR” the following resolution at the Annual Meeting:</w:t>
      </w:r>
    </w:p>
    <w:p>
      <w:pPr>
        <w:spacing w:after="0" w:line="13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“RESOLVED, that our stockholders approve, on a non-binding advisory basis, the compensation of the named executive officers, as disclosed in the Proxy Statement pursuant to Item 402 of Regulation S-K, including the compensation tables and narrative discussion and the other related disclosures.”</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w:t>
      </w:r>
    </w:p>
    <w:p>
      <w:pPr>
        <w:spacing w:after="0" w:line="36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of Directors Recommends a Vote “FOR” Approval, on a Non-Binding Advisory Basis, of the Compensation of our Named Executive Officers.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VERACYTE, INC. 2023 EQUITY INCENTIVE PLAN</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asking our stockholders to approve our new Veracyte, Inc. 2023 Equity Incentive Plan (the “Plan”). If approved by our stockholders, the Plan will replace our 2013 Stock Incentive Plan (the “Prior Plan”), which was adopted in connection with our initial public offering and expires on October 2, 2023. If the Plan is approved by our stockholders, the Plan will become effective on June 8, 2023, the date of our Annual Meeting.</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stockholders do not approve the Plan, the Prior Plan will continue in its current form and expire on October 2, 2023, after which we will not be able to provide equity incentives to attract and retain talent.</w:t>
      </w:r>
    </w:p>
    <w:p>
      <w:pPr>
        <w:spacing w:after="0" w:line="19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are not requesting an increase to the number of reserved shares available for grant under the Prior Plan as of the date of our Annual Meeting (the “Remaining Prior Plan Pool”). Rather, if this Plan is approved, the Remaining Prior Plan Pool would roll over into the Plan and become available for grant under the Plan. As of March 31, 2023, there were 5,315,328 shares in the Remaining Prior Plan Pool.</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any shares subject to awards, including shares subject to awards granted under the Prior Plan that are outstanding on the date of our Annual Meeting, that are cancelled, forfeited, repurchased, expire by their terms without shares being issued or are used to pay the exercise price of an option or stock appreciation right or withheld to satisfy the tax withholding obligations related to any award, will be returned to the pool of shares available for grant and issuance under the Plan.</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Once the Plan becomes effective, no additional shares will be issued under the Prior Plan. Outstanding awards under the Prior Plan will remain outstanding, unchanged and subject to the terms of the Prior Plan and the respective award agreements, until the expiration of such awards in accordance with their terms.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Is a Critical Element of Our Compensation Program</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light of the impending expiration of our Prior Plan, approval of the Plan will allow us to continue to provide equity incentives to attract, retain and motivate talented individuals who will help expand our business and achieve our strategic objectives, to the benefit of all of our stockholders and in the best interest of the Company.</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our future success and our ability to remain competitive are dependent on our ability to attract, retain and motivate highly qualified talent. Competition for talent in our industry is intense. The use of equity compensation, including the grant of options, restricted stock units and certain performance-based restricted stock units, has historically been a significant part of our overall compensation philosophy and a cornerstone of our method for attracting and retaining top caliber employees. Allowing employees to acquire or increase their ownership stake in us aligns their interests with those of our stockholders, creating strong incentives for our employees to work hard for our future growth and success.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ind w:firstLine="648"/>
        <w:spacing w:after="0" w:line="296" w:lineRule="auto"/>
        <w:rPr>
          <w:sz w:val="20"/>
          <w:szCs w:val="20"/>
          <w:color w:val="auto"/>
        </w:rPr>
      </w:pPr>
      <w:r>
        <w:rPr>
          <w:rFonts w:ascii="Arial" w:cs="Arial" w:eastAsia="Arial" w:hAnsi="Arial"/>
          <w:sz w:val="16"/>
          <w:szCs w:val="16"/>
          <w:color w:val="auto"/>
        </w:rPr>
        <w:t>A broad-based equity incentive program focuses our employees who receive grants on achieving strong corporate performance, and we have embedded in our culture the necessity for employees to think and act as stockholders. We currently grant RSUs to the majority of our newly hired employees, RSUs and stock options to our executives and RSUs to our non-employee directors. We also grant performance-based restricted stock units (“PSUs”) to certain of our executives and anticipate continuing to do so in the future. This is an important component of our long-term employee incentive and retention plan and has been very effective in enabling us to attract and retain the talent critical for an innovative and growth-focused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Plan is not approved by our stockholders, our Prior Plan will remain in effect only through October 2, 2023. If the Plan is not approved, we will not be able to grant stock options, RSUs or other forms of equity incentives and we would be forced to consider cash replacement alternatives to provide a market-competitive total compensation package necessary to attract, retain and motivate the employee talent critical to our future successes. These cash replacement alternatives could, among other things, reduce the cash available for investment in growth and development and cause a loss of motivation by employees to achieve superior performance over a longer period of time. Accordingly, if the Plan is not approved, we would likely be required to again seek approval from our stockholders for a share increase under the Prior Plan or a new equity incentive plan at a special meeting prior to our 2024 annual meeting of stockholders, which would increase costs and would be a distraction from our management team’s execution of our business goals.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Carefully Consider and Forecast Our Need for Shares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requesting approval of the roll-over of the Remaining Prior Plan Pool, which totaled 5,315,328 shares as of March 31, 2023. In addition, any shares subject to awards, including shares subject to awards granted under the Prior Plan that are outstanding on the effective date of the Plan, that are cancelled, forfeited, repurchased, expire by their terms without shares being issued or are used to pay the exercise price of an option or stock appreciation right or withheld to satisfy the tax withholding obligations related to any award will be returned to the pool of shares available for grant and issuance under the Plan.</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After carefully forecasting our anticipated growth rate for the next few years and considering our historical usage and forfeiture rates, we currently believe that the proposed share reserve under the Plan will be sufficient for us to make anticipated grants of equity incentive awards under our current compensation program for approximately one to two years. However, a change in business conditions, company strategy or equity market performance could alter this projection.</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evaluating the number of shares initially reserved for grant under the Plan, our Compensation Committee considered a number of factors, including the costs of the share request as well as an analysis of certain burn rate and dilution metrics as summarized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Practices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past three fiscal years, we granted equity awards under our Prior Plan as summarized in the chart below. Our three-year average burn rate was approximately 3.15% for fiscal years 2020 through 2022 (see chart below for a calculation of our three-year burn rate).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define “burn rate” as the number of time-based equity awards granted during the year plus performance-based equity awards earned during the year, divided by the weighted average total number of shares of common stock outstanding.</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burn rate figures included below are based on equity awards granted under our Prior Plan, and exclude potential dilution resulting from shares issued pursuant to our Amended and Restated Employee Stock Purchase Plan (the “ESPP”). As we continue to mature our compensation practices, we strive to achieve a burn rate and overhang at approximately the average rates of our peer group, and that are within the limits recommended by certain independent stockholder advisory groups.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08"/>
        </w:trPr>
        <w:tc>
          <w:tcPr>
            <w:tcW w:w="142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2900" w:type="dxa"/>
            <w:vAlign w:val="bottom"/>
            <w:tcBorders>
              <w:top w:val="single" w:sz="8" w:color="auto"/>
              <w:right w:val="single" w:sz="8" w:color="auto"/>
            </w:tcBorders>
            <w:shd w:val="clear" w:color="auto" w:fill="D9D9D9"/>
          </w:tcPr>
          <w:p>
            <w:pPr>
              <w:spacing w:after="0"/>
              <w:rPr>
                <w:sz w:val="18"/>
                <w:szCs w:val="18"/>
                <w:color w:val="auto"/>
              </w:rPr>
            </w:pPr>
          </w:p>
        </w:tc>
        <w:tc>
          <w:tcPr>
            <w:tcW w:w="1680" w:type="dxa"/>
            <w:vAlign w:val="bottom"/>
            <w:tcBorders>
              <w:top w:val="single" w:sz="8" w:color="auto"/>
              <w:right w:val="single" w:sz="8" w:color="auto"/>
            </w:tcBorders>
            <w:shd w:val="clear" w:color="auto" w:fill="D9D9D9"/>
          </w:tcPr>
          <w:p>
            <w:pPr>
              <w:spacing w:after="0"/>
              <w:rPr>
                <w:sz w:val="18"/>
                <w:szCs w:val="18"/>
                <w:color w:val="auto"/>
              </w:rPr>
            </w:pPr>
          </w:p>
        </w:tc>
        <w:tc>
          <w:tcPr>
            <w:tcW w:w="3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Weighted Common Stock Outstanding</w:t>
            </w:r>
          </w:p>
        </w:tc>
        <w:tc>
          <w:tcPr>
            <w:tcW w:w="2120" w:type="dxa"/>
            <w:vAlign w:val="bottom"/>
            <w:tcBorders>
              <w:top w:val="single" w:sz="8" w:color="auto"/>
              <w:right w:val="single" w:sz="8" w:color="auto"/>
            </w:tcBorders>
            <w:shd w:val="clear" w:color="auto" w:fill="D9D9D9"/>
          </w:tcPr>
          <w:p>
            <w:pPr>
              <w:spacing w:after="0"/>
              <w:rPr>
                <w:sz w:val="18"/>
                <w:szCs w:val="18"/>
                <w:color w:val="auto"/>
              </w:rPr>
            </w:pPr>
          </w:p>
        </w:tc>
      </w:tr>
      <w:tr>
        <w:trPr>
          <w:trHeight w:val="192"/>
        </w:trPr>
        <w:tc>
          <w:tcPr>
            <w:tcW w:w="1420" w:type="dxa"/>
            <w:vAlign w:val="bottom"/>
            <w:tcBorders>
              <w:left w:val="single" w:sz="8" w:color="auto"/>
              <w:right w:val="single" w:sz="8" w:color="auto"/>
            </w:tcBorders>
            <w:shd w:val="clear" w:color="auto" w:fill="D9D9D9"/>
          </w:tcPr>
          <w:p>
            <w:pPr>
              <w:spacing w:after="0"/>
              <w:rPr>
                <w:sz w:val="16"/>
                <w:szCs w:val="16"/>
                <w:color w:val="auto"/>
              </w:rPr>
            </w:pPr>
          </w:p>
        </w:tc>
        <w:tc>
          <w:tcPr>
            <w:tcW w:w="2900" w:type="dxa"/>
            <w:vAlign w:val="bottom"/>
            <w:tcBorders>
              <w:right w:val="single" w:sz="8" w:color="auto"/>
            </w:tcBorders>
            <w:shd w:val="clear" w:color="auto" w:fill="D9D9D9"/>
          </w:tcPr>
          <w:p>
            <w:pPr>
              <w:jc w:val="center"/>
              <w:spacing w:after="0" w:line="193" w:lineRule="exact"/>
              <w:rPr>
                <w:sz w:val="20"/>
                <w:szCs w:val="20"/>
                <w:color w:val="auto"/>
              </w:rPr>
            </w:pPr>
            <w:r>
              <w:rPr>
                <w:rFonts w:ascii="Arial" w:cs="Arial" w:eastAsia="Arial" w:hAnsi="Arial"/>
                <w:sz w:val="18"/>
                <w:szCs w:val="18"/>
                <w:b w:val="1"/>
                <w:bCs w:val="1"/>
                <w:color w:val="auto"/>
                <w:w w:val="91"/>
              </w:rPr>
              <w:t>Granted Appreciation Awards</w:t>
            </w:r>
          </w:p>
        </w:tc>
        <w:tc>
          <w:tcPr>
            <w:tcW w:w="1680" w:type="dxa"/>
            <w:vAlign w:val="bottom"/>
            <w:tcBorders>
              <w:right w:val="single" w:sz="8" w:color="auto"/>
            </w:tcBorders>
            <w:shd w:val="clear" w:color="auto" w:fill="D9D9D9"/>
          </w:tcPr>
          <w:p>
            <w:pPr>
              <w:jc w:val="center"/>
              <w:spacing w:after="0" w:line="193" w:lineRule="exact"/>
              <w:rPr>
                <w:sz w:val="20"/>
                <w:szCs w:val="20"/>
                <w:color w:val="auto"/>
              </w:rPr>
            </w:pPr>
            <w:r>
              <w:rPr>
                <w:rFonts w:ascii="Arial" w:cs="Arial" w:eastAsia="Arial" w:hAnsi="Arial"/>
                <w:sz w:val="18"/>
                <w:szCs w:val="18"/>
                <w:b w:val="1"/>
                <w:bCs w:val="1"/>
                <w:color w:val="auto"/>
                <w:w w:val="93"/>
              </w:rPr>
              <w:t>Granted Full-Value</w:t>
            </w:r>
          </w:p>
        </w:tc>
        <w:tc>
          <w:tcPr>
            <w:tcW w:w="3140" w:type="dxa"/>
            <w:vAlign w:val="bottom"/>
            <w:tcBorders>
              <w:right w:val="single" w:sz="8" w:color="auto"/>
            </w:tcBorders>
            <w:shd w:val="clear" w:color="auto" w:fill="D9D9D9"/>
          </w:tcPr>
          <w:p>
            <w:pPr>
              <w:jc w:val="center"/>
              <w:spacing w:after="0" w:line="192" w:lineRule="exact"/>
              <w:rPr>
                <w:sz w:val="20"/>
                <w:szCs w:val="20"/>
                <w:color w:val="auto"/>
              </w:rPr>
            </w:pPr>
            <w:r>
              <w:rPr>
                <w:rFonts w:ascii="Arial" w:cs="Arial" w:eastAsia="Arial" w:hAnsi="Arial"/>
                <w:sz w:val="17"/>
                <w:szCs w:val="17"/>
                <w:b w:val="1"/>
                <w:bCs w:val="1"/>
                <w:color w:val="auto"/>
                <w:w w:val="91"/>
              </w:rPr>
              <w:t>as of December 31</w:t>
            </w:r>
            <w:r>
              <w:rPr>
                <w:rFonts w:ascii="Arial" w:cs="Arial" w:eastAsia="Arial" w:hAnsi="Arial"/>
                <w:sz w:val="22"/>
                <w:szCs w:val="22"/>
                <w:b w:val="1"/>
                <w:bCs w:val="1"/>
                <w:color w:val="auto"/>
                <w:w w:val="91"/>
                <w:vertAlign w:val="superscript"/>
              </w:rPr>
              <w:t>st</w:t>
            </w:r>
            <w:r>
              <w:rPr>
                <w:rFonts w:ascii="Arial" w:cs="Arial" w:eastAsia="Arial" w:hAnsi="Arial"/>
                <w:sz w:val="17"/>
                <w:szCs w:val="17"/>
                <w:b w:val="1"/>
                <w:bCs w:val="1"/>
                <w:color w:val="auto"/>
                <w:w w:val="91"/>
              </w:rPr>
              <w:t xml:space="preserve"> of the applicable</w:t>
            </w:r>
          </w:p>
        </w:tc>
        <w:tc>
          <w:tcPr>
            <w:tcW w:w="2120" w:type="dxa"/>
            <w:vAlign w:val="bottom"/>
            <w:tcBorders>
              <w:right w:val="single" w:sz="8" w:color="auto"/>
            </w:tcBorders>
            <w:shd w:val="clear" w:color="auto" w:fill="D9D9D9"/>
          </w:tcPr>
          <w:p>
            <w:pPr>
              <w:spacing w:after="0"/>
              <w:rPr>
                <w:sz w:val="16"/>
                <w:szCs w:val="16"/>
                <w:color w:val="auto"/>
              </w:rPr>
            </w:pPr>
          </w:p>
        </w:tc>
      </w:tr>
      <w:tr>
        <w:trPr>
          <w:trHeight w:val="255"/>
        </w:trPr>
        <w:tc>
          <w:tcPr>
            <w:tcW w:w="1420" w:type="dxa"/>
            <w:vAlign w:val="bottom"/>
            <w:tcBorders>
              <w:left w:val="single" w:sz="8" w:color="auto"/>
              <w:bottom w:val="single" w:sz="8" w:color="auto"/>
              <w:right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b w:val="1"/>
                <w:bCs w:val="1"/>
                <w:color w:val="auto"/>
              </w:rPr>
              <w:t>Fiscal Year</w:t>
            </w:r>
          </w:p>
        </w:tc>
        <w:tc>
          <w:tcPr>
            <w:tcW w:w="2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(Options and SARs)(1)</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Awards (RSUs)(2)</w:t>
            </w:r>
          </w:p>
        </w:tc>
        <w:tc>
          <w:tcPr>
            <w:tcW w:w="3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year</w:t>
            </w:r>
          </w:p>
        </w:tc>
        <w:tc>
          <w:tcPr>
            <w:tcW w:w="2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Burn Rate</w:t>
            </w:r>
          </w:p>
        </w:tc>
      </w:tr>
      <w:tr>
        <w:trPr>
          <w:trHeight w:val="256"/>
        </w:trPr>
        <w:tc>
          <w:tcPr>
            <w:tcW w:w="1420" w:type="dxa"/>
            <w:vAlign w:val="bottom"/>
            <w:tcBorders>
              <w:left w:val="single" w:sz="8" w:color="auto"/>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w w:val="94"/>
              </w:rPr>
              <w:t>2020</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983,900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451,709</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53,239,231</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2.70%</w:t>
            </w:r>
          </w:p>
        </w:tc>
      </w:tr>
      <w:tr>
        <w:trPr>
          <w:trHeight w:val="250"/>
        </w:trPr>
        <w:tc>
          <w:tcPr>
            <w:tcW w:w="1420" w:type="dxa"/>
            <w:vAlign w:val="bottom"/>
            <w:tcBorders>
              <w:left w:val="single" w:sz="8" w:color="auto"/>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w w:val="94"/>
              </w:rPr>
              <w:t>2021</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677,851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1,168,896</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67,890,328</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2.72%</w:t>
            </w:r>
          </w:p>
        </w:tc>
      </w:tr>
      <w:tr>
        <w:trPr>
          <w:trHeight w:val="250"/>
        </w:trPr>
        <w:tc>
          <w:tcPr>
            <w:tcW w:w="1420" w:type="dxa"/>
            <w:vAlign w:val="bottom"/>
            <w:tcBorders>
              <w:left w:val="single" w:sz="8" w:color="auto"/>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w w:val="94"/>
              </w:rPr>
              <w:t>2022</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1,132,620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1,746,249</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71,549,204</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4.02%</w:t>
            </w:r>
          </w:p>
        </w:tc>
      </w:tr>
    </w:tbl>
    <w:p>
      <w:pPr>
        <w:spacing w:after="0" w:line="323"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Options granted during 2020, 2021 and 2022 included a time-based vesting schedule.</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both time-based RSUs and PSUs (assuming target-level achievement) granted during 2020, 2021 and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Dilution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w:t>
      </w:r>
    </w:p>
    <w:p>
      <w:pPr>
        <w:spacing w:after="0" w:line="23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were 72,383,016 total shares of our common stock outstanding.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closing market price of our common stock on March 31, 2023 was $22.30.</w:t>
      </w:r>
    </w:p>
    <w:p>
      <w:pPr>
        <w:spacing w:after="0" w:line="63"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outstanding stock options have a weighted average per share exercise price of $21.41 and a weighted average remaining contractual term of 6.3 years.</w:t>
      </w:r>
    </w:p>
    <w:p>
      <w:pPr>
        <w:spacing w:after="0" w:line="8"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table shows outstanding equity awards granted and outstanding under the Prior Plan and our 2008 Stock Plan, and the number of shares remaining for grant under our Prior Plan, in each case as of March 31, 2023.</w:t>
      </w:r>
    </w:p>
    <w:p>
      <w:pPr>
        <w:spacing w:after="0" w:line="273" w:lineRule="exact"/>
        <w:rPr>
          <w:sz w:val="20"/>
          <w:szCs w:val="20"/>
          <w:color w:val="auto"/>
        </w:rPr>
      </w:pPr>
    </w:p>
    <w:tbl>
      <w:tblPr>
        <w:tblLayout w:type="fixed"/>
        <w:tblInd w:w="530" w:type="dxa"/>
        <w:tblCellMar>
          <w:top w:w="0" w:type="dxa"/>
          <w:left w:w="0" w:type="dxa"/>
          <w:bottom w:w="0" w:type="dxa"/>
          <w:right w:w="0" w:type="dxa"/>
        </w:tblCellMar>
      </w:tblPr>
      <w:tr>
        <w:trPr>
          <w:trHeight w:val="211"/>
        </w:trPr>
        <w:tc>
          <w:tcPr>
            <w:tcW w:w="2020" w:type="dxa"/>
            <w:vAlign w:val="bottom"/>
            <w:tcBorders>
              <w:top w:val="single" w:sz="8" w:color="C9C9C9"/>
              <w:left w:val="single" w:sz="8" w:color="C9C9C9"/>
              <w:right w:val="single" w:sz="8" w:color="C9C9C9"/>
            </w:tcBorders>
            <w:shd w:val="clear" w:color="auto" w:fill="D9D9D9"/>
          </w:tcPr>
          <w:p>
            <w:pPr>
              <w:spacing w:after="0"/>
              <w:rPr>
                <w:sz w:val="18"/>
                <w:szCs w:val="18"/>
                <w:color w:val="auto"/>
              </w:rPr>
            </w:pPr>
          </w:p>
        </w:tc>
        <w:tc>
          <w:tcPr>
            <w:tcW w:w="2000" w:type="dxa"/>
            <w:vAlign w:val="bottom"/>
            <w:tcBorders>
              <w:top w:val="single" w:sz="8" w:color="C9C9C9"/>
              <w:right w:val="single" w:sz="8" w:color="C9C9C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3520" w:type="dxa"/>
            <w:vAlign w:val="bottom"/>
            <w:tcBorders>
              <w:top w:val="single" w:sz="8" w:color="C9C9C9"/>
              <w:right w:val="single" w:sz="8" w:color="C9C9C9"/>
            </w:tcBorders>
            <w:shd w:val="clear" w:color="auto" w:fill="D9D9D9"/>
          </w:tcPr>
          <w:p>
            <w:pPr>
              <w:spacing w:after="0"/>
              <w:rPr>
                <w:sz w:val="18"/>
                <w:szCs w:val="18"/>
                <w:color w:val="auto"/>
              </w:rPr>
            </w:pPr>
          </w:p>
        </w:tc>
        <w:tc>
          <w:tcPr>
            <w:tcW w:w="2680" w:type="dxa"/>
            <w:vAlign w:val="bottom"/>
            <w:tcBorders>
              <w:top w:val="single" w:sz="8" w:color="C9C9C9"/>
              <w:right w:val="single" w:sz="8" w:color="C9C9C9"/>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20" w:type="dxa"/>
            <w:vAlign w:val="bottom"/>
            <w:tcBorders>
              <w:left w:val="single" w:sz="8" w:color="C9C9C9"/>
              <w:right w:val="single" w:sz="8" w:color="C9C9C9"/>
            </w:tcBorders>
            <w:vMerge w:val="restart"/>
            <w:shd w:val="clear" w:color="auto" w:fill="D9D9D9"/>
          </w:tcPr>
          <w:p>
            <w:pPr>
              <w:ind w:left="840"/>
              <w:spacing w:after="0"/>
              <w:rPr>
                <w:sz w:val="20"/>
                <w:szCs w:val="20"/>
                <w:color w:val="auto"/>
              </w:rPr>
            </w:pPr>
            <w:r>
              <w:rPr>
                <w:rFonts w:ascii="Arial" w:cs="Arial" w:eastAsia="Arial" w:hAnsi="Arial"/>
                <w:sz w:val="18"/>
                <w:szCs w:val="18"/>
                <w:b w:val="1"/>
                <w:bCs w:val="1"/>
                <w:color w:val="auto"/>
              </w:rPr>
              <w:t>Plan</w:t>
            </w:r>
          </w:p>
        </w:tc>
        <w:tc>
          <w:tcPr>
            <w:tcW w:w="2000" w:type="dxa"/>
            <w:vAlign w:val="bottom"/>
            <w:tcBorders>
              <w:right w:val="single" w:sz="8" w:color="C9C9C9"/>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90"/>
              </w:rPr>
              <w:t>appreciation awards</w:t>
            </w:r>
          </w:p>
        </w:tc>
        <w:tc>
          <w:tcPr>
            <w:tcW w:w="3520" w:type="dxa"/>
            <w:vAlign w:val="bottom"/>
            <w:tcBorders>
              <w:right w:val="single" w:sz="8" w:color="C9C9C9"/>
            </w:tcBorders>
            <w:shd w:val="clear" w:color="auto" w:fill="D9D9D9"/>
          </w:tcPr>
          <w:p>
            <w:pPr>
              <w:jc w:val="right"/>
              <w:ind w:right="150"/>
              <w:spacing w:after="0" w:line="202" w:lineRule="exact"/>
              <w:rPr>
                <w:sz w:val="20"/>
                <w:szCs w:val="20"/>
                <w:color w:val="auto"/>
              </w:rPr>
            </w:pPr>
            <w:r>
              <w:rPr>
                <w:rFonts w:ascii="Arial" w:cs="Arial" w:eastAsia="Arial" w:hAnsi="Arial"/>
                <w:sz w:val="18"/>
                <w:szCs w:val="18"/>
                <w:b w:val="1"/>
                <w:bCs w:val="1"/>
                <w:color w:val="auto"/>
                <w:w w:val="96"/>
              </w:rPr>
              <w:t>Full value awards outstanding under all</w:t>
            </w:r>
          </w:p>
        </w:tc>
        <w:tc>
          <w:tcPr>
            <w:tcW w:w="2680" w:type="dxa"/>
            <w:vAlign w:val="bottom"/>
            <w:tcBorders>
              <w:right w:val="single" w:sz="8" w:color="C9C9C9"/>
            </w:tcBorders>
            <w:shd w:val="clear" w:color="auto" w:fill="D9D9D9"/>
          </w:tcPr>
          <w:p>
            <w:pPr>
              <w:jc w:val="right"/>
              <w:ind w:right="70"/>
              <w:spacing w:after="0" w:line="202" w:lineRule="exact"/>
              <w:rPr>
                <w:sz w:val="20"/>
                <w:szCs w:val="20"/>
                <w:color w:val="auto"/>
              </w:rPr>
            </w:pPr>
            <w:r>
              <w:rPr>
                <w:rFonts w:ascii="Arial" w:cs="Arial" w:eastAsia="Arial" w:hAnsi="Arial"/>
                <w:sz w:val="18"/>
                <w:szCs w:val="18"/>
                <w:b w:val="1"/>
                <w:bCs w:val="1"/>
                <w:color w:val="auto"/>
                <w:w w:val="95"/>
              </w:rPr>
              <w:t>Number of shares available for</w:t>
            </w:r>
          </w:p>
        </w:tc>
        <w:tc>
          <w:tcPr>
            <w:tcW w:w="0" w:type="dxa"/>
            <w:vAlign w:val="bottom"/>
          </w:tcPr>
          <w:p>
            <w:pPr>
              <w:spacing w:after="0"/>
              <w:rPr>
                <w:sz w:val="1"/>
                <w:szCs w:val="1"/>
                <w:color w:val="auto"/>
              </w:rPr>
            </w:pPr>
          </w:p>
        </w:tc>
      </w:tr>
      <w:tr>
        <w:trPr>
          <w:trHeight w:val="241"/>
        </w:trPr>
        <w:tc>
          <w:tcPr>
            <w:tcW w:w="2020" w:type="dxa"/>
            <w:vAlign w:val="bottom"/>
            <w:tcBorders>
              <w:left w:val="single" w:sz="8" w:color="C9C9C9"/>
              <w:bottom w:val="single" w:sz="8" w:color="C9C9C9"/>
              <w:right w:val="single" w:sz="8" w:color="C9C9C9"/>
            </w:tcBorders>
            <w:vMerge w:val="continue"/>
            <w:shd w:val="clear" w:color="auto" w:fill="D9D9D9"/>
          </w:tcPr>
          <w:p>
            <w:pPr>
              <w:spacing w:after="0"/>
              <w:rPr>
                <w:sz w:val="20"/>
                <w:szCs w:val="20"/>
                <w:color w:val="auto"/>
              </w:rPr>
            </w:pPr>
          </w:p>
        </w:tc>
        <w:tc>
          <w:tcPr>
            <w:tcW w:w="2000" w:type="dxa"/>
            <w:vAlign w:val="bottom"/>
            <w:tcBorders>
              <w:bottom w:val="single" w:sz="8" w:color="C9C9C9"/>
              <w:right w:val="single" w:sz="8" w:color="C9C9C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(options) under all plans</w:t>
            </w:r>
          </w:p>
        </w:tc>
        <w:tc>
          <w:tcPr>
            <w:tcW w:w="3520" w:type="dxa"/>
            <w:vAlign w:val="bottom"/>
            <w:tcBorders>
              <w:bottom w:val="single" w:sz="8" w:color="C9C9C9"/>
              <w:right w:val="single" w:sz="8" w:color="C9C9C9"/>
            </w:tcBorders>
            <w:shd w:val="clear" w:color="auto" w:fill="D9D9D9"/>
          </w:tcPr>
          <w:p>
            <w:pPr>
              <w:jc w:val="right"/>
              <w:ind w:right="450"/>
              <w:spacing w:after="0"/>
              <w:rPr>
                <w:sz w:val="20"/>
                <w:szCs w:val="20"/>
                <w:color w:val="auto"/>
              </w:rPr>
            </w:pPr>
            <w:r>
              <w:rPr>
                <w:rFonts w:ascii="Arial" w:cs="Arial" w:eastAsia="Arial" w:hAnsi="Arial"/>
                <w:sz w:val="18"/>
                <w:szCs w:val="18"/>
                <w:b w:val="1"/>
                <w:bCs w:val="1"/>
                <w:color w:val="auto"/>
              </w:rPr>
              <w:t>plans (including PSUs at target)</w:t>
            </w:r>
          </w:p>
        </w:tc>
        <w:tc>
          <w:tcPr>
            <w:tcW w:w="2680" w:type="dxa"/>
            <w:vAlign w:val="bottom"/>
            <w:tcBorders>
              <w:bottom w:val="single" w:sz="8" w:color="C9C9C9"/>
              <w:right w:val="single" w:sz="8" w:color="C9C9C9"/>
            </w:tcBorders>
            <w:shd w:val="clear" w:color="auto" w:fill="D9D9D9"/>
          </w:tcPr>
          <w:p>
            <w:pPr>
              <w:jc w:val="right"/>
              <w:ind w:right="1050"/>
              <w:spacing w:after="0"/>
              <w:rPr>
                <w:sz w:val="20"/>
                <w:szCs w:val="20"/>
                <w:color w:val="auto"/>
              </w:rPr>
            </w:pPr>
            <w:r>
              <w:rPr>
                <w:rFonts w:ascii="Arial" w:cs="Arial" w:eastAsia="Arial" w:hAnsi="Arial"/>
                <w:sz w:val="18"/>
                <w:szCs w:val="18"/>
                <w:b w:val="1"/>
                <w:bCs w:val="1"/>
                <w:color w:val="auto"/>
              </w:rPr>
              <w:t>grant</w:t>
            </w:r>
          </w:p>
        </w:tc>
        <w:tc>
          <w:tcPr>
            <w:tcW w:w="0" w:type="dxa"/>
            <w:vAlign w:val="bottom"/>
          </w:tcPr>
          <w:p>
            <w:pPr>
              <w:spacing w:after="0"/>
              <w:rPr>
                <w:sz w:val="1"/>
                <w:szCs w:val="1"/>
                <w:color w:val="auto"/>
              </w:rPr>
            </w:pPr>
          </w:p>
        </w:tc>
      </w:tr>
      <w:tr>
        <w:trPr>
          <w:trHeight w:val="250"/>
        </w:trPr>
        <w:tc>
          <w:tcPr>
            <w:tcW w:w="2020" w:type="dxa"/>
            <w:vAlign w:val="bottom"/>
            <w:tcBorders>
              <w:left w:val="single" w:sz="8" w:color="C9C9C9"/>
              <w:bottom w:val="single" w:sz="8" w:color="C9C9C9"/>
              <w:right w:val="single" w:sz="8" w:color="C9C9C9"/>
            </w:tcBorders>
          </w:tcPr>
          <w:p>
            <w:pPr>
              <w:ind w:left="40"/>
              <w:spacing w:after="0"/>
              <w:rPr>
                <w:sz w:val="20"/>
                <w:szCs w:val="20"/>
                <w:color w:val="auto"/>
              </w:rPr>
            </w:pPr>
            <w:r>
              <w:rPr>
                <w:rFonts w:ascii="Arial" w:cs="Arial" w:eastAsia="Arial" w:hAnsi="Arial"/>
                <w:sz w:val="18"/>
                <w:szCs w:val="18"/>
                <w:b w:val="1"/>
                <w:bCs w:val="1"/>
                <w:color w:val="auto"/>
              </w:rPr>
              <w:t>Prior Plan</w:t>
            </w:r>
          </w:p>
        </w:tc>
        <w:tc>
          <w:tcPr>
            <w:tcW w:w="2000" w:type="dxa"/>
            <w:vAlign w:val="bottom"/>
            <w:tcBorders>
              <w:bottom w:val="single" w:sz="8" w:color="C9C9C9"/>
              <w:right w:val="single" w:sz="8" w:color="C9C9C9"/>
            </w:tcBorders>
          </w:tcPr>
          <w:p>
            <w:pPr>
              <w:jc w:val="right"/>
              <w:ind w:right="10"/>
              <w:spacing w:after="0"/>
              <w:rPr>
                <w:sz w:val="20"/>
                <w:szCs w:val="20"/>
                <w:color w:val="auto"/>
              </w:rPr>
            </w:pPr>
            <w:r>
              <w:rPr>
                <w:rFonts w:ascii="Arial" w:cs="Arial" w:eastAsia="Arial" w:hAnsi="Arial"/>
                <w:sz w:val="18"/>
                <w:szCs w:val="18"/>
                <w:color w:val="auto"/>
              </w:rPr>
              <w:t>4,011,755</w:t>
            </w:r>
          </w:p>
        </w:tc>
        <w:tc>
          <w:tcPr>
            <w:tcW w:w="3520" w:type="dxa"/>
            <w:vAlign w:val="bottom"/>
            <w:tcBorders>
              <w:bottom w:val="single" w:sz="8" w:color="C9C9C9"/>
              <w:right w:val="single" w:sz="8" w:color="C9C9C9"/>
            </w:tcBorders>
          </w:tcPr>
          <w:p>
            <w:pPr>
              <w:jc w:val="right"/>
              <w:ind w:right="10"/>
              <w:spacing w:after="0"/>
              <w:rPr>
                <w:sz w:val="20"/>
                <w:szCs w:val="20"/>
                <w:color w:val="auto"/>
              </w:rPr>
            </w:pPr>
            <w:r>
              <w:rPr>
                <w:rFonts w:ascii="Arial" w:cs="Arial" w:eastAsia="Arial" w:hAnsi="Arial"/>
                <w:sz w:val="18"/>
                <w:szCs w:val="18"/>
                <w:color w:val="auto"/>
              </w:rPr>
              <w:t>3,049,269</w:t>
            </w:r>
          </w:p>
        </w:tc>
        <w:tc>
          <w:tcPr>
            <w:tcW w:w="2680" w:type="dxa"/>
            <w:vAlign w:val="bottom"/>
            <w:tcBorders>
              <w:bottom w:val="single" w:sz="8" w:color="C9C9C9"/>
              <w:right w:val="single" w:sz="8" w:color="C9C9C9"/>
            </w:tcBorders>
          </w:tcPr>
          <w:p>
            <w:pPr>
              <w:jc w:val="right"/>
              <w:ind w:right="10"/>
              <w:spacing w:after="0"/>
              <w:rPr>
                <w:sz w:val="20"/>
                <w:szCs w:val="20"/>
                <w:color w:val="auto"/>
              </w:rPr>
            </w:pPr>
            <w:r>
              <w:rPr>
                <w:rFonts w:ascii="Arial" w:cs="Arial" w:eastAsia="Arial" w:hAnsi="Arial"/>
                <w:sz w:val="18"/>
                <w:szCs w:val="18"/>
                <w:color w:val="auto"/>
              </w:rPr>
              <w:t>5,315,328</w:t>
            </w:r>
          </w:p>
        </w:tc>
        <w:tc>
          <w:tcPr>
            <w:tcW w:w="0" w:type="dxa"/>
            <w:vAlign w:val="bottom"/>
          </w:tcPr>
          <w:p>
            <w:pPr>
              <w:spacing w:after="0"/>
              <w:rPr>
                <w:sz w:val="1"/>
                <w:szCs w:val="1"/>
                <w:color w:val="auto"/>
              </w:rPr>
            </w:pPr>
          </w:p>
        </w:tc>
      </w:tr>
      <w:tr>
        <w:trPr>
          <w:trHeight w:val="250"/>
        </w:trPr>
        <w:tc>
          <w:tcPr>
            <w:tcW w:w="2020" w:type="dxa"/>
            <w:vAlign w:val="bottom"/>
            <w:tcBorders>
              <w:left w:val="single" w:sz="8" w:color="C9C9C9"/>
              <w:bottom w:val="single" w:sz="8" w:color="C9C9C9"/>
              <w:right w:val="single" w:sz="8" w:color="C9C9C9"/>
            </w:tcBorders>
          </w:tcPr>
          <w:p>
            <w:pPr>
              <w:ind w:left="40"/>
              <w:spacing w:after="0"/>
              <w:rPr>
                <w:sz w:val="20"/>
                <w:szCs w:val="20"/>
                <w:color w:val="auto"/>
              </w:rPr>
            </w:pPr>
            <w:r>
              <w:rPr>
                <w:rFonts w:ascii="Arial" w:cs="Arial" w:eastAsia="Arial" w:hAnsi="Arial"/>
                <w:sz w:val="18"/>
                <w:szCs w:val="18"/>
                <w:b w:val="1"/>
                <w:bCs w:val="1"/>
                <w:color w:val="auto"/>
              </w:rPr>
              <w:t>2008 Stock Plan</w:t>
            </w:r>
          </w:p>
        </w:tc>
        <w:tc>
          <w:tcPr>
            <w:tcW w:w="2000" w:type="dxa"/>
            <w:vAlign w:val="bottom"/>
            <w:tcBorders>
              <w:bottom w:val="single" w:sz="8" w:color="C9C9C9"/>
              <w:right w:val="single" w:sz="8" w:color="C9C9C9"/>
            </w:tcBorders>
          </w:tcPr>
          <w:p>
            <w:pPr>
              <w:jc w:val="right"/>
              <w:ind w:right="10"/>
              <w:spacing w:after="0"/>
              <w:rPr>
                <w:sz w:val="20"/>
                <w:szCs w:val="20"/>
                <w:color w:val="auto"/>
              </w:rPr>
            </w:pPr>
            <w:r>
              <w:rPr>
                <w:rFonts w:ascii="Arial" w:cs="Arial" w:eastAsia="Arial" w:hAnsi="Arial"/>
                <w:sz w:val="18"/>
                <w:szCs w:val="18"/>
                <w:color w:val="auto"/>
              </w:rPr>
              <w:t>750</w:t>
            </w:r>
          </w:p>
        </w:tc>
        <w:tc>
          <w:tcPr>
            <w:tcW w:w="3520" w:type="dxa"/>
            <w:vAlign w:val="bottom"/>
            <w:tcBorders>
              <w:bottom w:val="single" w:sz="8" w:color="C9C9C9"/>
              <w:right w:val="single" w:sz="8" w:color="C9C9C9"/>
            </w:tcBorders>
          </w:tcPr>
          <w:p>
            <w:pPr>
              <w:jc w:val="right"/>
              <w:ind w:right="1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C9C9C9"/>
              <w:right w:val="single" w:sz="8" w:color="C9C9C9"/>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20" w:type="dxa"/>
            <w:vAlign w:val="bottom"/>
            <w:tcBorders>
              <w:left w:val="single" w:sz="8" w:color="C9C9C9"/>
              <w:bottom w:val="single" w:sz="8" w:color="C9C9C9"/>
              <w:right w:val="single" w:sz="8" w:color="C9C9C9"/>
            </w:tcBorders>
          </w:tcPr>
          <w:p>
            <w:pPr>
              <w:ind w:left="40"/>
              <w:spacing w:after="0"/>
              <w:rPr>
                <w:sz w:val="20"/>
                <w:szCs w:val="20"/>
                <w:color w:val="auto"/>
              </w:rPr>
            </w:pPr>
            <w:r>
              <w:rPr>
                <w:rFonts w:ascii="Arial" w:cs="Arial" w:eastAsia="Arial" w:hAnsi="Arial"/>
                <w:sz w:val="18"/>
                <w:szCs w:val="18"/>
                <w:b w:val="1"/>
                <w:bCs w:val="1"/>
                <w:color w:val="auto"/>
              </w:rPr>
              <w:t>Total</w:t>
            </w:r>
          </w:p>
        </w:tc>
        <w:tc>
          <w:tcPr>
            <w:tcW w:w="2000" w:type="dxa"/>
            <w:vAlign w:val="bottom"/>
            <w:tcBorders>
              <w:bottom w:val="single" w:sz="8" w:color="C9C9C9"/>
              <w:right w:val="single" w:sz="8" w:color="C9C9C9"/>
            </w:tcBorders>
          </w:tcPr>
          <w:p>
            <w:pPr>
              <w:jc w:val="right"/>
              <w:ind w:right="10"/>
              <w:spacing w:after="0"/>
              <w:rPr>
                <w:sz w:val="20"/>
                <w:szCs w:val="20"/>
                <w:color w:val="auto"/>
              </w:rPr>
            </w:pPr>
            <w:r>
              <w:rPr>
                <w:rFonts w:ascii="Arial" w:cs="Arial" w:eastAsia="Arial" w:hAnsi="Arial"/>
                <w:sz w:val="18"/>
                <w:szCs w:val="18"/>
                <w:color w:val="auto"/>
              </w:rPr>
              <w:t>4,012,505</w:t>
            </w:r>
          </w:p>
        </w:tc>
        <w:tc>
          <w:tcPr>
            <w:tcW w:w="3520" w:type="dxa"/>
            <w:vAlign w:val="bottom"/>
            <w:tcBorders>
              <w:bottom w:val="single" w:sz="8" w:color="C9C9C9"/>
              <w:right w:val="single" w:sz="8" w:color="C9C9C9"/>
            </w:tcBorders>
          </w:tcPr>
          <w:p>
            <w:pPr>
              <w:jc w:val="right"/>
              <w:ind w:right="10"/>
              <w:spacing w:after="0"/>
              <w:rPr>
                <w:sz w:val="20"/>
                <w:szCs w:val="20"/>
                <w:color w:val="auto"/>
              </w:rPr>
            </w:pPr>
            <w:r>
              <w:rPr>
                <w:rFonts w:ascii="Arial" w:cs="Arial" w:eastAsia="Arial" w:hAnsi="Arial"/>
                <w:sz w:val="18"/>
                <w:szCs w:val="18"/>
                <w:color w:val="auto"/>
              </w:rPr>
              <w:t>3,049,269</w:t>
            </w:r>
          </w:p>
        </w:tc>
        <w:tc>
          <w:tcPr>
            <w:tcW w:w="2680" w:type="dxa"/>
            <w:vAlign w:val="bottom"/>
            <w:tcBorders>
              <w:bottom w:val="single" w:sz="8" w:color="C9C9C9"/>
              <w:right w:val="single" w:sz="8" w:color="C9C9C9"/>
            </w:tcBorders>
          </w:tcPr>
          <w:p>
            <w:pPr>
              <w:jc w:val="right"/>
              <w:ind w:right="10"/>
              <w:spacing w:after="0"/>
              <w:rPr>
                <w:sz w:val="20"/>
                <w:szCs w:val="20"/>
                <w:color w:val="auto"/>
              </w:rPr>
            </w:pPr>
            <w:r>
              <w:rPr>
                <w:rFonts w:ascii="Arial" w:cs="Arial" w:eastAsia="Arial" w:hAnsi="Arial"/>
                <w:sz w:val="18"/>
                <w:szCs w:val="18"/>
                <w:color w:val="auto"/>
              </w:rPr>
              <w:t>5,315,328</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Based on this information, as of March 31, 2023, our outstanding equity awards (not including awards under our ESPP) plus shares available for future grant under our Prior Plan represented approximately 17% of our common stock outstanding, which we refer to as our “overhang.”</w:t>
      </w:r>
    </w:p>
    <w:p>
      <w:pPr>
        <w:spacing w:after="0" w:line="17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Accordingly, our Board of Directors believes that the request to roll-over the Remaining Prior Plan Pool is reasonable and prudent. This number of shares should allow us to continue to grant awards to our employees, consultants, officers and directors, which have been successful in attracting high-performing personnel and generating stockholder value, going forward and to be able to respond to growth, market competition and potential stock price fluctuations.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 Governance and Compensation Practices</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Plan contains a number of provisions that we believe are consistent with the interests of our stockholders and good corporate governance and compensation practices, including:</w:t>
      </w:r>
    </w:p>
    <w:p>
      <w:pPr>
        <w:spacing w:after="0" w:line="1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evergreen;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option repricing without stockholder approval;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“liberal” change in control definition;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dividends on unvested awards;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excise tax gross ups;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automatic single trigger acceleration on a change in control;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Minimum exercise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Limits on non-employee director cash and equity compensation; and</w:t>
      </w:r>
    </w:p>
    <w:p>
      <w:pPr>
        <w:spacing w:after="0" w:line="63"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clawback awards under our clawback policies and/or any recoupment requirements imposed under applicable law or listing standards.</w:t>
      </w:r>
    </w:p>
    <w:p>
      <w:pPr>
        <w:sectPr>
          <w:pgSz w:w="11900" w:h="16838" w:orient="portrait"/>
          <w:cols w:equalWidth="0" w:num="1">
            <w:col w:w="11260"/>
          </w:cols>
          <w:pgMar w:left="320" w:top="916" w:right="31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Purpose of the Plan</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Approval of the Plan will enable us to continue to offer equity awards to attract and retain talented employees, directors, consultants, independent contractors and advisors and further align their interests and those of our stockholders by continuing to link a portion of their compensation with our performance.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will also reflect the best current compensation practices that implement strong governance-related protections for our stockholders, as described in the “Summary of the 2023 Equity Incentive Plan” section.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approved by our stockholders, the Plan will be effective on the date of stockholder approval. We intend to register the additional shares authorized under the Plan under the Securities Act. If our stockholders do not approve the Plan, the Plan will not become effective and the Prior Plan will remain effective through its termination date of October 2,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2023 Equity Incentive Plan</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The following is a summary of the principal features of the Plan. This summary, however, does not purport to be a complete description of all of the provisions of the Plan. It is qualified in its entirety by reference to the full text of the Plan, a copy of which is attached hereto as </w:t>
      </w:r>
      <w:r>
        <w:rPr>
          <w:rFonts w:ascii="Arial" w:cs="Arial" w:eastAsia="Arial" w:hAnsi="Arial"/>
          <w:sz w:val="17"/>
          <w:szCs w:val="17"/>
          <w:u w:val="single" w:color="auto"/>
          <w:color w:val="auto"/>
        </w:rPr>
        <w:t>Appendix 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Purpose</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was adopted by our Board of Directors on April 12, 2023 and serves as the successor to the Prior Plan. Subject to our stockholder’s approval, the Plan will become effective on the date of our Annual Meeting, and will terminate 10 years after the date approved by our Board of Directors. The purpose of the Plan is to provide incentives to attract, retain and motivate eligible persons whose present and potential contributions are important to our success.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Employees, officers, directors, consultants, independent contractors and advisors of the Company or any parent, subsidiary or affiliate of the Company are eligible to receive awards. As of March 31, 2023, we had four executive officers (as such term is defined under Rule 16a-1(f)), eight non-employee directors and approximately 800 other employees and other service providers who would be eligible to participate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Plan will be administered by the Compensation Committee, all of the members of which are non-employee directors under applicable federal securities laws and outside directors as defined under applicable federal tax laws. The Compensation Committee will act as the plan administrator and have the authority to construe and interpret the Plan, grant awards, determine the terms and conditions of awards and make all other determinations necessary or advisable for the administration of the plan (subject to the limitations set forth in the Plan). However, our Board of Directors establishes the terms for the grant of awards to non-employee directors as discussed above under “—</w:t>
      </w:r>
      <w:r>
        <w:rPr>
          <w:rFonts w:ascii="Arial" w:cs="Arial" w:eastAsia="Arial" w:hAnsi="Arial"/>
          <w:sz w:val="17"/>
          <w:szCs w:val="17"/>
          <w:i w:val="1"/>
          <w:iCs w:val="1"/>
          <w:color w:val="auto"/>
        </w:rPr>
        <w:t>Director Compensation</w:t>
      </w:r>
      <w:r>
        <w:rPr>
          <w:rFonts w:ascii="Arial" w:cs="Arial" w:eastAsia="Arial" w:hAnsi="Arial"/>
          <w:sz w:val="17"/>
          <w:szCs w:val="17"/>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Reserve</w:t>
      </w:r>
    </w:p>
    <w:p>
      <w:pPr>
        <w:spacing w:after="0" w:line="2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stockholders approve the Plan, there will be a number of shares equal to the Remaining Prior Plan Pool, which totaled 5,315,328 shares as of March 31, 2023 authorized under the Plan, subject to adjustment only to reflect stock splits and similar events.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the following shares underlying awards granted under the Plan will become available for grant under the Plan: (a) shares subject to issuance upon exercise of a stock option or stock appreciation right granted under the Plan but which cease to be subject to the option or stock appreciation right for any reason other than exercise of the stock option or stock appreciation right; (b) shares subject to awards granted under the Plan that are forfeited or are repurchased by the company at the original issue price; (c) shares subject to awards granted under the Plan that otherwise terminate without such shares being issued; (d) shares surrendered pursuant to a stockholder-approved Exchange Program, and (e) shares that are used to pay the exercise price of an Award or withheld to satisfy the tax withholding obligations related to an Award.</w:t>
      </w:r>
    </w:p>
    <w:p>
      <w:pPr>
        <w:spacing w:after="0" w:line="2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the following shares underlying awards granted under the Prior Plan will become available for grant under the Plan: (a) shares that are subject to awards granted under the Prior Plan that cease to be subject to such awards by forfeiture or otherwise after the Effective Date, (b) shares issued under the Prior Plan, including shares issued pursuant to the exercise of</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stock options, that are forfeited after the Effective Date, (c) shares issued under the Prior Plan that are repurchased by the Company at the original issue price after the Effective Date, (d) shares that are subject to awards granted under the Prior Plan that are settled in cash after the Effective Date; and (e) shares that are subject to awards granted under the Prior Plan that are used to pay the exercise price of an award or withheld to satisfy the tax withholding obligations related to an award after the Effective Date.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Shares that otherwise become available for grant and issuance shall not include shares subject to awards that initially became available because of the Company’s substitution or assumption of awards granted by another company in connection with an acquisition of such company, or otherwise, as permitted under the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Equitable Adjustments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is typical in equity plans, in the event of a change in our common stock via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proportionate adjustments will be made to the number and class of shares reserved for issuance and future grant under the Plan (including the maximum number and class of ISOs (as defined below)) and the applicable exercise prices of and number and class of shares subject to outstanding awards, subject to any required action by the Board of Directors or the stockholders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will permit us to grant the following types of awards: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Plan provides for the grant of Incentive Stock Options (“ISOs”) and Non-qualified Stock Options (“NQSOs”). ISOs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only to our employees or employees of our parent, subsidiaries and affiliates. NQSOs may be granted to eligible employees, consultants and directors of any of our parent, subsidiaries or affiliates. We are able to issue no more than 15,000,000 shares pursuant to the grant of ISOs under the Plan. The Compensation Committee determines the terms of each option award, provided that ISOs are subject to statutory limitations. The Compensation Committee also determines the exercise price for a stock option, provided that the exercise price of an option may not be less than the fair market value of our common stock on the date of grant (with certain additional requirements for certain ISOs).</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Options granted under the Plan vest at the rate and/or subject to performance requirements specified by the Compensation Committee and such vesting schedule is set forth in the stock option agreement to which such stock option grant relates. The Compensation Committee determines the term of stock options granted under the Plan, up to a term of ten years (with certain additional requirements for certain ISOs).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represent the right to receive shares of our common stock at a specified date in the future, subject to forfeiture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right due to termination of employment or failure to achieve specified performance goals. RSUs do not have exercise price. If the RSUs have not been forfeited, then on the date specified in the award agreement we will deliver to the holder of the RSUs shares of our common stock, cash or a combination of our common stock and cash as specified in the applicable award agreement.</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 restricted stock award is an offer by us to sell shares of our common stock subject to restrictions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may impose. These restrictions may be based on completion of a specified period of service with us or upon the achievement of performance goals during a performance period. The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Stock Bonus Awards. </w:t>
      </w:r>
      <w:r>
        <w:rPr>
          <w:rFonts w:ascii="Arial" w:cs="Arial" w:eastAsia="Arial" w:hAnsi="Arial"/>
          <w:sz w:val="18"/>
          <w:szCs w:val="18"/>
          <w:color w:val="auto"/>
        </w:rPr>
        <w:t>A stock bonus is an award of shares of our common stock for past or future services to us. Stock bonuses can be granted as</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compensation for performance and, therefore, are not issued in exchange for cash. The Compensation Committee determines the number of shares to be issued as stock bonus and any restrictions on those shares. These restrictions may be based on completion of a specified period of service with us or upon the achievement of performance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goals during a performance period. Unless otherwise set forth in the award agreement, vesting ceases on the date the participant no longer provides services to us, and at that time unvested shares will be forfeited to us or are subject to repurchase by us.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provide for a payment, or payments, in cash or shares of our common stock to the holder</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the difference between the fair market value of our common stock on the date of exercise and the stated exercise price of the stock appreciation right. Stock appreciation rights may vest based on time or achievement of performance goals.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A performance award is an award of a cash bonus or a bonus denominated in shares or units that is subject to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The award of performance shares may be settled in cash or by issuance of those shares (which may consist of restricted stock). These awards are subject to forfeiture because of termination of employment or failure to achieve the performance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Factors</w:t>
      </w:r>
    </w:p>
    <w:p>
      <w:pPr>
        <w:spacing w:after="0" w:line="23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Compensation Committee may establish performance goals from the performance criteria set forth in the Plan, which include the following: profit before tax; billings; revenue; net revenue or return on operating revenue; earnings (which may include earnings before interest and taxes, earnings before taxes, net earnings, stock-based compensation expenses, depreciation, and amortization); operating income; operating margin; operating profit; controllable operating profit or net operating profit; net profit; gross margin; cost, operating expenses or operating expenses as a percentage of revenue; net income; earning per share; total stockholder return or relative total stockholder return; market share or market segment share; return on assets or net assets; the company’s stock price; growth in stockholder value relative to a pre-determined index; return on equity; return on capital or on invested capital; cash flow (including free cash flow or operating cash flows) or cash flow margins; cash conversion cycle; economic value added; individual confidential business objectives; contract awards or backlog; overhead or other expense reduction; credit rating; strategic plan development and implementation; succession plan development and implementation; improvement in workforce diversity; customer indicators and/or satisfaction; new product invention or innovation; achievement of target levels of discovery and/or development of products and services, including but not limited to research or regulatory achievements; attainment of research and development milestones; third party coverage and/or reimbursement objectives; test volume metrics; improvements in productivity; bookings; attainment of objective operating goals and employee metrics; sales; expenses; balance of cash, cash equivalents, and marketable securities; completion of an identified special project; completion of a joint venture or other corporate transaction; employee satisfaction and/or retention; research and development expenses; working capital targets and changes in working capital; net new annual contract value; net expansion rate; and any other metric that is capable of measurement as determined by the Compensation Committee. The Compensation Committee may provide for one or more equitable adjustments to the performance criteria to preserve Compensation Committee’s original intent regarding such criteria at the time of the initial award grant, such as but not limited to, adjustments in recognition of unusual or non-recurring items such as acquisition related activities or changes in applicable accounting rules.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Approval Required for Repricing, Exchange and Buyout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Compensation Committee may not, without the approval of our stockholders, (i) reprice any Options or SARs, (ii) lower the exercise price per share of any award after it is granted or (iii) cancel any award when the exercise price per share exceeds the fair market value of one share in exchange for cash or another award.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Clawback Policy</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participant who receives an award will comply with any policy adopted by the company from time to time covering transactions in our securities by employees, officers and/or directors.</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awards will be subject to clawback or recoupment pursuant to any compensation clawback or recoupment policy adopted by the Board of Directors or required by law during the term of the participant’s employment or other service, and in addition to any other remedies available under such policy and applicable law, we may require the cancellation of outstanding awards and the recoupment of any gains realized with respect to awards.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Dividends and Dividend Equivalents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participant will have no right to payment of stock dividends or stock distributions with respect to unvested shares, and any such dividends or stock distributions will be accrued and paid only at such time, if any, as such unvested shares become vested shares and are no longer subject to restrictions and risk of forfeiture.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Change in Control</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undergo a Corporate Transaction (as defined in the Plan), the Plan provides that outstanding awards shall be subject to the definitive agreement related thereto, and may be assumed, converted, replaced or substituted by the successor or acquiring entity, or by a parent or subsidiary of the successor or acquiring entity, for substantially equivalent awards (including, but not limited to, an award to acquire the same consideration paid to the stockholders pursuant to the Corporate Transaction), in each case after taking into account appropriate adjustments to the exercise price and the number and nature of shares subject to such awards as may be necessary or desirable under applicable law and the Internal Revenue Code, may be fully accelerated or may be settled for their intrinsic value (which may be determined to be zero). In the event such successor or acquiring corporation (if any) refuses to assume, convert, replace or substitute awards, or awards are not settled for their intrinsic value, pursuant to a Corporate Transaction, then such awards shall have their vesting accelerate as to all shares subject to such award (and any applicable right of repurchase fully lapse) immediately prior to the Corporate Transaction, with the acceleration of performance awards based on the greater of actual performance through the date of the Corporate Transaction or target performance, and then such awards will terminate.</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Awards need not be treated similarly in a Corporate Transaction and treatment may vary from award to award and/or from participant to participant.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of a Corporate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Award Recipients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comply with the laws in other countries in which we and our subsidiaries and affiliates operate or have employees or other individuals eligible for awards, the Compensation Committee 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Compensation Committee determines to be necessary or advisable to comply with any local governmental regulatory exemptions or approvals.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of Awards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Compensation Committee provides otherwise, the Plan does not allow for the transfer of awards, other than by will or the laws of descent and distribution, and generally only the recipient of an award may exercise it during his or her lifetime.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to Non-Employee Directors</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Grants to non-employee directors are eligible to receive any type of award offered under the Plan except ISOs. No non-employee director may receive awards under the Plan that, when combined with cash compensation received for service as a non-employee director, exceeds $750,000 in value in any calendar year ($1,500,000 in the calendar year in which such non-employee director first joins the Board of Directors). Awards under the Plan may be granted to non-employee directors, may be automatically made pursuant to a policy adopted by the Board of Directors, or made from time to time as determined in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is permitted to amend or terminate the Plan at any time, subject to stockholder approval where required. In addition, no amendment that is detrimental to a participant in the Plan may be made to an outstanding award without the consent of the affected participant unless such termination or amendment is necessary to comply with applicable, law, regulation or rule. Provided the Plan is approved by our stockholders at the Annual Meeting, and unless terminated earlier in accordance with its terms, the Plan will terminate ten years from April 12, 2023, the date the Plan was adopted by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Income Tax Consequences.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general summary under current law of certain U.S. federal income tax consequences to participants who are citizens or individual residents of the United States relating to the types of equity awards that may be granted under the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color w:val="auto"/>
        </w:rPr>
        <w:t>Plan. This summary deals with the general tax principles and is provided only for general information. Certain kinds of taxes, such as foreign taxes, state and local income taxes, payroll taxes and the alternative minimum tax, are not discussed.</w:t>
      </w:r>
    </w:p>
    <w:p>
      <w:pPr>
        <w:spacing w:after="0" w:line="19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i w:val="1"/>
          <w:iCs w:val="1"/>
          <w:color w:val="auto"/>
        </w:rPr>
        <w:t xml:space="preserve">Nonqualified Stock Options, Stock Appreciation Rights. </w:t>
      </w:r>
      <w:r>
        <w:rPr>
          <w:rFonts w:ascii="Arial" w:cs="Arial" w:eastAsia="Arial" w:hAnsi="Arial"/>
          <w:sz w:val="17"/>
          <w:szCs w:val="17"/>
          <w:color w:val="auto"/>
        </w:rPr>
        <w:t>A recipient of an NSO or stock appreciation right will not recognize taxable income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grant of those awards. However, the participant will recognize ordinary income upon exercise in an amount equal to the difference between the fair market value of the shares and the exercise price on the date of exercise. Any gain or loss recognized on a subsequent disposition of the shares of common stock generally will be short</w:t>
      </w:r>
      <w:r>
        <w:rPr>
          <w:rFonts w:ascii="MS PGothic" w:cs="MS PGothic" w:eastAsia="MS PGothic" w:hAnsi="MS PGothic"/>
          <w:sz w:val="17"/>
          <w:szCs w:val="17"/>
          <w:color w:val="auto"/>
        </w:rPr>
        <w:t>‐</w:t>
      </w:r>
      <w:r>
        <w:rPr>
          <w:rFonts w:ascii="Arial" w:cs="Arial" w:eastAsia="Arial" w:hAnsi="Arial"/>
          <w:sz w:val="17"/>
          <w:szCs w:val="17"/>
          <w:color w:val="auto"/>
        </w:rPr>
        <w:t>term or long</w:t>
      </w:r>
      <w:r>
        <w:rPr>
          <w:rFonts w:ascii="MS PGothic" w:cs="MS PGothic" w:eastAsia="MS PGothic" w:hAnsi="MS PGothic"/>
          <w:sz w:val="17"/>
          <w:szCs w:val="17"/>
          <w:color w:val="auto"/>
        </w:rPr>
        <w:t>‐</w:t>
      </w:r>
      <w:r>
        <w:rPr>
          <w:rFonts w:ascii="Arial" w:cs="Arial" w:eastAsia="Arial" w:hAnsi="Arial"/>
          <w:sz w:val="17"/>
          <w:szCs w:val="17"/>
          <w:color w:val="auto"/>
        </w:rPr>
        <w:t>term capital gain or loss, depending on the length of time the recipient holds the shares.</w:t>
      </w:r>
    </w:p>
    <w:p>
      <w:pPr>
        <w:spacing w:after="0" w:line="23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Neither the grant nor the exercise of an incentive stock option will generally result in any taxable income to the recipient,</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that the alternative minimum tax may apply at the time of exercise. The recipient will recognize a capital gain or loss on a later sale or other disposition of such shares provided the he or she does not dispose of such shares within two years from the date the option was granted or within one year after the shares were acquired by the recipient. If the shares are not held for holding period described above, the recipient will recognize ordinary income equal to the lesser of (i) the difference between the fair market value of the shares on the date of exercise and the exercise price, or (ii) the difference between the sales price and the exercise price. Any gain or loss recognized on a subsequent disposition of the shares of common stock generally will be short</w:t>
      </w:r>
      <w:r>
        <w:rPr>
          <w:rFonts w:ascii="MS PGothic" w:cs="MS PGothic" w:eastAsia="MS PGothic" w:hAnsi="MS PGothic"/>
          <w:sz w:val="17"/>
          <w:szCs w:val="17"/>
          <w:color w:val="auto"/>
        </w:rPr>
        <w:t>‐</w:t>
      </w:r>
      <w:r>
        <w:rPr>
          <w:rFonts w:ascii="Arial" w:cs="Arial" w:eastAsia="Arial" w:hAnsi="Arial"/>
          <w:sz w:val="17"/>
          <w:szCs w:val="17"/>
          <w:color w:val="auto"/>
        </w:rPr>
        <w:t>term or long</w:t>
      </w:r>
      <w:r>
        <w:rPr>
          <w:rFonts w:ascii="MS PGothic" w:cs="MS PGothic" w:eastAsia="MS PGothic" w:hAnsi="MS PGothic"/>
          <w:sz w:val="17"/>
          <w:szCs w:val="17"/>
          <w:color w:val="auto"/>
        </w:rPr>
        <w:t>‐</w:t>
      </w:r>
      <w:r>
        <w:rPr>
          <w:rFonts w:ascii="Arial" w:cs="Arial" w:eastAsia="Arial" w:hAnsi="Arial"/>
          <w:sz w:val="17"/>
          <w:szCs w:val="17"/>
          <w:color w:val="auto"/>
        </w:rPr>
        <w:t>term capital gain or loss, depending on the length of time the recipient holds the shares.</w:t>
      </w:r>
    </w:p>
    <w:p>
      <w:pPr>
        <w:spacing w:after="0" w:line="233"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holder of RSUs does not recognize taxable income when the RSUs are granted. The recipient of the award generally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ordinary income in each year in which the units vest in an amount equal to the fair market value of the shares of common stock received. Any gain or loss recognized on a subsequent disposition of the shares of common stock generally will be short</w:t>
      </w:r>
      <w:r>
        <w:rPr>
          <w:rFonts w:ascii="MS PGothic" w:cs="MS PGothic" w:eastAsia="MS PGothic" w:hAnsi="MS PGothic"/>
          <w:sz w:val="18"/>
          <w:szCs w:val="18"/>
          <w:color w:val="auto"/>
        </w:rPr>
        <w:t>‐</w:t>
      </w:r>
      <w:r>
        <w:rPr>
          <w:rFonts w:ascii="Arial" w:cs="Arial" w:eastAsia="Arial" w:hAnsi="Arial"/>
          <w:sz w:val="18"/>
          <w:szCs w:val="18"/>
          <w:color w:val="auto"/>
        </w:rPr>
        <w:t>term or long</w:t>
      </w:r>
      <w:r>
        <w:rPr>
          <w:rFonts w:ascii="MS PGothic" w:cs="MS PGothic" w:eastAsia="MS PGothic" w:hAnsi="MS PGothic"/>
          <w:sz w:val="18"/>
          <w:szCs w:val="18"/>
          <w:color w:val="auto"/>
        </w:rPr>
        <w:t>‐</w:t>
      </w:r>
      <w:r>
        <w:rPr>
          <w:rFonts w:ascii="Arial" w:cs="Arial" w:eastAsia="Arial" w:hAnsi="Arial"/>
          <w:sz w:val="18"/>
          <w:szCs w:val="18"/>
          <w:color w:val="auto"/>
        </w:rPr>
        <w:t>term capital gain or loss, depending on the length of time the recipient holds the shares.</w:t>
      </w:r>
    </w:p>
    <w:p>
      <w:pPr>
        <w:spacing w:after="0" w:line="2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Other Awards</w:t>
      </w:r>
      <w:r>
        <w:rPr>
          <w:rFonts w:ascii="Arial" w:cs="Arial" w:eastAsia="Arial" w:hAnsi="Arial"/>
          <w:sz w:val="17"/>
          <w:szCs w:val="17"/>
          <w:color w:val="auto"/>
        </w:rPr>
        <w:t>. The grant of Restricted Stock Awards, Stock Bonus Awards and Performance Shares generally will generally not be a taxable</w:t>
      </w:r>
      <w:r>
        <w:rPr>
          <w:rFonts w:ascii="Arial" w:cs="Arial" w:eastAsia="Arial" w:hAnsi="Arial"/>
          <w:sz w:val="17"/>
          <w:szCs w:val="17"/>
          <w:i w:val="1"/>
          <w:iCs w:val="1"/>
          <w:color w:val="auto"/>
        </w:rPr>
        <w:t xml:space="preserve"> </w:t>
      </w:r>
      <w:r>
        <w:rPr>
          <w:rFonts w:ascii="Arial" w:cs="Arial" w:eastAsia="Arial" w:hAnsi="Arial"/>
          <w:sz w:val="17"/>
          <w:szCs w:val="17"/>
          <w:color w:val="auto"/>
        </w:rPr>
        <w:t>event. Generally, the recipient will recognize ordinary income equal to the excess of the fair market value over the price paid, if any, in the first taxable year in which his or her interest in the shares underlying the award becomes either (i) freely transferable or (ii) no longer subject to substantial risk of forfeiture (unless, with respect to an award of restricted stock, the recipient elects to accelerate recognition as of the date of grant).</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each of the foregoing cases, we will generally have a corresponding deduction at the time the participant recognizes ordinary income, subject to Section 162(m) of the Internal Revenue Code and the relevant income tax regulations. Section 162(m) places a limit of $1 million on the amount of compensation that we may deduct as a business expense in any year with respect to certain of our most highly paid executive officers. We may from time to time pay compensation to our executives that may not be deductible if the Compensation Committee believes that doing so is in the best interests of our stockholders.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ERISA Information. </w:t>
      </w:r>
      <w:r>
        <w:rPr>
          <w:rFonts w:ascii="Arial" w:cs="Arial" w:eastAsia="Arial" w:hAnsi="Arial"/>
          <w:sz w:val="18"/>
          <w:szCs w:val="18"/>
          <w:color w:val="auto"/>
        </w:rPr>
        <w:t>The Plan is not subject to the provisions of the Employee Retirement Income Security Act of 1974, as amended.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named executive officers and members of our Board of Directors have an interest in this proposal by virtue of them being eligible to receive equity awards under the Plan.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awards have been made under the Plan, and no awards have been granted that are contingent on the approval of the Plan. Awards under the Plan would be made at the discretion of the Compensation Committee or the Board of Directors. Therefore, the benefits and amounts that will be received or allocated under the Plan in the future are not determinable at this 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Currently, our non-employee directors are entitled to receive cash and equity compensation for their service as directors as described above under “</w:t>
      </w:r>
      <w:r>
        <w:rPr>
          <w:rFonts w:ascii="Arial" w:cs="Arial" w:eastAsia="Arial" w:hAnsi="Arial"/>
          <w:sz w:val="18"/>
          <w:szCs w:val="18"/>
          <w:i w:val="1"/>
          <w:iCs w:val="1"/>
          <w:color w:val="auto"/>
        </w:rPr>
        <w:t>—Director Compensation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our common stock that may be issued under our equity compensation plans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92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26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Number of securities to be issued</w:t>
            </w:r>
          </w:p>
        </w:tc>
        <w:tc>
          <w:tcPr>
            <w:tcW w:w="23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Weighted-average</w:t>
            </w:r>
          </w:p>
        </w:tc>
        <w:tc>
          <w:tcPr>
            <w:tcW w:w="2840" w:type="dxa"/>
            <w:vAlign w:val="bottom"/>
            <w:tcBorders>
              <w:top w:val="single" w:sz="8" w:color="auto"/>
            </w:tcBorders>
            <w:shd w:val="clear" w:color="auto" w:fill="D9D9D9"/>
          </w:tcPr>
          <w:p>
            <w:pPr>
              <w:jc w:val="center"/>
              <w:ind w:left="350"/>
              <w:spacing w:after="0"/>
              <w:rPr>
                <w:sz w:val="20"/>
                <w:szCs w:val="20"/>
                <w:color w:val="auto"/>
              </w:rPr>
            </w:pPr>
            <w:r>
              <w:rPr>
                <w:rFonts w:ascii="Arial" w:cs="Arial" w:eastAsia="Arial" w:hAnsi="Arial"/>
                <w:sz w:val="18"/>
                <w:szCs w:val="18"/>
                <w:b w:val="1"/>
                <w:bCs w:val="1"/>
                <w:color w:val="auto"/>
                <w:w w:val="89"/>
              </w:rPr>
              <w:t>Number of securities</w:t>
            </w:r>
          </w:p>
        </w:tc>
        <w:tc>
          <w:tcPr>
            <w:tcW w:w="480" w:type="dxa"/>
            <w:vAlign w:val="bottom"/>
            <w:tcBorders>
              <w:top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20" w:type="dxa"/>
            <w:vAlign w:val="bottom"/>
            <w:tcBorders>
              <w:left w:val="single" w:sz="8" w:color="auto"/>
              <w:right w:val="single" w:sz="8" w:color="auto"/>
            </w:tcBorders>
            <w:shd w:val="clear" w:color="auto" w:fill="D9D9D9"/>
          </w:tcPr>
          <w:p>
            <w:pPr>
              <w:spacing w:after="0"/>
              <w:rPr>
                <w:sz w:val="16"/>
                <w:szCs w:val="16"/>
                <w:color w:val="auto"/>
              </w:rPr>
            </w:pPr>
          </w:p>
        </w:tc>
        <w:tc>
          <w:tcPr>
            <w:tcW w:w="2620" w:type="dxa"/>
            <w:vAlign w:val="bottom"/>
            <w:tcBorders>
              <w:right w:val="single" w:sz="8" w:color="auto"/>
            </w:tcBorders>
            <w:vMerge w:val="continue"/>
            <w:shd w:val="clear" w:color="auto" w:fill="D9D9D9"/>
          </w:tcPr>
          <w:p>
            <w:pPr>
              <w:spacing w:after="0"/>
              <w:rPr>
                <w:sz w:val="16"/>
                <w:szCs w:val="16"/>
                <w:color w:val="auto"/>
              </w:rPr>
            </w:pPr>
          </w:p>
        </w:tc>
        <w:tc>
          <w:tcPr>
            <w:tcW w:w="23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87"/>
              </w:rPr>
              <w:t>exercise price of</w:t>
            </w:r>
          </w:p>
        </w:tc>
        <w:tc>
          <w:tcPr>
            <w:tcW w:w="2840" w:type="dxa"/>
            <w:vAlign w:val="bottom"/>
            <w:shd w:val="clear" w:color="auto" w:fill="D9D9D9"/>
          </w:tcPr>
          <w:p>
            <w:pPr>
              <w:jc w:val="center"/>
              <w:ind w:left="350"/>
              <w:spacing w:after="0" w:line="189" w:lineRule="exact"/>
              <w:rPr>
                <w:sz w:val="20"/>
                <w:szCs w:val="20"/>
                <w:color w:val="auto"/>
              </w:rPr>
            </w:pPr>
            <w:r>
              <w:rPr>
                <w:rFonts w:ascii="Arial" w:cs="Arial" w:eastAsia="Arial" w:hAnsi="Arial"/>
                <w:sz w:val="18"/>
                <w:szCs w:val="18"/>
                <w:b w:val="1"/>
                <w:bCs w:val="1"/>
                <w:color w:val="auto"/>
                <w:w w:val="91"/>
              </w:rPr>
              <w:t>remaining available for</w:t>
            </w:r>
          </w:p>
        </w:tc>
        <w:tc>
          <w:tcPr>
            <w:tcW w:w="48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tcBorders>
              <w:left w:val="single" w:sz="8" w:color="auto"/>
              <w:right w:val="single" w:sz="8" w:color="auto"/>
            </w:tcBorders>
            <w:shd w:val="clear" w:color="auto" w:fill="D9D9D9"/>
          </w:tcPr>
          <w:p>
            <w:pPr>
              <w:spacing w:after="0"/>
              <w:rPr>
                <w:sz w:val="17"/>
                <w:szCs w:val="17"/>
                <w:color w:val="auto"/>
              </w:rPr>
            </w:pPr>
          </w:p>
        </w:tc>
        <w:tc>
          <w:tcPr>
            <w:tcW w:w="262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87"/>
              </w:rPr>
              <w:t>upon exercise of outstanding</w:t>
            </w:r>
          </w:p>
        </w:tc>
        <w:tc>
          <w:tcPr>
            <w:tcW w:w="230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87"/>
              </w:rPr>
              <w:t>outstanding options,</w:t>
            </w:r>
          </w:p>
        </w:tc>
        <w:tc>
          <w:tcPr>
            <w:tcW w:w="2840" w:type="dxa"/>
            <w:vAlign w:val="bottom"/>
            <w:shd w:val="clear" w:color="auto" w:fill="D9D9D9"/>
          </w:tcPr>
          <w:p>
            <w:pPr>
              <w:jc w:val="center"/>
              <w:ind w:left="350"/>
              <w:spacing w:after="0" w:line="202" w:lineRule="exact"/>
              <w:rPr>
                <w:sz w:val="20"/>
                <w:szCs w:val="20"/>
                <w:color w:val="auto"/>
              </w:rPr>
            </w:pPr>
            <w:r>
              <w:rPr>
                <w:rFonts w:ascii="Arial" w:cs="Arial" w:eastAsia="Arial" w:hAnsi="Arial"/>
                <w:sz w:val="18"/>
                <w:szCs w:val="18"/>
                <w:b w:val="1"/>
                <w:bCs w:val="1"/>
                <w:color w:val="auto"/>
                <w:w w:val="89"/>
              </w:rPr>
              <w:t>future issuance under equity</w:t>
            </w:r>
          </w:p>
        </w:tc>
        <w:tc>
          <w:tcPr>
            <w:tcW w:w="48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Borders>
              <w:left w:val="single" w:sz="8" w:color="auto"/>
              <w:right w:val="single" w:sz="8" w:color="auto"/>
            </w:tcBorders>
            <w:shd w:val="clear" w:color="auto" w:fill="D9D9D9"/>
          </w:tcPr>
          <w:p>
            <w:pPr>
              <w:spacing w:after="0"/>
              <w:rPr>
                <w:sz w:val="17"/>
                <w:szCs w:val="17"/>
                <w:color w:val="auto"/>
              </w:rPr>
            </w:pPr>
          </w:p>
        </w:tc>
        <w:tc>
          <w:tcPr>
            <w:tcW w:w="262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89"/>
              </w:rPr>
              <w:t>options, warrants and rights</w:t>
            </w:r>
          </w:p>
        </w:tc>
        <w:tc>
          <w:tcPr>
            <w:tcW w:w="230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90"/>
              </w:rPr>
              <w:t>warrants and rights</w:t>
            </w:r>
          </w:p>
        </w:tc>
        <w:tc>
          <w:tcPr>
            <w:tcW w:w="3320" w:type="dxa"/>
            <w:vAlign w:val="bottom"/>
            <w:tcBorders>
              <w:right w:val="single" w:sz="8" w:color="auto"/>
            </w:tcBorders>
            <w:gridSpan w:val="2"/>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87"/>
              </w:rPr>
              <w:t>compensation plans (excluding</w:t>
            </w:r>
          </w:p>
        </w:tc>
        <w:tc>
          <w:tcPr>
            <w:tcW w:w="0" w:type="dxa"/>
            <w:vAlign w:val="bottom"/>
          </w:tcPr>
          <w:p>
            <w:pPr>
              <w:spacing w:after="0"/>
              <w:rPr>
                <w:sz w:val="1"/>
                <w:szCs w:val="1"/>
                <w:color w:val="auto"/>
              </w:rPr>
            </w:pPr>
          </w:p>
        </w:tc>
      </w:tr>
      <w:tr>
        <w:trPr>
          <w:trHeight w:val="241"/>
        </w:trPr>
        <w:tc>
          <w:tcPr>
            <w:tcW w:w="292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(a)</w:t>
            </w:r>
          </w:p>
        </w:tc>
        <w:tc>
          <w:tcPr>
            <w:tcW w:w="2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(1)</w:t>
            </w:r>
          </w:p>
        </w:tc>
        <w:tc>
          <w:tcPr>
            <w:tcW w:w="3320" w:type="dxa"/>
            <w:vAlign w:val="bottom"/>
            <w:tcBorders>
              <w:bottom w:val="single" w:sz="8" w:color="auto"/>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securities reflected in column (a))</w:t>
            </w:r>
          </w:p>
        </w:tc>
        <w:tc>
          <w:tcPr>
            <w:tcW w:w="0" w:type="dxa"/>
            <w:vAlign w:val="bottom"/>
          </w:tcPr>
          <w:p>
            <w:pPr>
              <w:spacing w:after="0"/>
              <w:rPr>
                <w:sz w:val="1"/>
                <w:szCs w:val="1"/>
                <w:color w:val="auto"/>
              </w:rPr>
            </w:pPr>
          </w:p>
        </w:tc>
      </w:tr>
      <w:tr>
        <w:trPr>
          <w:trHeight w:val="250"/>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 Category</w:t>
            </w:r>
          </w:p>
        </w:tc>
        <w:tc>
          <w:tcPr>
            <w:tcW w:w="26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Equity compensation plans approved</w:t>
            </w:r>
          </w:p>
        </w:tc>
        <w:tc>
          <w:tcPr>
            <w:tcW w:w="26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3,738,058 (2)</w:t>
            </w:r>
          </w:p>
        </w:tc>
        <w:tc>
          <w:tcPr>
            <w:tcW w:w="2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2840" w:type="dxa"/>
            <w:vAlign w:val="bottom"/>
          </w:tcPr>
          <w:p>
            <w:pPr>
              <w:jc w:val="right"/>
              <w:spacing w:after="0"/>
              <w:rPr>
                <w:sz w:val="20"/>
                <w:szCs w:val="20"/>
                <w:color w:val="auto"/>
              </w:rPr>
            </w:pPr>
            <w:r>
              <w:rPr>
                <w:rFonts w:ascii="Arial" w:cs="Arial" w:eastAsia="Arial" w:hAnsi="Arial"/>
                <w:sz w:val="18"/>
                <w:szCs w:val="18"/>
                <w:color w:val="auto"/>
              </w:rPr>
              <w:t>6,927,330</w:t>
            </w:r>
          </w:p>
        </w:tc>
        <w:tc>
          <w:tcPr>
            <w:tcW w:w="4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7"/>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by security holders</w:t>
            </w:r>
          </w:p>
        </w:tc>
        <w:tc>
          <w:tcPr>
            <w:tcW w:w="262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compensation plans not</w:t>
            </w:r>
          </w:p>
        </w:tc>
        <w:tc>
          <w:tcPr>
            <w:tcW w:w="262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approved by security holders</w:t>
            </w:r>
          </w:p>
        </w:tc>
        <w:tc>
          <w:tcPr>
            <w:tcW w:w="262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3,738,058</w:t>
            </w:r>
          </w:p>
        </w:tc>
        <w:tc>
          <w:tcPr>
            <w:tcW w:w="2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6,927,330</w:t>
            </w:r>
          </w:p>
        </w:tc>
        <w:tc>
          <w:tcPr>
            <w:tcW w:w="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0" w:right="240" w:hanging="492"/>
        <w:spacing w:after="0" w:line="250" w:lineRule="auto"/>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weighted-average exercise price does not reflect the shares that will be issued in connection with the settlement of performance stock units and restricted stock units, since such units have no exercise price.</w:t>
      </w:r>
    </w:p>
    <w:p>
      <w:pPr>
        <w:spacing w:after="0" w:line="1" w:lineRule="exact"/>
        <w:rPr>
          <w:rFonts w:ascii="Arial" w:cs="Arial" w:eastAsia="Arial" w:hAnsi="Arial"/>
          <w:sz w:val="18"/>
          <w:szCs w:val="18"/>
          <w:color w:val="auto"/>
        </w:rPr>
      </w:pPr>
    </w:p>
    <w:p>
      <w:pPr>
        <w:ind w:left="400" w:hanging="392"/>
        <w:spacing w:after="0" w:line="236" w:lineRule="auto"/>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purchase rights accruing under the ESPP.</w:t>
      </w:r>
    </w:p>
    <w:p>
      <w:pPr>
        <w:ind w:left="500" w:right="180" w:hanging="492"/>
        <w:spacing w:after="0" w:line="243" w:lineRule="auto"/>
        <w:tabs>
          <w:tab w:leader="none" w:pos="4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5,591,977 shares available for issuance under our 2008 Stock Plan and the Prior Plan, and 1,335,353 shares available for purchase under our ESPP.</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“FOR” the Approval of the Veracyte, Inc. 2023 Equity Incentive Plan.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ADOPTION OF AN AMENDMENT TO THE CURRENT CERTIFICATE IN ORDER TO DECLASSIFY OUR BOARD OF DIRECTORS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our current restated certificate of incorporation (the “Current Certificate”), the Board of Directors is divided into three classes, with members of each class holding office for staggered three-year terms. We are asking stockholders to adopt the Declassification Amendment in order to declassify the Board of Directors and provide for the annual election of directors, as well as to revise related provisions of the Current Certificate, as described below. The Declassification Amendment also reflects certain conforming, administrative and technical changes to the Current Certificate, including technical corrections to Article X. The Board of Directors has approved and adopted the proposed Declassification Amendment and declared it to be advisable and in the best interests of Veracyte and its stockholders, and recommends that the stockholders adopt the Declassification Amendment.</w:t>
      </w:r>
    </w:p>
    <w:p>
      <w:pPr>
        <w:spacing w:after="0" w:line="1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Article VI of the Current Certificate currently provides that the Board of Directors shall be divided into three classes, designated Class I, Class II and Class III, each to consist as nearly as possible of one third of the total number of directors, with the term of office of one class expiring each year and directors in each class being elected to three-year terms. If the proposed Declassification Amendment is adopted by our stockholders, it would implement a gradual declassification of the Board of Directors and provide for the annual election of directors for one-year terms, commencing upon the expiration of the directors’ current three-year terms. If adopted by the stockholders, the Declassification Amendment would first apply to directors standing for election beginning with the Annual Meeting of Stockholders to be held in 2024, and the declassification of the Board of Directors would be phased in over a period of three years. The Declassification Amendment would not shorten the existing terms of the Class II and Class III directors, or the terms of the Class I directors nominated for election at the Annual Meeting. Accordingly, directors who previously have been elected for three-year terms or portions thereof (including directors nominated for election at the Annual Meeting) will be entitled to complete those terms, and thereafter they or their successors would be elected for one-year terms at each annual meeting of stockholders. Beginning with the 2026 Annual Meeting the Board of Directors would cease to be classified and the entire Board of Directors would stand for election annually for one-year terms.</w:t>
      </w:r>
    </w:p>
    <w:p>
      <w:pPr>
        <w:spacing w:after="0" w:line="1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Delaware law provides that directors serving on boards of directors that are not classified may be removed for or without cause, whereas currently our directors can be removed only for cause since the Board of Directors is classified. The proposed Declassification Amendment would permit stockholders to remove directors elected for one-year terms with 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without cause. Directors in a class that is serving out the remainder of a three-year term would continue to be removable only for cause.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description of the proposed Declassification Amendment set forth above is qualified in its entirety by reference to the text of the proposed Declassification Amendment, which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Additions to the Current Certificate are indicated by underlining, and deletions to the Current Certificate are indicated by strike-outs.</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deciding to approve the Declassification Amendment and to recommend that the stockholders vote to adopt the Declassification Amendment, the Board of Directors considered the advantages and disadvantages of maintaining a classified board structure. A classified Board of Directors can benefit stockholders by: promoting continuity and stability of the Board of Directors; encouraging directors to take a long-term perspective; reducing Veracyte’s vulnerability to coercive takeover tactics and special interest groups that may not be acting in the best interests of all stockholders; and enhancing the independence of non-management directors by providing them with a longer term of office and insulating them against pressure from management or special interest groups. While the Board of Directors continues to believe that these are important benefits, the Board of Directors, based on feedback from stockholders, has also considered that a classified board structure may have the effect of reducing the accountability of directors to stockholders, and recognizes the benefit of providing stockholders an annual opportunity to express their satisfaction or dissatisfaction with the actions of the Board of Directors. In addition, the Board of Directors believes it is important for the Board of Directors to maintain stockholder confidence by demonstrating that it is responsive and accountable to stockholders and committed to strong corporate governance. Therefore, following consideration of the matter, and due to its belief that a declassified board structure provides more accountability to stockholders and promotes stronger corporate governance, the Board of Directors, on its own initiative, has adopted resolutions to approve the Declassification Amendment, to declare the Declassification Amendment advisable and in the best interests of Veracyte and its stockholders and to submit the Declassification Amendment to its stockholders for consideration.</w:t>
      </w:r>
    </w:p>
    <w:p>
      <w:pPr>
        <w:spacing w:after="0" w:line="1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its approval of the proposed Declassification Amendment, the Board of Directors has also approved amended and restated bylaws (the “Restated Bylaws”), which shall become effective following the effectiveness of the Declassification Amendment. The Restated Bylaws would, among other things, implement changes intended to conform the provisions thereof to the provisions of the Current Certificate, after giving effect to the Declassification Amendment. The Restated Bylaws do not require stockholder approval.</w:t>
      </w:r>
    </w:p>
    <w:p>
      <w:pPr>
        <w:spacing w:after="0" w:line="1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affirmative vote of at least 662∕3% of the voting power of all of the shares of our common stock outstanding as of the Record Date is required to adopt the Declassification Amendment. If our stockholders adopt the Declassification Amendment, the Board of Directors has authorized our officers to file a certificate of amendment that reflects the Declassification Amendment with the Delaware Secretary of State, and such certificate of amendment would become effective upon such filing. The Board of Directors intends to make that filing if and as soon as practicable after this proposal is approved at the Annual Meeting. However, even if our stockholders adopt the Declassification Amendment, the Board of Directors may abandon the Declassification Amendment without further stockholder action prior to the effectiveness of the filing of the certificate of amendment reflecting the Declassification Amendment with the Delaware Secretary of State and, if abandoned, the Declassification Amendment will not become effective. If the Board of Directors abandons Declassification Amendment, it will publicly disclose that fact and the reason for its determination.</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this proposal is not approved, or if the Board of Directors abandons the Declassification Amendment, then the Declassification Amendment will not be adopted, and the current classified structure of the Board of Directors, the Current Certificate and Veracyte’s current bylaws will remain in place. The approval of this proposal is not conditioned on the approval of any other proposal.</w:t>
      </w:r>
    </w:p>
    <w:p>
      <w:pPr>
        <w:spacing w:after="0" w:line="12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Board of Directors Recommends a Vote “FOR” Adoption of an Amendment to the Current Certificate in Order to Declassify our Board of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ADOPTION OF AN AMENDMENT TO THE CURRENT CERTIFICATE IN ORDER TO PERMIT THE EXCULPATION OF OFFICERS FROM PERSONAL LIABILITY FOR CERTAIN BREACHES OF THE DUTY OF CARE</w:t>
      </w:r>
    </w:p>
    <w:p>
      <w:pPr>
        <w:spacing w:after="0" w:line="11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Section 102(b)(7) of the Delaware General Corporation Law was amended effective August 1, 2022 to permit a Delaware corporation’s certificate of incorporation to include a provision that limits or eliminates (i.e., exculpates) the monetary liability of certain officers for breaches of the fiduciary duty of care as officers in certain actions. This exculpation would not protect such officers from liability for breach of the duty of loyalty, acts or omissions not in good faith or that involve intentional misconduct or a knowing violation of law, or any transaction in which the officer derived an improper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both"/>
        <w:spacing w:after="0" w:line="293" w:lineRule="auto"/>
        <w:rPr>
          <w:sz w:val="20"/>
          <w:szCs w:val="20"/>
          <w:color w:val="auto"/>
        </w:rPr>
      </w:pPr>
      <w:r>
        <w:rPr>
          <w:rFonts w:ascii="Arial" w:cs="Arial" w:eastAsia="Arial" w:hAnsi="Arial"/>
          <w:sz w:val="16"/>
          <w:szCs w:val="16"/>
          <w:color w:val="auto"/>
        </w:rPr>
        <w:t>personal benefit. Nor would this exculpation shield such officers from liability for claims brought by or in the right of the corporation, such as derivative claims. In addition, only certain officers may be exculpated from liability: (i) a corporation’s president, chief executive officer, chief operating officer, chief financial officer, chief legal officer, controller, treasurer or chief accounting officer; (ii) an individual identified in public filings as one of the most highly compensated officers of the corporation; and (iii) an individual who, by written agreement with the corporation, has consented to be identified as an officer for purposes of Delaware’s long-arm jurisdiction statute. The proposed amendment would eliminate the liability of these statutorily defined officers as described above, but will not be retroactive, and will not apply to any act or omission occurring prior to the effectiveness of the amendment.</w:t>
      </w:r>
    </w:p>
    <w:p>
      <w:pPr>
        <w:spacing w:after="0" w:line="11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Article VIII of the Current Certificate provides for the elimination of personal liability of our directors for monetary damages for breaches of the duty of care as directors. We are asking our stockholders to adopt the Officer Exculpation Amendment, which would provide for the elimination of personal liability of the above-mentioned officers from monetary damages for breaches of the duty of care as officers in certain actions, as described above.</w:t>
      </w:r>
    </w:p>
    <w:p>
      <w:pPr>
        <w:spacing w:after="0" w:line="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this proposal is not approved or is abandoned by the Board of Directors, then the Officer Exculpation Amendment will not become effective and Veracyte’s officers will continue to potentially face personal liability for breaches of the duty of care in all actions.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description of the Officer Exculpation Amendment as set forth above is qualified in its entirety by reference to the text of the Officer Exculpation Amendment, which is attached to this proxy statement as </w:t>
      </w:r>
      <w:r>
        <w:rPr>
          <w:rFonts w:ascii="Arial" w:cs="Arial" w:eastAsia="Arial" w:hAnsi="Arial"/>
          <w:sz w:val="18"/>
          <w:szCs w:val="18"/>
          <w:u w:val="single" w:color="auto"/>
          <w:color w:val="auto"/>
        </w:rPr>
        <w:t>Appendix C</w:t>
      </w:r>
      <w:r>
        <w:rPr>
          <w:rFonts w:ascii="Arial" w:cs="Arial" w:eastAsia="Arial" w:hAnsi="Arial"/>
          <w:sz w:val="18"/>
          <w:szCs w:val="18"/>
          <w:color w:val="auto"/>
        </w:rPr>
        <w:t>. Additions to the Current Certificate are indicated by underlining, and deletions to the Current Certificate are indicated by strikeouts.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has approved and adopted the Officer Exculpation Amendment, declared it to be advisable and in the best interests of Veracyte and its stockholders and recommended that the stockholders adopt the Officer Exculpation Amendment.</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Board of Directors believes that providing protection to officers to the fullest extent permitted by law is necessary to attract and retain highly qualified senior leadership, especially since we expect competitor companies to adopt similar exculpation clauses. The nature of the role of officers often requires them to make decisions on crucial matters often in time-sensitive situations, which can create risk of investigations, claims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and can benefit stockholders by encouraging appropriate risk taking that could result in greater innovation and growth. Exculpation could also reduce legal costs for Veracyte by discouraging lawsuits over matters covered by exculpation. This protection has long been afforded to directors, and the Board of Directors believes that extending similar exculpation to its officers is fair and in the best interests of Veracyte and its stockholders.</w:t>
      </w:r>
    </w:p>
    <w:p>
      <w:pPr>
        <w:spacing w:after="0" w:line="1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affirmative vote of at least 66 2/3% of the voting power of all of the shares of our common stock outstanding as of the Record Date is required to adopt the Officer Exculpation Amendment. If our stockholders adopt the Officer Exculpation Amendment, the Board of Directors has authorized our officers to file a certificate of amendment that reflects the Officer Exculpation Amendment with the Delaware Secretary of State, and such certificate of amendment would become effective upon such filing. The Board of Directors intends to make that filing if and as soon as practicable after this proposal is approved at the Annual Meeting. However, even if our stockholders adopt the Officer Exculpation Amendment, the Board of Directors may abandon the Officer Exculpation Amendment without further stockholder action prior to the effectiveness of the filing of the certificate of amendment reflecting the Officer Exculpation Amendment with the Delaware Secretary of State and, if abandoned, the Officer Exculpation Amendment will not become effective. If the Board of Directors abandons the Officer Exculpation Amendment, it will publicly disclose that fact and the reason for its determination. The approval of this proposal is not conditioned on the approval of any other proposal.</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Board of Directors Recommends a Vote “FOR” Adoption of an Amendment to the Current Certificate in Order to Permit the Exculpation of Officers from Personal Liability for Certain Breaches of the Duty of Care.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regarding the number of shares of common stock beneficially owned on March 31, 2023, by:</w:t>
      </w:r>
    </w:p>
    <w:p>
      <w:pPr>
        <w:spacing w:after="0" w:line="129"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Applicable percentage ownership is based on 72,383,016 shares of common stock outstanding at March 31, 2023. In computing the number of shares of common stock beneficially owned by a person and the percentage ownership of that person, we deemed outstanding shares of common stock subject to options and RSUs held by that person that are currently exercisable or settleable or exercisable or settleable within 60 days of March 31, 2023. We did not deem these shares outstanding, however, for the purpose of computing the percentage ownership of any other person.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set forth below, the address of each beneficial owner is 6000 Shoreline Court, Suite 300, South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94080.</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6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6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6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Beneficially</w:t>
            </w: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200"/>
        </w:trPr>
        <w:tc>
          <w:tcPr>
            <w:tcW w:w="620" w:type="dxa"/>
            <w:vAlign w:val="bottom"/>
          </w:tcPr>
          <w:p>
            <w:pPr>
              <w:spacing w:after="0"/>
              <w:rPr>
                <w:sz w:val="17"/>
                <w:szCs w:val="17"/>
                <w:color w:val="auto"/>
              </w:rPr>
            </w:pPr>
          </w:p>
        </w:tc>
        <w:tc>
          <w:tcPr>
            <w:tcW w:w="75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Address of Beneficial Owner</w:t>
            </w:r>
          </w:p>
        </w:tc>
        <w:tc>
          <w:tcPr>
            <w:tcW w:w="1460" w:type="dxa"/>
            <w:vAlign w:val="bottom"/>
          </w:tcPr>
          <w:p>
            <w:pPr>
              <w:jc w:val="center"/>
              <w:ind w:right="33"/>
              <w:spacing w:after="0"/>
              <w:rPr>
                <w:sz w:val="20"/>
                <w:szCs w:val="20"/>
                <w:color w:val="auto"/>
              </w:rPr>
            </w:pPr>
            <w:r>
              <w:rPr>
                <w:rFonts w:ascii="Arial" w:cs="Arial" w:eastAsia="Arial" w:hAnsi="Arial"/>
                <w:sz w:val="14"/>
                <w:szCs w:val="14"/>
                <w:b w:val="1"/>
                <w:bCs w:val="1"/>
                <w:color w:val="auto"/>
                <w:w w:val="97"/>
              </w:rPr>
              <w:t>Owned(1)</w:t>
            </w: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7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5% Stockholders:</w:t>
            </w: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758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ARK investment Management LLC (2)</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8,300,241</w:t>
            </w:r>
          </w:p>
        </w:tc>
        <w:tc>
          <w:tcPr>
            <w:tcW w:w="1360" w:type="dxa"/>
            <w:vAlign w:val="bottom"/>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Entities affiliated with The Vanguard Group (3)</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6,852,657</w:t>
            </w:r>
          </w:p>
        </w:tc>
        <w:tc>
          <w:tcPr>
            <w:tcW w:w="136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Wellington Management Group LLP (4)</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6,636,543</w:t>
            </w:r>
          </w:p>
        </w:tc>
        <w:tc>
          <w:tcPr>
            <w:tcW w:w="1360" w:type="dxa"/>
            <w:vAlign w:val="bottom"/>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Blackrock, Inc. (5)</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6,534,569</w:t>
            </w:r>
          </w:p>
        </w:tc>
        <w:tc>
          <w:tcPr>
            <w:tcW w:w="136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State Street Corporation (6)</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4,159,331</w:t>
            </w:r>
          </w:p>
        </w:tc>
        <w:tc>
          <w:tcPr>
            <w:tcW w:w="136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Entities affiliated with Artisan Partners Limited Partnership (7)</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3,761,031</w:t>
            </w:r>
          </w:p>
        </w:tc>
        <w:tc>
          <w:tcPr>
            <w:tcW w:w="136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485"/>
        </w:trPr>
        <w:tc>
          <w:tcPr>
            <w:tcW w:w="620" w:type="dxa"/>
            <w:vAlign w:val="bottom"/>
          </w:tcPr>
          <w:p>
            <w:pPr>
              <w:spacing w:after="0"/>
              <w:rPr>
                <w:sz w:val="24"/>
                <w:szCs w:val="24"/>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Bonnie H. Anderson (8)</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1,222,867</w:t>
            </w:r>
          </w:p>
        </w:tc>
        <w:tc>
          <w:tcPr>
            <w:tcW w:w="13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Marc Stapley (9)</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180,318</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Rebecca Chambers (10)</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50,360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Tina Nova (11)</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125,495</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Annie McGuire (12)</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15,861</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Giulia C. Kennedy (13)</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Eliav Barr</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John L. Bishop (14)</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93,720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Muna Bhanji (15)</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7,694</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Karin Eastham (16)</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78,720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Robert S. Epstein, M.D., M.S. (17)</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83,720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Evan Jones (18)</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175,106</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Jens Holstein (19)</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25,333</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58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(11 persons) (20)</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1,933,699</w:t>
            </w:r>
          </w:p>
        </w:tc>
        <w:tc>
          <w:tcPr>
            <w:tcW w:w="136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5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620" w:type="dxa"/>
            <w:vAlign w:val="bottom"/>
          </w:tcPr>
          <w:p>
            <w:pPr>
              <w:jc w:val="right"/>
              <w:ind w:right="450"/>
              <w:spacing w:after="0"/>
              <w:rPr>
                <w:sz w:val="20"/>
                <w:szCs w:val="20"/>
                <w:color w:val="auto"/>
              </w:rPr>
            </w:pPr>
            <w:r>
              <w:rPr>
                <w:rFonts w:ascii="Arial" w:cs="Arial" w:eastAsia="Arial" w:hAnsi="Arial"/>
                <w:sz w:val="18"/>
                <w:szCs w:val="18"/>
                <w:color w:val="auto"/>
                <w:w w:val="84"/>
              </w:rPr>
              <w:t>*</w:t>
            </w:r>
          </w:p>
        </w:tc>
        <w:tc>
          <w:tcPr>
            <w:tcW w:w="7580" w:type="dxa"/>
            <w:vAlign w:val="bottom"/>
            <w:gridSpan w:val="2"/>
          </w:tcPr>
          <w:p>
            <w:pPr>
              <w:ind w:left="60"/>
              <w:spacing w:after="0"/>
              <w:rPr>
                <w:sz w:val="20"/>
                <w:szCs w:val="20"/>
                <w:color w:val="auto"/>
              </w:rPr>
            </w:pPr>
            <w:r>
              <w:rPr>
                <w:rFonts w:ascii="Arial" w:cs="Arial" w:eastAsia="Arial" w:hAnsi="Arial"/>
                <w:sz w:val="18"/>
                <w:szCs w:val="18"/>
                <w:color w:val="auto"/>
              </w:rPr>
              <w:t>Less than 1%</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720" w:right="40" w:hanging="681"/>
        <w:spacing w:after="0" w:line="274"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Unless otherwise indicated, shares are owned of record and beneficially by the named person.</w:t>
      </w:r>
    </w:p>
    <w:p>
      <w:pPr>
        <w:spacing w:after="0" w:line="242" w:lineRule="exact"/>
        <w:rPr>
          <w:rFonts w:ascii="Arial" w:cs="Arial" w:eastAsia="Arial" w:hAnsi="Arial"/>
          <w:sz w:val="17"/>
          <w:szCs w:val="17"/>
          <w:color w:val="auto"/>
        </w:rPr>
      </w:pPr>
    </w:p>
    <w:p>
      <w:pPr>
        <w:jc w:val="both"/>
        <w:ind w:left="720" w:right="40" w:hanging="681"/>
        <w:spacing w:after="0" w:line="229"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a Schedule 13G filed on February 10, 2023, ARK Investment Management LLC has sole voting power with respect to 7,837,069 shares, shared voting power with respect to 463,172 shares and sole dispositive power with respect to 8,300,241 shares of our common stock. The address of ARK Investment Management LLC is 200 Central Avenue, ST. Petersburg, FL 33701.</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ind w:left="581" w:hanging="581"/>
        <w:spacing w:after="0" w:line="229"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a Schedule 13G filed on February 9, 2023, entities affiliated with The Vanguard Group have shared voting power with respect to 50,737 shares, sole dispositive power with respect to 6,734,271 shares, and shared dispositive power with respect 118,386 shares of our common stock. The address of The Vanguard Group is 100 Vanguard Blvd., Malvern, PA 19355.</w:t>
      </w:r>
    </w:p>
    <w:p>
      <w:pPr>
        <w:spacing w:after="0" w:line="96" w:lineRule="exact"/>
        <w:rPr>
          <w:rFonts w:ascii="Arial" w:cs="Arial" w:eastAsia="Arial" w:hAnsi="Arial"/>
          <w:sz w:val="18"/>
          <w:szCs w:val="18"/>
          <w:color w:val="auto"/>
        </w:rPr>
      </w:pPr>
    </w:p>
    <w:p>
      <w:pPr>
        <w:jc w:val="both"/>
        <w:ind w:left="581" w:hanging="581"/>
        <w:spacing w:after="0" w:line="229"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a Schedule 13G filed on February 6, 2023, Wellington Management Group LLP has shared voting power with respect to 5,766,760 shares and shared dispositive power with respect to 6,636,543 shares of our common stock. The address of Wellington Management Group LLP is 280 Congress Street, Boston, MA 02210.</w:t>
      </w:r>
    </w:p>
    <w:p>
      <w:pPr>
        <w:spacing w:after="0" w:line="96" w:lineRule="exact"/>
        <w:rPr>
          <w:rFonts w:ascii="Arial" w:cs="Arial" w:eastAsia="Arial" w:hAnsi="Arial"/>
          <w:sz w:val="18"/>
          <w:szCs w:val="18"/>
          <w:color w:val="auto"/>
        </w:rPr>
      </w:pPr>
    </w:p>
    <w:p>
      <w:pPr>
        <w:ind w:left="581" w:hanging="581"/>
        <w:spacing w:after="0" w:line="289" w:lineRule="auto"/>
        <w:tabs>
          <w:tab w:leader="none" w:pos="581"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a Schedule 13G filed on January 25, 2023, Blackrock, Inc. has sole voting power with respect to 6,278,047 shares and sole dispositive power with respect to 6,534,569 shares of our common stock. The address of Blackrock, Inc. is 55 East 52nd Street, New York, NY, 10055.</w:t>
      </w:r>
    </w:p>
    <w:p>
      <w:pPr>
        <w:spacing w:after="0" w:line="69" w:lineRule="exact"/>
        <w:rPr>
          <w:rFonts w:ascii="Arial" w:cs="Arial" w:eastAsia="Arial" w:hAnsi="Arial"/>
          <w:sz w:val="16"/>
          <w:szCs w:val="16"/>
          <w:color w:val="auto"/>
        </w:rPr>
      </w:pPr>
    </w:p>
    <w:p>
      <w:pPr>
        <w:jc w:val="both"/>
        <w:ind w:left="581" w:hanging="581"/>
        <w:spacing w:after="0" w:line="229"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a Schedule 13G filed on February 6, 2023, State Street Corporation has shared voting power with respect to 4,008,404 shares and shared dispositive power with respect to 4,159,331 shares of our common stock. The address of State Street Corporation is State Street Financial Center, One Lincoln Street Boston, MA 02111.</w:t>
      </w:r>
    </w:p>
    <w:p>
      <w:pPr>
        <w:spacing w:after="0" w:line="96" w:lineRule="exact"/>
        <w:rPr>
          <w:rFonts w:ascii="Arial" w:cs="Arial" w:eastAsia="Arial" w:hAnsi="Arial"/>
          <w:sz w:val="18"/>
          <w:szCs w:val="18"/>
          <w:color w:val="auto"/>
        </w:rPr>
      </w:pPr>
    </w:p>
    <w:p>
      <w:pPr>
        <w:jc w:val="both"/>
        <w:ind w:left="581" w:hanging="581"/>
        <w:spacing w:after="0" w:line="229"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a Schedule 13G filed on February 10, 2023, entities affiliated with Artisan Partners Limited Partnership have shared voting power with respect to 3,087,756 shares and shared dispositive power with respect 3,761,031 shares of our common stock. The address of Artisan Partners Limited Partnership is 875 East Wisconsin Avenue, Suite 800, Milwaukee, WI 53202.</w:t>
      </w:r>
    </w:p>
    <w:p>
      <w:pPr>
        <w:spacing w:after="0" w:line="96" w:lineRule="exact"/>
        <w:rPr>
          <w:rFonts w:ascii="Arial" w:cs="Arial" w:eastAsia="Arial" w:hAnsi="Arial"/>
          <w:sz w:val="18"/>
          <w:szCs w:val="18"/>
          <w:color w:val="auto"/>
        </w:rPr>
      </w:pPr>
    </w:p>
    <w:p>
      <w:pPr>
        <w:jc w:val="both"/>
        <w:ind w:left="581" w:hanging="581"/>
        <w:spacing w:after="0" w:line="229"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24,431 shares of our common stock held by Ms. Anderson, (ii) options to purchase 1,063,636 shares of our common stock held by Ms. Anderson that are exercisable within 60 days of March 31, 2023, and (iii) 134,800 shares of our common stock held by the Bonnie H. Anderson Living Trust.</w:t>
      </w:r>
    </w:p>
    <w:p>
      <w:pPr>
        <w:spacing w:after="0" w:line="96"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84,122 shares of our common stock held by Mr. Stapley, and (ii) options to purchase 96,196 shares of our common stock held by Mr. Stapley that are exercisable within 60 days of March 31, 2023.</w:t>
      </w:r>
    </w:p>
    <w:p>
      <w:pPr>
        <w:spacing w:after="0" w:line="107"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8,636 shares of our common stock held by Ms. Chambers, and (ii) options to purchase 41,724 shares of our common stock held by Ms. Chambers that are exercisable within 60 days of March 31, 2023.</w:t>
      </w:r>
    </w:p>
    <w:p>
      <w:pPr>
        <w:spacing w:after="0" w:line="107"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20,442 shares of our common stock held by Ms. Nova, and (ii) options to purchase 105,053 shares of our common stock held by Ms. Nova that are exercisable within 60 days of March 31, 2023.</w:t>
      </w:r>
    </w:p>
    <w:p>
      <w:pPr>
        <w:spacing w:after="0" w:line="107"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3,561 shares of our common stock held by Ms. McGuire, and (ii) options to purchase 12,300 shares of our common stock held by Ms. McGuire that are exercisable within 60 days of March 31, 2023.</w:t>
      </w:r>
    </w:p>
    <w:p>
      <w:pPr>
        <w:spacing w:after="0" w:line="107" w:lineRule="exact"/>
        <w:rPr>
          <w:rFonts w:ascii="Arial" w:cs="Arial" w:eastAsia="Arial" w:hAnsi="Arial"/>
          <w:sz w:val="18"/>
          <w:szCs w:val="18"/>
          <w:color w:val="auto"/>
        </w:rPr>
      </w:pPr>
    </w:p>
    <w:p>
      <w:pPr>
        <w:ind w:left="581" w:hanging="581"/>
        <w:spacing w:after="0"/>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Kennedy departed from the company effective December 31, 2022.</w:t>
      </w:r>
    </w:p>
    <w:p>
      <w:pPr>
        <w:spacing w:after="0" w:line="117"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8,720 shares of our common stock held by Mr. Bishop, and (ii) options to purchase 85,000 shares of our common stock held by Mr. Bishop that are exercisable within 60 days of March 31, 2023.</w:t>
      </w:r>
    </w:p>
    <w:p>
      <w:pPr>
        <w:spacing w:after="0" w:line="107" w:lineRule="exact"/>
        <w:rPr>
          <w:rFonts w:ascii="Arial" w:cs="Arial" w:eastAsia="Arial" w:hAnsi="Arial"/>
          <w:sz w:val="18"/>
          <w:szCs w:val="18"/>
          <w:color w:val="auto"/>
        </w:rPr>
      </w:pPr>
    </w:p>
    <w:p>
      <w:pPr>
        <w:ind w:left="581" w:hanging="581"/>
        <w:spacing w:after="0"/>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7,694 shares of our common stock held by Ms. Bhanji.</w:t>
      </w:r>
    </w:p>
    <w:p>
      <w:pPr>
        <w:spacing w:after="0" w:line="117"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8,720 shares of our common stock held by Ms. Eastham, and (ii) options to purchase 70,000 shares of our common stock held by Ms. Eastham that are exercisable within 60 days of March 31, 2023.</w:t>
      </w:r>
    </w:p>
    <w:p>
      <w:pPr>
        <w:spacing w:after="0" w:line="107"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8,720 shares of our common stock held by Mr. Epstein, and (ii) options to purchase 75,000 shares of our common stock held by Mr. Epstein that are exercisable within 60 days of March 31, 2023.</w:t>
      </w:r>
    </w:p>
    <w:p>
      <w:pPr>
        <w:spacing w:after="0" w:line="107" w:lineRule="exact"/>
        <w:rPr>
          <w:rFonts w:ascii="Arial" w:cs="Arial" w:eastAsia="Arial" w:hAnsi="Arial"/>
          <w:sz w:val="18"/>
          <w:szCs w:val="18"/>
          <w:color w:val="auto"/>
        </w:rPr>
      </w:pPr>
    </w:p>
    <w:p>
      <w:pPr>
        <w:jc w:val="both"/>
        <w:ind w:left="581" w:hanging="581"/>
        <w:spacing w:after="0" w:line="229"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35,453 shares of our common stock held by Mr. Jones, (ii) options to purchase 70,000 shares of our common stock held by Mr. Jones that are exercisable within 60 days of March 31, 2023, and (iii) 69,653 shares held by jVen Capital, LLC, of which Mr. Jones is Managing Member.</w:t>
      </w:r>
    </w:p>
    <w:p>
      <w:pPr>
        <w:spacing w:after="0" w:line="96"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2,000 shares of our common stock held by Mr. Holstein, and (ii) options to purchase 23,333 shares of our common stock held by Mr. Holstein that are exercisable within 60 days of March 31, 2023.</w:t>
      </w:r>
    </w:p>
    <w:p>
      <w:pPr>
        <w:spacing w:after="0" w:line="107"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396,510 shares of our common stock, and (ii) options to purchase 1,537,189 shares of our common stock that are exercisable within 60 days of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1"/>
          </w:cols>
          <w:pgMar w:left="359" w:top="935" w:right="379" w:bottom="1440" w:gutter="0" w:footer="0" w:header="0"/>
        </w:sectPr>
      </w:pPr>
    </w:p>
    <w:bookmarkStart w:id="40" w:name="page41"/>
    <w:bookmarkEnd w:id="40"/>
    <w:tbl>
      <w:tblPr>
        <w:tblLayout w:type="fixed"/>
        <w:tblInd w:w="1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40" w:type="dxa"/>
            <w:vAlign w:val="bottom"/>
          </w:tcPr>
          <w:p>
            <w:pPr>
              <w:ind w:left="80"/>
              <w:spacing w:after="0"/>
              <w:rPr>
                <w:sz w:val="20"/>
                <w:szCs w:val="20"/>
                <w:color w:val="auto"/>
              </w:rPr>
            </w:pPr>
            <w:r>
              <w:rPr>
                <w:rFonts w:ascii="Arial" w:cs="Arial" w:eastAsia="Arial" w:hAnsi="Arial"/>
                <w:sz w:val="18"/>
                <w:szCs w:val="18"/>
                <w:b w:val="1"/>
                <w:bCs w:val="1"/>
                <w:color w:val="auto"/>
              </w:rPr>
              <w:t>EXECUTIVE OFFICERS</w:t>
            </w: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color w:val="auto"/>
              </w:rPr>
              <w:t>The names of our executive officers, their ages and their positions as of April 10, 2023 are shown below:</w:t>
            </w:r>
          </w:p>
        </w:tc>
      </w:tr>
      <w:tr>
        <w:trPr>
          <w:trHeight w:val="243"/>
        </w:trPr>
        <w:tc>
          <w:tcPr>
            <w:tcW w:w="500" w:type="dxa"/>
            <w:vAlign w:val="bottom"/>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6040" w:type="dxa"/>
            <w:vAlign w:val="bottom"/>
            <w:tcBorders>
              <w:bottom w:val="single" w:sz="8" w:color="auto"/>
            </w:tcBorders>
          </w:tcPr>
          <w:p>
            <w:pPr>
              <w:spacing w:after="0"/>
              <w:rPr>
                <w:sz w:val="21"/>
                <w:szCs w:val="21"/>
                <w:color w:val="auto"/>
              </w:rPr>
            </w:pPr>
          </w:p>
        </w:tc>
      </w:tr>
      <w:tr>
        <w:trPr>
          <w:trHeight w:val="223"/>
        </w:trPr>
        <w:tc>
          <w:tcPr>
            <w:tcW w:w="500" w:type="dxa"/>
            <w:vAlign w:val="bottom"/>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42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w w:val="99"/>
              </w:rPr>
              <w:t>Age</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500" w:type="dxa"/>
            <w:vAlign w:val="bottom"/>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 Stapley</w:t>
            </w:r>
          </w:p>
        </w:tc>
        <w:tc>
          <w:tcPr>
            <w:tcW w:w="14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53</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Chief Executive Officer and Director</w:t>
            </w:r>
          </w:p>
        </w:tc>
      </w:tr>
      <w:tr>
        <w:trPr>
          <w:trHeight w:val="223"/>
        </w:trPr>
        <w:tc>
          <w:tcPr>
            <w:tcW w:w="500" w:type="dxa"/>
            <w:vAlign w:val="bottom"/>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Rebecca Chambers</w:t>
            </w:r>
          </w:p>
        </w:tc>
        <w:tc>
          <w:tcPr>
            <w:tcW w:w="14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45</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Chief Financial Officer</w:t>
            </w:r>
          </w:p>
        </w:tc>
      </w:tr>
      <w:tr>
        <w:trPr>
          <w:trHeight w:val="223"/>
        </w:trPr>
        <w:tc>
          <w:tcPr>
            <w:tcW w:w="500" w:type="dxa"/>
            <w:vAlign w:val="bottom"/>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Annie McGuire</w:t>
            </w:r>
          </w:p>
        </w:tc>
        <w:tc>
          <w:tcPr>
            <w:tcW w:w="14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43</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Executive Vice President, General Counsel and Chief People Officer</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regarding Mr. Stapley, please refer to “Proposal No. 1- Election of Directors.”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Rebecca Chambers </w:t>
      </w:r>
      <w:r>
        <w:rPr>
          <w:rFonts w:ascii="Arial" w:cs="Arial" w:eastAsia="Arial" w:hAnsi="Arial"/>
          <w:sz w:val="16"/>
          <w:szCs w:val="16"/>
          <w:color w:val="auto"/>
        </w:rPr>
        <w:t>has served as our Chief Financial Officer since July 2021. Ms. Chambers also leads our CLIA Operations team, helping to</w:t>
      </w:r>
      <w:r>
        <w:rPr>
          <w:rFonts w:ascii="Arial" w:cs="Arial" w:eastAsia="Arial" w:hAnsi="Arial"/>
          <w:sz w:val="16"/>
          <w:szCs w:val="16"/>
          <w:i w:val="1"/>
          <w:iCs w:val="1"/>
          <w:color w:val="auto"/>
        </w:rPr>
        <w:t xml:space="preserve"> </w:t>
      </w:r>
      <w:r>
        <w:rPr>
          <w:rFonts w:ascii="Arial" w:cs="Arial" w:eastAsia="Arial" w:hAnsi="Arial"/>
          <w:sz w:val="16"/>
          <w:szCs w:val="16"/>
          <w:color w:val="auto"/>
        </w:rPr>
        <w:t>drive execution and consistency across the Company’s three CLIA sites in the U.S. Prior to her appointment, Ms. Chambers served as Chief Financial Officer of Outset Medical, Inc., a medical technology company, from June 2019 to July 2021. Prior to that, Ms. Chambers served in a number of roles at Illumina, Inc., a genetic tools company, including as the Vice President, Financial Planning and Analysis from July 2017 to May 2019, as Vice President, Investor Relations and Treasury from April 2015 to June 2017, and as Senior Director, Investor Relations from October 2012 to April 2015. Previously, Ms. Chambers served as Head of Investor Relations and Corporate Communications at Myriad Genetics, Inc., a molecular diagnostic company, from January 2011 to October 2012, and Senior Manager, Investor Relations at Life Technologies, Inc., a biotechnology company, from May 2009 to December 2010. She also previously held positions with Bank of America, a financial services company, and Millennium Pharmaceuticals, a biopharmaceutical company. Ms. Chambers also currently serves on the board of Inari Medical, Inc., a medical device company focused on venous diseases. Ms. Chambers holds a B.S. from John Carroll University and an M.B.A. from The S.C. Johnson Graduate School of Management, Cornell University.</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Annie McGuire </w:t>
      </w:r>
      <w:r>
        <w:rPr>
          <w:rFonts w:ascii="Arial" w:cs="Arial" w:eastAsia="Arial" w:hAnsi="Arial"/>
          <w:sz w:val="18"/>
          <w:szCs w:val="18"/>
          <w:color w:val="auto"/>
        </w:rPr>
        <w:t>has served as our General Counsel since February 2022 and Chief People Officer since January 2023. Prior to joining us, Ms.</w:t>
      </w:r>
      <w:r>
        <w:rPr>
          <w:rFonts w:ascii="Arial" w:cs="Arial" w:eastAsia="Arial" w:hAnsi="Arial"/>
          <w:sz w:val="18"/>
          <w:szCs w:val="18"/>
          <w:i w:val="1"/>
          <w:iCs w:val="1"/>
          <w:color w:val="auto"/>
        </w:rPr>
        <w:t xml:space="preserve"> </w:t>
      </w:r>
      <w:r>
        <w:rPr>
          <w:rFonts w:ascii="Arial" w:cs="Arial" w:eastAsia="Arial" w:hAnsi="Arial"/>
          <w:sz w:val="18"/>
          <w:szCs w:val="18"/>
          <w:color w:val="auto"/>
        </w:rPr>
        <w:t>McGuire served as General Counsel and Corporate Secretary at Rakuten Medical, Inc., a biotechnology company developing cellular therapies, from April 2021 to February 2022. Ms. McGuire previously served as Vice President, Legal of MyoKardia, Inc., a biotechnology company, from August 2020 to April 2021, through its acquisition by Bristol Myers Squibb. Prior to MyoKardia, Ms. McGuire served in several senior legal positions including executive compensation, employment, M&amp;A and healthcare, as well as serving as the head of compliance for the bone health and cardiovascular business unit, at Amgen, Inc., a global biopharmaceutical company, from June 2007 to August 2020. Ms. McGuire began her career as an associate at the law firm Proskauer Rose LLP in New York and is admitted to the New York Bar. Ms. McGuire holds a Bachelor’s Degree from Pace University and a Juris Doctor from New York Law School.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3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Compensation Discussion and Analysis (“CD&amp;A”) provides an overview of our executive compensation philosophy, the objectives of our executive compensation program and each compensation component that we provide. In addition, we explain how and why our Compensation Committee arrived at specific compensation policies and decisions involving our named executive officers for the year ended December 31, 2022. This CD&amp;A is intended to be read in conjunction with the immediately following tables, which include historical context of pay.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 following executive officers constituted our Named Executive Officers (“NEOs”) for the year ended December 31, 2022:</w:t>
      </w:r>
    </w:p>
    <w:p>
      <w:pPr>
        <w:spacing w:after="0" w:line="356" w:lineRule="exact"/>
        <w:rPr>
          <w:sz w:val="20"/>
          <w:szCs w:val="20"/>
          <w:color w:val="auto"/>
        </w:rPr>
      </w:pPr>
    </w:p>
    <w:tbl>
      <w:tblPr>
        <w:tblLayout w:type="fixed"/>
        <w:tblInd w:w="620" w:type="dxa"/>
        <w:tblCellMar>
          <w:top w:w="0" w:type="dxa"/>
          <w:left w:w="0" w:type="dxa"/>
          <w:bottom w:w="0" w:type="dxa"/>
          <w:right w:w="0" w:type="dxa"/>
        </w:tblCellMar>
      </w:tblPr>
      <w:tr>
        <w:trPr>
          <w:trHeight w:val="243"/>
        </w:trPr>
        <w:tc>
          <w:tcPr>
            <w:tcW w:w="2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76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Stapley</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Chief Executive Officer and Director</w:t>
            </w:r>
          </w:p>
        </w:tc>
      </w:tr>
      <w:tr>
        <w:trPr>
          <w:trHeight w:val="25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Rebecca Chambers</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Chief Financial Officer</w:t>
            </w:r>
          </w:p>
        </w:tc>
      </w:tr>
      <w:tr>
        <w:trPr>
          <w:trHeight w:val="25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Giulia C. Kennedy (1)</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Former Global Chief Scientific Officer and Chief Medical Officer</w:t>
            </w:r>
          </w:p>
        </w:tc>
      </w:tr>
      <w:tr>
        <w:trPr>
          <w:trHeight w:val="223"/>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Annie McGuire (2)</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Executive Vice President, General Counsel and Chief People Officer</w:t>
            </w:r>
          </w:p>
        </w:tc>
      </w:tr>
      <w:tr>
        <w:trPr>
          <w:trHeight w:val="25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Tina Nova</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General Manager, Decipher Urologic Cancers</w:t>
            </w:r>
          </w:p>
        </w:tc>
      </w:tr>
    </w:tbl>
    <w:p>
      <w:pPr>
        <w:spacing w:after="0" w:line="98" w:lineRule="exact"/>
        <w:rPr>
          <w:sz w:val="20"/>
          <w:szCs w:val="20"/>
          <w:color w:val="auto"/>
        </w:rPr>
      </w:pPr>
    </w:p>
    <w:p>
      <w:pPr>
        <w:ind w:left="860" w:hanging="233"/>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Ms. Kennedy departed from the company effective December 31, 2022.</w:t>
      </w:r>
    </w:p>
    <w:p>
      <w:pPr>
        <w:spacing w:after="0" w:line="32" w:lineRule="exact"/>
        <w:rPr>
          <w:rFonts w:ascii="Arial" w:cs="Arial" w:eastAsia="Arial" w:hAnsi="Arial"/>
          <w:sz w:val="16"/>
          <w:szCs w:val="16"/>
          <w:color w:val="auto"/>
        </w:rPr>
      </w:pPr>
    </w:p>
    <w:p>
      <w:pPr>
        <w:ind w:left="860" w:hanging="233"/>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Ms. McGuire was hired as General Counsel in February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2022, we continued our strong performance through exceptional execution on the top line and bottom line through disciplined financial and budget management. We have also continued to build executive depth under the stewardship of our CEO, Marc Stapley. In 2022, we broadened the role of our CFO, Rebecca Chambers, as she took on additional operational responsibilities to drive efficiency and financial discipline across our global business. We also added Annie McGuire as our General Counsel in February 2022 and have expanded her role as our Chief People Officer in January 2023. This coupled with our strong development capabilities has led to new innovative offerings and testing which is poised to drive growth ahead. We are proud of our accomplishments during 2022 including how our leaders have continued to navigate the global economic markets and ongoing uncertainty in the healthcare markets.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financial and operational highlights of 2022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177800</wp:posOffset>
            </wp:positionV>
            <wp:extent cx="411480"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$296.5 million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(increase of 35% over 2021)</w:t>
      </w:r>
    </w:p>
    <w:p>
      <w:pPr>
        <w:spacing w:after="0" w:line="27" w:lineRule="exact"/>
        <w:rPr>
          <w:sz w:val="20"/>
          <w:szCs w:val="20"/>
          <w:color w:val="auto"/>
        </w:rPr>
      </w:pPr>
    </w:p>
    <w:p>
      <w:pPr>
        <w:ind w:left="2060" w:hanging="320"/>
        <w:spacing w:after="0"/>
        <w:tabs>
          <w:tab w:leader="none" w:pos="2060" w:val="left"/>
        </w:tabs>
        <w:numPr>
          <w:ilvl w:val="0"/>
          <w:numId w:val="28"/>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Testing Revenue: </w:t>
      </w:r>
      <w:r>
        <w:rPr>
          <w:rFonts w:ascii="Arial" w:cs="Arial" w:eastAsia="Arial" w:hAnsi="Arial"/>
          <w:sz w:val="18"/>
          <w:szCs w:val="18"/>
          <w:color w:val="auto"/>
        </w:rPr>
        <w:t>$250.5 million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(increase of 33% over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100330</wp:posOffset>
            </wp:positionV>
            <wp:extent cx="6249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49035" cy="8890"/>
                    </a:xfrm>
                    <a:prstGeom prst="rect">
                      <a:avLst/>
                    </a:prstGeom>
                    <a:noFill/>
                  </pic:spPr>
                </pic:pic>
              </a:graphicData>
            </a:graphic>
          </wp:anchor>
        </w:drawing>
      </w:r>
    </w:p>
    <w:p>
      <w:pPr>
        <w:spacing w:after="0" w:line="16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Contributions from the acquisitions of Decipher and HalioDx</w:t>
      </w:r>
      <w:r>
        <w:rPr>
          <w:rFonts w:ascii="Arial" w:cs="Arial" w:eastAsia="Arial" w:hAnsi="Arial"/>
          <w:sz w:val="18"/>
          <w:szCs w:val="18"/>
          <w:color w:val="auto"/>
        </w:rPr>
        <w:t>,</w:t>
      </w:r>
    </w:p>
    <w:p>
      <w:pPr>
        <w:spacing w:after="0" w:line="256" w:lineRule="exact"/>
        <w:rPr>
          <w:sz w:val="20"/>
          <w:szCs w:val="20"/>
          <w:color w:val="auto"/>
        </w:rPr>
      </w:pPr>
    </w:p>
    <w:p>
      <w:pPr>
        <w:jc w:val="both"/>
        <w:ind w:left="1420" w:right="20"/>
        <w:spacing w:after="0" w:line="249" w:lineRule="auto"/>
        <w:rPr>
          <w:sz w:val="20"/>
          <w:szCs w:val="20"/>
          <w:color w:val="auto"/>
        </w:rPr>
      </w:pPr>
      <w:r>
        <w:rPr>
          <w:rFonts w:ascii="Arial" w:cs="Arial" w:eastAsia="Arial" w:hAnsi="Arial"/>
          <w:sz w:val="18"/>
          <w:szCs w:val="18"/>
          <w:color w:val="auto"/>
        </w:rPr>
        <w:t>The Decipher acquisition expanded our genomic testing menu into urologic cancers and provides us with the Decipher GRID (Genomic Resource for Intelligent Discovery), a platform and database that helps drive biopharmaceutical partnerships, KOL engagement and pipeline development in urologic cancers. We have continually expanded our GRID research use only product and data through collaboration with key healthcare professionals and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-124460</wp:posOffset>
            </wp:positionV>
            <wp:extent cx="411480" cy="411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188" w:lineRule="exact"/>
        <w:rPr>
          <w:sz w:val="20"/>
          <w:szCs w:val="20"/>
          <w:color w:val="auto"/>
        </w:rPr>
      </w:pPr>
    </w:p>
    <w:p>
      <w:pPr>
        <w:jc w:val="both"/>
        <w:ind w:left="1420" w:right="20"/>
        <w:spacing w:after="0" w:line="261" w:lineRule="auto"/>
        <w:rPr>
          <w:sz w:val="20"/>
          <w:szCs w:val="20"/>
          <w:color w:val="auto"/>
        </w:rPr>
      </w:pPr>
      <w:r>
        <w:rPr>
          <w:rFonts w:ascii="Arial" w:cs="Arial" w:eastAsia="Arial" w:hAnsi="Arial"/>
          <w:sz w:val="17"/>
          <w:szCs w:val="17"/>
          <w:color w:val="auto"/>
        </w:rPr>
        <w:t>The HalioDx acquisition brought us the capabilities and expertise to develop and manufacture our own IVD test kits for use on the nCounter Analysis System, and deepened our scientific expertise into the rapidly growing area of immuno-oncology, particularly as it relates to our biopharma business opportunities. Our offerings to our biopharma partners are bolstered by the HalioDx acquisition as our partners focus on the implications of the tumor microenvironment using tools such as Immunoscore IC, Immunosign, our Brightplex technology, and our Veracyte Biopharma Atlas reference database to inform their drug development programs. Immunogram, our multi-modal platform, provides a comprehensive understanding of the tumor immune microenvironment by seamlessly integrating data from a variety of genomic, transcriptomic, and proteomic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-635</wp:posOffset>
            </wp:positionV>
            <wp:extent cx="62490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10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Grew test volume </w:t>
      </w:r>
      <w:r>
        <w:rPr>
          <w:rFonts w:ascii="Arial" w:cs="Arial" w:eastAsia="Arial" w:hAnsi="Arial"/>
          <w:sz w:val="18"/>
          <w:szCs w:val="18"/>
          <w:color w:val="auto"/>
        </w:rPr>
        <w:t>to 102,524 in 2022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(increase of 30% over 2021)</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Published multiple </w:t>
      </w:r>
      <w:r>
        <w:rPr>
          <w:rFonts w:ascii="Arial" w:cs="Arial" w:eastAsia="Arial" w:hAnsi="Arial"/>
          <w:sz w:val="18"/>
          <w:szCs w:val="18"/>
          <w:b w:val="1"/>
          <w:bCs w:val="1"/>
          <w:color w:val="auto"/>
        </w:rPr>
        <w:t>clinical studies</w:t>
      </w:r>
      <w:r>
        <w:rPr>
          <w:rFonts w:ascii="Arial" w:cs="Arial" w:eastAsia="Arial" w:hAnsi="Arial"/>
          <w:sz w:val="18"/>
          <w:szCs w:val="18"/>
          <w:color w:val="auto"/>
        </w:rPr>
        <w:t xml:space="preserve"> for the Decipher, Afirma, Percepta and Envisia genomic classifiers.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-127635</wp:posOffset>
            </wp:positionV>
            <wp:extent cx="41148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43" w:lineRule="exact"/>
        <w:rPr>
          <w:sz w:val="20"/>
          <w:szCs w:val="20"/>
          <w:color w:val="auto"/>
        </w:rPr>
      </w:pPr>
    </w:p>
    <w:p>
      <w:pPr>
        <w:jc w:val="both"/>
        <w:ind w:left="1420" w:right="40"/>
        <w:spacing w:after="0" w:line="282" w:lineRule="auto"/>
        <w:rPr>
          <w:sz w:val="20"/>
          <w:szCs w:val="20"/>
          <w:color w:val="auto"/>
        </w:rPr>
      </w:pPr>
      <w:r>
        <w:rPr>
          <w:rFonts w:ascii="Arial" w:cs="Arial" w:eastAsia="Arial" w:hAnsi="Arial"/>
          <w:sz w:val="18"/>
          <w:szCs w:val="18"/>
          <w:color w:val="auto"/>
        </w:rPr>
        <w:t xml:space="preserve">Broadened the </w:t>
      </w:r>
      <w:r>
        <w:rPr>
          <w:rFonts w:ascii="Arial" w:cs="Arial" w:eastAsia="Arial" w:hAnsi="Arial"/>
          <w:sz w:val="18"/>
          <w:szCs w:val="18"/>
          <w:b w:val="1"/>
          <w:bCs w:val="1"/>
          <w:color w:val="auto"/>
        </w:rPr>
        <w:t>clinical evidence</w:t>
      </w:r>
      <w:r>
        <w:rPr>
          <w:rFonts w:ascii="Arial" w:cs="Arial" w:eastAsia="Arial" w:hAnsi="Arial"/>
          <w:sz w:val="18"/>
          <w:szCs w:val="18"/>
          <w:color w:val="auto"/>
        </w:rPr>
        <w:t xml:space="preserve"> for the Decipher Prostate Genomic Classifier and received the highest level of evidence (Level 1) for validation in the NCCN Guidelines.</w:t>
      </w:r>
    </w:p>
    <w:p>
      <w:pPr>
        <w:spacing w:after="0" w:line="4" w:lineRule="exact"/>
        <w:rPr>
          <w:sz w:val="20"/>
          <w:szCs w:val="20"/>
          <w:color w:val="auto"/>
        </w:rPr>
      </w:pPr>
    </w:p>
    <w:p>
      <w:pPr>
        <w:jc w:val="both"/>
        <w:ind w:left="1420" w:right="20"/>
        <w:spacing w:after="0" w:line="277" w:lineRule="auto"/>
        <w:rPr>
          <w:sz w:val="20"/>
          <w:szCs w:val="20"/>
          <w:color w:val="auto"/>
        </w:rPr>
      </w:pPr>
      <w:r>
        <w:rPr>
          <w:rFonts w:ascii="Arial" w:cs="Arial" w:eastAsia="Arial" w:hAnsi="Arial"/>
          <w:sz w:val="18"/>
          <w:szCs w:val="18"/>
          <w:color w:val="auto"/>
        </w:rPr>
        <w:t>Continued enrolling the Percepta Nasal Swab test for improved early detection of lung cancer through the Nightingale clinical utility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Pay Program Overview</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design and structure of our pay program, and, in particular our incentive plans, support our business strategy and organizational objectives while successfully aligning executive focus and interest with that of stockholders. Our compensation programs are designed to reward our executives for superior short- and long-term performance. All pay elements, and the safeguards and governance features of the program, have been carefully chosen and implemented to align with our pay philosophy and objectives.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doing so, our Compensation Committee uses the following framework to achieve these objectives:</w:t>
      </w:r>
    </w:p>
    <w:p>
      <w:pPr>
        <w:spacing w:after="0" w:line="138" w:lineRule="exact"/>
        <w:rPr>
          <w:sz w:val="20"/>
          <w:szCs w:val="20"/>
          <w:color w:val="auto"/>
        </w:rPr>
      </w:pPr>
    </w:p>
    <w:tbl>
      <w:tblPr>
        <w:tblLayout w:type="fixed"/>
        <w:tblInd w:w="350" w:type="dxa"/>
        <w:tblCellMar>
          <w:top w:w="0" w:type="dxa"/>
          <w:left w:w="0" w:type="dxa"/>
          <w:bottom w:w="0" w:type="dxa"/>
          <w:right w:w="0" w:type="dxa"/>
        </w:tblCellMar>
      </w:tblPr>
      <w:tr>
        <w:trPr>
          <w:trHeight w:val="229"/>
        </w:trPr>
        <w:tc>
          <w:tcPr>
            <w:tcW w:w="20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Base Salary</w:t>
            </w:r>
          </w:p>
        </w:tc>
        <w:tc>
          <w:tcPr>
            <w:tcW w:w="7640" w:type="dxa"/>
            <w:vAlign w:val="bottom"/>
            <w:tcBorders>
              <w:top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5"/>
              </w:rPr>
              <w:t>•   Base salaries are set to be competitive within our industry and are important in attracting and</w:t>
            </w:r>
          </w:p>
        </w:tc>
        <w:tc>
          <w:tcPr>
            <w:tcW w:w="0" w:type="dxa"/>
            <w:vAlign w:val="bottom"/>
          </w:tcPr>
          <w:p>
            <w:pPr>
              <w:spacing w:after="0"/>
              <w:rPr>
                <w:sz w:val="1"/>
                <w:szCs w:val="1"/>
                <w:color w:val="auto"/>
              </w:rPr>
            </w:pPr>
          </w:p>
        </w:tc>
      </w:tr>
      <w:tr>
        <w:trPr>
          <w:trHeight w:val="230"/>
        </w:trPr>
        <w:tc>
          <w:tcPr>
            <w:tcW w:w="2020" w:type="dxa"/>
            <w:vAlign w:val="bottom"/>
            <w:tcBorders>
              <w:left w:val="single" w:sz="8" w:color="auto"/>
              <w:right w:val="single" w:sz="8" w:color="auto"/>
            </w:tcBorders>
            <w:vMerge w:val="continue"/>
          </w:tcPr>
          <w:p>
            <w:pPr>
              <w:spacing w:after="0"/>
              <w:rPr>
                <w:sz w:val="20"/>
                <w:szCs w:val="20"/>
                <w:color w:val="auto"/>
              </w:rPr>
            </w:pPr>
          </w:p>
        </w:tc>
        <w:tc>
          <w:tcPr>
            <w:tcW w:w="764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retaining talented executives.</w:t>
            </w:r>
          </w:p>
        </w:tc>
        <w:tc>
          <w:tcPr>
            <w:tcW w:w="0" w:type="dxa"/>
            <w:vAlign w:val="bottom"/>
          </w:tcPr>
          <w:p>
            <w:pPr>
              <w:spacing w:after="0"/>
              <w:rPr>
                <w:sz w:val="1"/>
                <w:szCs w:val="1"/>
                <w:color w:val="auto"/>
              </w:rPr>
            </w:pPr>
          </w:p>
        </w:tc>
      </w:tr>
      <w:tr>
        <w:trPr>
          <w:trHeight w:val="242"/>
        </w:trPr>
        <w:tc>
          <w:tcPr>
            <w:tcW w:w="2020" w:type="dxa"/>
            <w:vAlign w:val="bottom"/>
            <w:tcBorders>
              <w:left w:val="single" w:sz="8" w:color="auto"/>
              <w:right w:val="single" w:sz="8" w:color="auto"/>
            </w:tcBorders>
          </w:tcPr>
          <w:p>
            <w:pPr>
              <w:spacing w:after="0"/>
              <w:rPr>
                <w:sz w:val="21"/>
                <w:szCs w:val="21"/>
                <w:color w:val="auto"/>
              </w:rPr>
            </w:pPr>
          </w:p>
        </w:tc>
        <w:tc>
          <w:tcPr>
            <w:tcW w:w="76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7"/>
              </w:rPr>
              <w:t>•   Base salaries are fixed pay set with consideration for responsibilities, experience, individual</w:t>
            </w:r>
          </w:p>
        </w:tc>
        <w:tc>
          <w:tcPr>
            <w:tcW w:w="0" w:type="dxa"/>
            <w:vAlign w:val="bottom"/>
          </w:tcPr>
          <w:p>
            <w:pPr>
              <w:spacing w:after="0"/>
              <w:rPr>
                <w:sz w:val="1"/>
                <w:szCs w:val="1"/>
                <w:color w:val="auto"/>
              </w:rPr>
            </w:pPr>
          </w:p>
        </w:tc>
      </w:tr>
      <w:tr>
        <w:trPr>
          <w:trHeight w:val="230"/>
        </w:trPr>
        <w:tc>
          <w:tcPr>
            <w:tcW w:w="2020" w:type="dxa"/>
            <w:vAlign w:val="bottom"/>
            <w:tcBorders>
              <w:left w:val="single" w:sz="8" w:color="auto"/>
              <w:right w:val="single" w:sz="8" w:color="auto"/>
            </w:tcBorders>
          </w:tcPr>
          <w:p>
            <w:pPr>
              <w:spacing w:after="0"/>
              <w:rPr>
                <w:sz w:val="20"/>
                <w:szCs w:val="20"/>
                <w:color w:val="auto"/>
              </w:rPr>
            </w:pPr>
          </w:p>
        </w:tc>
        <w:tc>
          <w:tcPr>
            <w:tcW w:w="764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contribution expectations and market data.</w:t>
            </w:r>
          </w:p>
        </w:tc>
        <w:tc>
          <w:tcPr>
            <w:tcW w:w="0" w:type="dxa"/>
            <w:vAlign w:val="bottom"/>
          </w:tcPr>
          <w:p>
            <w:pPr>
              <w:spacing w:after="0"/>
              <w:rPr>
                <w:sz w:val="1"/>
                <w:szCs w:val="1"/>
                <w:color w:val="auto"/>
              </w:rPr>
            </w:pPr>
          </w:p>
        </w:tc>
      </w:tr>
      <w:tr>
        <w:trPr>
          <w:trHeight w:val="68"/>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764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w w:val="96"/>
              </w:rPr>
              <w:t>Annual Cash Incentives</w:t>
            </w:r>
          </w:p>
        </w:tc>
        <w:tc>
          <w:tcPr>
            <w:tcW w:w="76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2"/>
              </w:rPr>
              <w:t>•   The annual cash incentive award plan is intended to motivate and reward our executives for the</w:t>
            </w:r>
          </w:p>
        </w:tc>
        <w:tc>
          <w:tcPr>
            <w:tcW w:w="0" w:type="dxa"/>
            <w:vAlign w:val="bottom"/>
          </w:tcPr>
          <w:p>
            <w:pPr>
              <w:spacing w:after="0"/>
              <w:rPr>
                <w:sz w:val="1"/>
                <w:szCs w:val="1"/>
                <w:color w:val="auto"/>
              </w:rPr>
            </w:pPr>
          </w:p>
        </w:tc>
      </w:tr>
      <w:tr>
        <w:trPr>
          <w:trHeight w:val="230"/>
        </w:trPr>
        <w:tc>
          <w:tcPr>
            <w:tcW w:w="2020" w:type="dxa"/>
            <w:vAlign w:val="bottom"/>
            <w:tcBorders>
              <w:left w:val="single" w:sz="8" w:color="auto"/>
              <w:right w:val="single" w:sz="8" w:color="auto"/>
            </w:tcBorders>
            <w:vMerge w:val="continue"/>
          </w:tcPr>
          <w:p>
            <w:pPr>
              <w:spacing w:after="0"/>
              <w:rPr>
                <w:sz w:val="20"/>
                <w:szCs w:val="20"/>
                <w:color w:val="auto"/>
              </w:rPr>
            </w:pPr>
          </w:p>
        </w:tc>
        <w:tc>
          <w:tcPr>
            <w:tcW w:w="764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achievement of certain strategic goals of Veracyte set by our Board of Directors.</w:t>
            </w:r>
          </w:p>
        </w:tc>
        <w:tc>
          <w:tcPr>
            <w:tcW w:w="0" w:type="dxa"/>
            <w:vAlign w:val="bottom"/>
          </w:tcPr>
          <w:p>
            <w:pPr>
              <w:spacing w:after="0"/>
              <w:rPr>
                <w:sz w:val="1"/>
                <w:szCs w:val="1"/>
                <w:color w:val="auto"/>
              </w:rPr>
            </w:pPr>
          </w:p>
        </w:tc>
      </w:tr>
      <w:tr>
        <w:trPr>
          <w:trHeight w:val="242"/>
        </w:trPr>
        <w:tc>
          <w:tcPr>
            <w:tcW w:w="2020" w:type="dxa"/>
            <w:vAlign w:val="bottom"/>
            <w:tcBorders>
              <w:left w:val="single" w:sz="8" w:color="auto"/>
              <w:right w:val="single" w:sz="8" w:color="auto"/>
            </w:tcBorders>
          </w:tcPr>
          <w:p>
            <w:pPr>
              <w:spacing w:after="0"/>
              <w:rPr>
                <w:sz w:val="21"/>
                <w:szCs w:val="21"/>
                <w:color w:val="auto"/>
              </w:rPr>
            </w:pPr>
          </w:p>
        </w:tc>
        <w:tc>
          <w:tcPr>
            <w:tcW w:w="76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9"/>
              </w:rPr>
              <w:t>•   In 2022, our annual incentives were based on key corporate objectives, including product</w:t>
            </w:r>
          </w:p>
        </w:tc>
        <w:tc>
          <w:tcPr>
            <w:tcW w:w="0" w:type="dxa"/>
            <w:vAlign w:val="bottom"/>
          </w:tcPr>
          <w:p>
            <w:pPr>
              <w:spacing w:after="0"/>
              <w:rPr>
                <w:sz w:val="1"/>
                <w:szCs w:val="1"/>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gridSpan w:val="2"/>
          </w:tcPr>
          <w:p>
            <w:pPr>
              <w:ind w:left="660"/>
              <w:spacing w:after="0" w:line="202" w:lineRule="exact"/>
              <w:rPr>
                <w:sz w:val="20"/>
                <w:szCs w:val="20"/>
                <w:color w:val="auto"/>
              </w:rPr>
            </w:pPr>
            <w:r>
              <w:rPr>
                <w:rFonts w:ascii="Arial" w:cs="Arial" w:eastAsia="Arial" w:hAnsi="Arial"/>
                <w:sz w:val="18"/>
                <w:szCs w:val="18"/>
                <w:color w:val="auto"/>
                <w:w w:val="98"/>
              </w:rPr>
              <w:t>revenue, cash flow from operations, and advancement of our product portfolio as well as</w:t>
            </w:r>
          </w:p>
        </w:tc>
        <w:tc>
          <w:tcPr>
            <w:tcW w:w="0" w:type="dxa"/>
            <w:vAlign w:val="bottom"/>
          </w:tcPr>
          <w:p>
            <w:pPr>
              <w:spacing w:after="0"/>
              <w:rPr>
                <w:sz w:val="1"/>
                <w:szCs w:val="1"/>
                <w:color w:val="auto"/>
              </w:rPr>
            </w:pPr>
          </w:p>
        </w:tc>
      </w:tr>
      <w:tr>
        <w:trPr>
          <w:trHeight w:val="230"/>
        </w:trPr>
        <w:tc>
          <w:tcPr>
            <w:tcW w:w="2020" w:type="dxa"/>
            <w:vAlign w:val="bottom"/>
            <w:tcBorders>
              <w:left w:val="single" w:sz="8" w:color="auto"/>
              <w:right w:val="single" w:sz="8" w:color="auto"/>
            </w:tcBorders>
          </w:tcPr>
          <w:p>
            <w:pPr>
              <w:spacing w:after="0"/>
              <w:rPr>
                <w:sz w:val="20"/>
                <w:szCs w:val="20"/>
                <w:color w:val="auto"/>
              </w:rPr>
            </w:pPr>
          </w:p>
        </w:tc>
        <w:tc>
          <w:tcPr>
            <w:tcW w:w="764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individual contributions.</w:t>
            </w:r>
          </w:p>
        </w:tc>
        <w:tc>
          <w:tcPr>
            <w:tcW w:w="0" w:type="dxa"/>
            <w:vAlign w:val="bottom"/>
          </w:tcPr>
          <w:p>
            <w:pPr>
              <w:spacing w:after="0"/>
              <w:rPr>
                <w:sz w:val="1"/>
                <w:szCs w:val="1"/>
                <w:color w:val="auto"/>
              </w:rPr>
            </w:pPr>
          </w:p>
        </w:tc>
      </w:tr>
      <w:tr>
        <w:trPr>
          <w:trHeight w:val="81"/>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764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Long-Term Equity</w:t>
            </w:r>
          </w:p>
        </w:tc>
        <w:tc>
          <w:tcPr>
            <w:tcW w:w="76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6"/>
              </w:rPr>
              <w:t>•   Long-term equity awards incentivize executives to deliver long-term stockholder value, while</w:t>
            </w:r>
          </w:p>
        </w:tc>
        <w:tc>
          <w:tcPr>
            <w:tcW w:w="0" w:type="dxa"/>
            <w:vAlign w:val="bottom"/>
          </w:tcPr>
          <w:p>
            <w:pPr>
              <w:spacing w:after="0"/>
              <w:rPr>
                <w:sz w:val="1"/>
                <w:szCs w:val="1"/>
                <w:color w:val="auto"/>
              </w:rPr>
            </w:pPr>
          </w:p>
        </w:tc>
      </w:tr>
      <w:tr>
        <w:trPr>
          <w:trHeight w:val="198"/>
        </w:trPr>
        <w:tc>
          <w:tcPr>
            <w:tcW w:w="2020" w:type="dxa"/>
            <w:vAlign w:val="bottom"/>
            <w:tcBorders>
              <w:left w:val="single" w:sz="8" w:color="auto"/>
              <w:right w:val="single" w:sz="8" w:color="auto"/>
            </w:tcBorders>
            <w:vMerge w:val="continue"/>
          </w:tcPr>
          <w:p>
            <w:pPr>
              <w:spacing w:after="0"/>
              <w:rPr>
                <w:sz w:val="17"/>
                <w:szCs w:val="17"/>
                <w:color w:val="auto"/>
              </w:rPr>
            </w:pPr>
          </w:p>
        </w:tc>
        <w:tc>
          <w:tcPr>
            <w:tcW w:w="7640" w:type="dxa"/>
            <w:vAlign w:val="bottom"/>
            <w:tcBorders>
              <w:right w:val="single" w:sz="8" w:color="auto"/>
            </w:tcBorders>
            <w:gridSpan w:val="2"/>
          </w:tcPr>
          <w:p>
            <w:pPr>
              <w:ind w:left="660"/>
              <w:spacing w:after="0" w:line="199" w:lineRule="exact"/>
              <w:rPr>
                <w:sz w:val="20"/>
                <w:szCs w:val="20"/>
                <w:color w:val="auto"/>
              </w:rPr>
            </w:pPr>
            <w:r>
              <w:rPr>
                <w:rFonts w:ascii="Arial" w:cs="Arial" w:eastAsia="Arial" w:hAnsi="Arial"/>
                <w:sz w:val="18"/>
                <w:szCs w:val="18"/>
                <w:color w:val="auto"/>
              </w:rPr>
              <w:t>also providing a retention vehicle for our top executive talent.</w:t>
            </w:r>
          </w:p>
        </w:tc>
        <w:tc>
          <w:tcPr>
            <w:tcW w:w="0" w:type="dxa"/>
            <w:vAlign w:val="bottom"/>
          </w:tcPr>
          <w:p>
            <w:pPr>
              <w:spacing w:after="0"/>
              <w:rPr>
                <w:sz w:val="1"/>
                <w:szCs w:val="1"/>
                <w:color w:val="auto"/>
              </w:rPr>
            </w:pPr>
          </w:p>
        </w:tc>
      </w:tr>
      <w:tr>
        <w:trPr>
          <w:trHeight w:val="288"/>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Incentives</w:t>
            </w:r>
          </w:p>
        </w:tc>
        <w:tc>
          <w:tcPr>
            <w:tcW w:w="76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Equity awards are typically delivered as:</w:t>
            </w:r>
          </w:p>
        </w:tc>
        <w:tc>
          <w:tcPr>
            <w:tcW w:w="0" w:type="dxa"/>
            <w:vAlign w:val="bottom"/>
          </w:tcPr>
          <w:p>
            <w:pPr>
              <w:spacing w:after="0"/>
              <w:rPr>
                <w:sz w:val="1"/>
                <w:szCs w:val="1"/>
                <w:color w:val="auto"/>
              </w:rPr>
            </w:pPr>
          </w:p>
        </w:tc>
      </w:tr>
      <w:tr>
        <w:trPr>
          <w:trHeight w:val="270"/>
        </w:trPr>
        <w:tc>
          <w:tcPr>
            <w:tcW w:w="2020" w:type="dxa"/>
            <w:vAlign w:val="bottom"/>
            <w:tcBorders>
              <w:left w:val="single" w:sz="8" w:color="auto"/>
              <w:right w:val="single" w:sz="8" w:color="auto"/>
            </w:tcBorders>
          </w:tcPr>
          <w:p>
            <w:pPr>
              <w:spacing w:after="0"/>
              <w:rPr>
                <w:sz w:val="23"/>
                <w:szCs w:val="23"/>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Stock options</w:t>
            </w:r>
          </w:p>
        </w:tc>
        <w:tc>
          <w:tcPr>
            <w:tcW w:w="0" w:type="dxa"/>
            <w:vAlign w:val="bottom"/>
          </w:tcPr>
          <w:p>
            <w:pPr>
              <w:spacing w:after="0"/>
              <w:rPr>
                <w:sz w:val="1"/>
                <w:szCs w:val="1"/>
                <w:color w:val="auto"/>
              </w:rPr>
            </w:pPr>
          </w:p>
        </w:tc>
      </w:tr>
      <w:tr>
        <w:trPr>
          <w:trHeight w:val="257"/>
        </w:trPr>
        <w:tc>
          <w:tcPr>
            <w:tcW w:w="2020" w:type="dxa"/>
            <w:vAlign w:val="bottom"/>
            <w:tcBorders>
              <w:left w:val="single" w:sz="8" w:color="auto"/>
              <w:right w:val="single" w:sz="8" w:color="auto"/>
            </w:tcBorders>
          </w:tcPr>
          <w:p>
            <w:pPr>
              <w:spacing w:after="0"/>
              <w:rPr>
                <w:sz w:val="22"/>
                <w:szCs w:val="22"/>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RSUs</w:t>
            </w:r>
          </w:p>
        </w:tc>
        <w:tc>
          <w:tcPr>
            <w:tcW w:w="0" w:type="dxa"/>
            <w:vAlign w:val="bottom"/>
          </w:tcPr>
          <w:p>
            <w:pPr>
              <w:spacing w:after="0"/>
              <w:rPr>
                <w:sz w:val="1"/>
                <w:szCs w:val="1"/>
                <w:color w:val="auto"/>
              </w:rPr>
            </w:pPr>
          </w:p>
        </w:tc>
      </w:tr>
      <w:tr>
        <w:trPr>
          <w:trHeight w:val="257"/>
        </w:trPr>
        <w:tc>
          <w:tcPr>
            <w:tcW w:w="2020" w:type="dxa"/>
            <w:vAlign w:val="bottom"/>
            <w:tcBorders>
              <w:left w:val="single" w:sz="8" w:color="auto"/>
              <w:right w:val="single" w:sz="8" w:color="auto"/>
            </w:tcBorders>
          </w:tcPr>
          <w:p>
            <w:pPr>
              <w:spacing w:after="0"/>
              <w:rPr>
                <w:sz w:val="22"/>
                <w:szCs w:val="22"/>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PSUs</w:t>
            </w:r>
          </w:p>
        </w:tc>
        <w:tc>
          <w:tcPr>
            <w:tcW w:w="0" w:type="dxa"/>
            <w:vAlign w:val="bottom"/>
          </w:tcPr>
          <w:p>
            <w:pPr>
              <w:spacing w:after="0"/>
              <w:rPr>
                <w:sz w:val="1"/>
                <w:szCs w:val="1"/>
                <w:color w:val="auto"/>
              </w:rPr>
            </w:pPr>
          </w:p>
        </w:tc>
      </w:tr>
      <w:tr>
        <w:trPr>
          <w:trHeight w:val="81"/>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6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Target Pay Mix</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Consistent with our philosophy of aligning executive pay with Veracyte's short- and long-term performance, and to align the interests of management and stockholders, our compensation programs are designed such that the majority of executive compensation is in the form of variable, at-risk, incentive pay. For 2022, our Compensation Committee structured target pay packages for our CEO and NEOs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863590" cy="1748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6359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Notes: Includes target annual cash-based incentives and the grant date fair value of annual equity grants, but excludes retention grants and new hire equity grants.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w:t>
      </w:r>
    </w:p>
    <w:p>
      <w:pPr>
        <w:spacing w:after="0" w:line="1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Compensation Committee is responsible for oversight of Veracyte's compensation program and practices. The committee maintains a pay program defined by robust corporate governance and a commitment to stockholder interests. We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have committed to numerous practices and safeguards to ensure the compensation program does not misalign those interests. These include: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Borders>
              <w:right w:val="single" w:sz="8" w:color="auto"/>
            </w:tcBorders>
          </w:tcPr>
          <w:p>
            <w:pPr>
              <w:spacing w:after="0"/>
              <w:rPr>
                <w:sz w:val="19"/>
                <w:szCs w:val="19"/>
                <w:color w:val="auto"/>
              </w:rPr>
            </w:pP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What We Do</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3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Pay-for-performance philosophy and culture</w:t>
            </w:r>
          </w:p>
        </w:tc>
      </w:tr>
      <w:tr>
        <w:trPr>
          <w:trHeight w:val="216"/>
        </w:trPr>
        <w:tc>
          <w:tcPr>
            <w:tcW w:w="4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   An appropriate mix of short and long-term incentives for our executives</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Responsible use of shares under our long-term incentive program</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Perform an annual risk assessment of our compensation program</w:t>
            </w:r>
          </w:p>
        </w:tc>
      </w:tr>
      <w:tr>
        <w:trPr>
          <w:trHeight w:val="216"/>
        </w:trPr>
        <w:tc>
          <w:tcPr>
            <w:tcW w:w="4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   Appropriate stock ownership requirements for all executives and non-executive directors</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36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3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“Double-trigger” change-in-control provisions</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Annually conduct Say-on-Pay vote</w:t>
            </w:r>
          </w:p>
        </w:tc>
      </w:tr>
      <w:tr>
        <w:trPr>
          <w:trHeight w:val="216"/>
        </w:trPr>
        <w:tc>
          <w:tcPr>
            <w:tcW w:w="4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   Engage an independent compensation consultant</w:t>
            </w:r>
          </w:p>
        </w:tc>
      </w:tr>
      <w:tr>
        <w:trPr>
          <w:trHeight w:val="237"/>
        </w:trPr>
        <w:tc>
          <w:tcPr>
            <w:tcW w:w="48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86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   Have an independent compensation committee</w:t>
            </w:r>
          </w:p>
        </w:tc>
      </w:tr>
      <w:tr>
        <w:trPr>
          <w:trHeight w:val="215"/>
        </w:trPr>
        <w:tc>
          <w:tcPr>
            <w:tcW w:w="4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What We Don't Do</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3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 excise tax gross-ups</w:t>
            </w:r>
          </w:p>
        </w:tc>
      </w:tr>
      <w:tr>
        <w:trPr>
          <w:trHeight w:val="216"/>
        </w:trPr>
        <w:tc>
          <w:tcPr>
            <w:tcW w:w="4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3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 excessive perquisites</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No repricing of stock option awards without stockholder approval</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No discounted stock option awards</w:t>
            </w:r>
          </w:p>
        </w:tc>
      </w:tr>
      <w:tr>
        <w:trPr>
          <w:trHeight w:val="230"/>
        </w:trPr>
        <w:tc>
          <w:tcPr>
            <w:tcW w:w="48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86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   No hedging or pledging of our stock</w:t>
            </w:r>
          </w:p>
        </w:tc>
      </w:tr>
      <w:tr>
        <w:trPr>
          <w:trHeight w:val="27"/>
        </w:trPr>
        <w:tc>
          <w:tcPr>
            <w:tcW w:w="480" w:type="dxa"/>
            <w:vAlign w:val="bottom"/>
            <w:tcBorders>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320" w:type="dxa"/>
            <w:vAlign w:val="bottom"/>
            <w:tcBorders>
              <w:bottom w:val="single" w:sz="8" w:color="auto"/>
              <w:right w:val="single" w:sz="8" w:color="auto"/>
            </w:tcBorders>
          </w:tcPr>
          <w:p>
            <w:pPr>
              <w:spacing w:after="0"/>
              <w:rPr>
                <w:sz w:val="2"/>
                <w:szCs w:val="2"/>
                <w:color w:val="auto"/>
              </w:rPr>
            </w:pPr>
          </w:p>
        </w:tc>
      </w:tr>
      <w:tr>
        <w:trPr>
          <w:trHeight w:val="547"/>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Say-on-Pay Results</w:t>
            </w:r>
          </w:p>
        </w:tc>
        <w:tc>
          <w:tcPr>
            <w:tcW w:w="360" w:type="dxa"/>
            <w:vAlign w:val="bottom"/>
          </w:tcPr>
          <w:p>
            <w:pPr>
              <w:spacing w:after="0"/>
              <w:rPr>
                <w:sz w:val="24"/>
                <w:szCs w:val="24"/>
                <w:color w:val="auto"/>
              </w:rPr>
            </w:pPr>
          </w:p>
        </w:tc>
        <w:tc>
          <w:tcPr>
            <w:tcW w:w="8320" w:type="dxa"/>
            <w:vAlign w:val="bottom"/>
          </w:tcPr>
          <w:p>
            <w:pPr>
              <w:spacing w:after="0"/>
              <w:rPr>
                <w:sz w:val="24"/>
                <w:szCs w:val="24"/>
                <w:color w:val="auto"/>
              </w:rPr>
            </w:pPr>
          </w:p>
        </w:tc>
      </w:tr>
    </w:tbl>
    <w:p>
      <w:pPr>
        <w:spacing w:after="0" w:line="3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Veracyte received approximately 91.7% support from stockholders for our 2022 say-on-pay proposal. The Compensation Committee is appreciative of this support and believes it indicates that stockholders are supportive of our pay program structure and the alignment we have created between management and stockholder interests. The Compensation Committee will continue to consider the results of future stockholder votes, along with other forms of stockholder input and feedback, when structuring executive pay.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3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environment in which we operate. We believe in providing competitive compensation packages consisting of a combination of base salary, an annual cash bonus, and long-term incentive opportunities in the form of equity awards that are earned over a multi-year period.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Role of Compensation Committee</w:t>
      </w:r>
    </w:p>
    <w:p>
      <w:pPr>
        <w:spacing w:after="0" w:line="1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Compensation Committee oversees our compensation policies, plans and benefits programs and determines and approves or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conducts an annual review of all components of executive compensation for all executive officers and approves compensation for all executive officers other than our Chief Executive Officer, for whom it recommends compensation to the Board of Directors. Chief Executive Officer compensation and overall bonus achievement are then approved by the independent members of our Board of Directors. The Compensation Committee also reviews and recommends non-employee directors’ compensation to the full Board of Directors on an annual basis. The Compensation Committee has the sole authority to select, retain, terminate and approve the fees and other retention terms of consultants as it deems appropriate to perform its duties.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ind w:left="500"/>
        <w:spacing w:after="0"/>
        <w:rPr>
          <w:sz w:val="20"/>
          <w:szCs w:val="20"/>
          <w:color w:val="auto"/>
        </w:rPr>
      </w:pPr>
      <w:r>
        <w:rPr>
          <w:rFonts w:ascii="Arial" w:cs="Arial" w:eastAsia="Arial" w:hAnsi="Arial"/>
          <w:sz w:val="18"/>
          <w:szCs w:val="18"/>
          <w:b w:val="1"/>
          <w:bCs w:val="1"/>
          <w:color w:val="auto"/>
        </w:rPr>
        <w:t>Role of Management</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Veracyte’s Chief Executive Officer is involved in the design and implementation of our executive compensation and is typically present at Compensation Committee meetings, except that the Chief Executive Officer is not present during any voting or deliberations on his compensation. In 2022, the Chief Executive Officer reviewed the analysis and recommendations of Aon’s Human Capital Solutions practice, a division of Aon plc (“Aon”), with the Compensation Committee and made recommendations regarding proposed salary, cash bonus opportunities and equity awards for our officers (other than himself). Management also participates in conducting annual risk assessments and ensuring that any risks involving compensation are properly mitigated. The Compensation Committee exercises its discretion in accepting, rejecting and/or modifying any such executive compensation recommendations and approves all compensation and equity awards for all executive officers other than the Chief Executive Officer.</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Role of Independent Compensation Consultant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retains an independent compensation consultant to provide professional expertise regarding a variety of executive compensation and market practices. The independent consultant assists the Compensation Committee in setting compensation and designing a comprehensive plan. In 2022, the Compensation Committee retained Aon to provide the Compensation Committee with the following services, focusing on all compensation components.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2022, Aon assisted the Compensation Committee with, among other things:</w:t>
      </w:r>
    </w:p>
    <w:p>
      <w:pPr>
        <w:spacing w:after="0" w:line="117" w:lineRule="exact"/>
        <w:rPr>
          <w:sz w:val="20"/>
          <w:szCs w:val="20"/>
          <w:color w:val="auto"/>
        </w:rPr>
      </w:pPr>
    </w:p>
    <w:p>
      <w:pPr>
        <w:ind w:left="1100" w:hanging="32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modifying the compensation peer group;</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 and director market pay analysis;</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 of executive and director pay programs;</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Evaluation of equity pay market analysis;</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Examining the change in control and severance arrangement; and</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Updating certain proxy disclosures, including this CD&amp;A.</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Committee annually evaluates the independent compensation consultant’s independence and performance under the applicable SEC and Nasdaq listing standards. The Compensation Committee believes that working with an independent compensation consultant furthers our objectives to recruit and retain qualified executives, align their interests with those of stockholders and ensure that their compensation packages will appropriately motivate and reward ongoing achievement of business goals. The Compensation Committee conducted a specific review of its relationship with Aon in 2022, pursuant to the SEC rules and Nasdaq listing standards, and concluded that Aon’s work for the Compensation Committee did not raise any conflicts of interest.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Competitive Data</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assess the competitiveness of our executive compensation program and compensation levels, our Compensation Committee, with the assistance of Aon, examines the competitive compensation data for senior executives of our peer companies examining pay overall, and each pay element. The Compensation Committee uses a peer group to reference recent market data and understand the marketplace.</w:t>
      </w:r>
    </w:p>
    <w:p>
      <w:pPr>
        <w:spacing w:after="0" w:line="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However, the Compensation Committee also recognizes the importance of flexibility and considers other factors as well, such as individual performance, experience, history and scope of responsibility, current market conditions and the specific needs of the business at critical points in time. The Compensation Committee uses its best business judgment in setting pay with the peer group data as a reference point rather than as specific benchmark. The Compensation Committee conducts an annual assessment of the peer group to ensure that it reflects Veracyte’s most current financial and sector-specific standing.</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2022 Peer Group</w:t>
      </w:r>
    </w:p>
    <w:p>
      <w:pPr>
        <w:spacing w:after="0" w:line="12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For our 2022 Peer Group, Aon helped the Compensation Committee identify companies similar to us with respect to sector and market capitalization, as well as revenue and headcount, to provide a broad perspective on competitive pay levels and practices. The Compensation Committee</w:t>
      </w:r>
    </w:p>
    <w:p>
      <w:pPr>
        <w:jc w:val="both"/>
        <w:spacing w:after="0" w:line="293" w:lineRule="auto"/>
        <w:rPr>
          <w:sz w:val="20"/>
          <w:szCs w:val="20"/>
          <w:color w:val="auto"/>
        </w:rPr>
      </w:pPr>
      <w:r>
        <w:rPr>
          <w:rFonts w:ascii="Arial" w:cs="Arial" w:eastAsia="Arial" w:hAnsi="Arial"/>
          <w:sz w:val="18"/>
          <w:szCs w:val="18"/>
          <w:color w:val="auto"/>
        </w:rPr>
        <w:t>also considers criteria from outside investors and the talent market when selecting the final criteria and list of companies. The following criteria was applied in developing the peer group used for 2022 compensation decisions:</w:t>
      </w:r>
    </w:p>
    <w:p>
      <w:pPr>
        <w:spacing w:after="0" w:line="44" w:lineRule="exact"/>
        <w:rPr>
          <w:sz w:val="20"/>
          <w:szCs w:val="20"/>
          <w:color w:val="auto"/>
        </w:rPr>
      </w:pPr>
    </w:p>
    <w:p>
      <w:pPr>
        <w:ind w:left="1100" w:hanging="323"/>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Sector </w:t>
      </w:r>
      <w:r>
        <w:rPr>
          <w:rFonts w:ascii="Arial" w:cs="Arial" w:eastAsia="Arial" w:hAnsi="Arial"/>
          <w:sz w:val="17"/>
          <w:szCs w:val="17"/>
          <w:color w:val="auto"/>
        </w:rPr>
        <w:t>- Biotechnology/Pharmaceuticals, Life Sciences Tools and Services, and Health Care Equipment &amp; Supplies companies;</w:t>
      </w:r>
    </w:p>
    <w:p>
      <w:pPr>
        <w:spacing w:after="0" w:line="61" w:lineRule="exact"/>
        <w:rPr>
          <w:rFonts w:ascii="Arial" w:cs="Arial" w:eastAsia="Arial" w:hAnsi="Arial"/>
          <w:sz w:val="17"/>
          <w:szCs w:val="17"/>
          <w:color w:val="auto"/>
        </w:rPr>
      </w:pPr>
    </w:p>
    <w:p>
      <w:pPr>
        <w:ind w:left="1100" w:hanging="32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Market Capitalization </w:t>
      </w:r>
      <w:r>
        <w:rPr>
          <w:rFonts w:ascii="Arial" w:cs="Arial" w:eastAsia="Arial" w:hAnsi="Arial"/>
          <w:sz w:val="18"/>
          <w:szCs w:val="18"/>
          <w:color w:val="auto"/>
        </w:rPr>
        <w:t>- 0.25x to 3x Veracyte's market capitalization; and</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- 0.5x to 4x Veracyte's projected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Using these criteria, in September 2021 the following 20 companies were approved to comprise our 2022 peer group:</w:t>
      </w:r>
    </w:p>
    <w:p>
      <w:pPr>
        <w:spacing w:after="0" w:line="200" w:lineRule="exact"/>
        <w:rPr>
          <w:sz w:val="20"/>
          <w:szCs w:val="20"/>
          <w:color w:val="auto"/>
        </w:rPr>
      </w:pPr>
    </w:p>
    <w:p>
      <w:pPr>
        <w:spacing w:after="0" w:line="262" w:lineRule="exact"/>
        <w:rPr>
          <w:sz w:val="20"/>
          <w:szCs w:val="20"/>
          <w:color w:val="auto"/>
        </w:rPr>
      </w:pPr>
    </w:p>
    <w:tbl>
      <w:tblPr>
        <w:tblLayout w:type="fixed"/>
        <w:tblInd w:w="980" w:type="dxa"/>
        <w:tblCellMar>
          <w:top w:w="0" w:type="dxa"/>
          <w:left w:w="0" w:type="dxa"/>
          <w:bottom w:w="0" w:type="dxa"/>
          <w:right w:w="0" w:type="dxa"/>
        </w:tblCellMar>
      </w:tblPr>
      <w:tr>
        <w:trPr>
          <w:trHeight w:val="227"/>
        </w:trPr>
        <w:tc>
          <w:tcPr>
            <w:tcW w:w="3340" w:type="dxa"/>
            <w:vAlign w:val="bottom"/>
            <w:tcBorders>
              <w:top w:val="single" w:sz="8" w:color="666666"/>
              <w:bottom w:val="single" w:sz="8" w:color="666666"/>
            </w:tcBorders>
          </w:tcPr>
          <w:p>
            <w:pPr>
              <w:jc w:val="center"/>
              <w:ind w:right="179"/>
              <w:spacing w:after="0"/>
              <w:rPr>
                <w:sz w:val="20"/>
                <w:szCs w:val="20"/>
                <w:color w:val="auto"/>
              </w:rPr>
            </w:pPr>
            <w:r>
              <w:rPr>
                <w:rFonts w:ascii="Arial" w:cs="Arial" w:eastAsia="Arial" w:hAnsi="Arial"/>
                <w:sz w:val="16"/>
                <w:szCs w:val="16"/>
                <w:color w:val="auto"/>
                <w:w w:val="93"/>
              </w:rPr>
              <w:t>Adaptive Biotechnologies</w:t>
            </w:r>
          </w:p>
        </w:tc>
        <w:tc>
          <w:tcPr>
            <w:tcW w:w="2720" w:type="dxa"/>
            <w:vAlign w:val="bottom"/>
            <w:tcBorders>
              <w:top w:val="single" w:sz="8" w:color="666666"/>
              <w:bottom w:val="single" w:sz="8" w:color="666666"/>
            </w:tcBorders>
          </w:tcPr>
          <w:p>
            <w:pPr>
              <w:jc w:val="center"/>
              <w:ind w:right="39"/>
              <w:spacing w:after="0"/>
              <w:rPr>
                <w:sz w:val="20"/>
                <w:szCs w:val="20"/>
                <w:color w:val="auto"/>
              </w:rPr>
            </w:pPr>
            <w:r>
              <w:rPr>
                <w:rFonts w:ascii="Arial" w:cs="Arial" w:eastAsia="Arial" w:hAnsi="Arial"/>
                <w:sz w:val="16"/>
                <w:szCs w:val="16"/>
                <w:color w:val="auto"/>
                <w:w w:val="95"/>
              </w:rPr>
              <w:t>Berkeley Lights</w:t>
            </w:r>
          </w:p>
        </w:tc>
        <w:tc>
          <w:tcPr>
            <w:tcW w:w="3240" w:type="dxa"/>
            <w:vAlign w:val="bottom"/>
            <w:tcBorders>
              <w:top w:val="single" w:sz="8" w:color="666666"/>
              <w:bottom w:val="single" w:sz="8" w:color="666666"/>
            </w:tcBorders>
          </w:tcPr>
          <w:p>
            <w:pPr>
              <w:jc w:val="center"/>
              <w:ind w:left="59"/>
              <w:spacing w:after="0"/>
              <w:rPr>
                <w:sz w:val="20"/>
                <w:szCs w:val="20"/>
                <w:color w:val="auto"/>
              </w:rPr>
            </w:pPr>
            <w:r>
              <w:rPr>
                <w:rFonts w:ascii="Arial" w:cs="Arial" w:eastAsia="Arial" w:hAnsi="Arial"/>
                <w:sz w:val="16"/>
                <w:szCs w:val="16"/>
                <w:color w:val="auto"/>
                <w:w w:val="92"/>
              </w:rPr>
              <w:t>CareDx</w:t>
            </w:r>
          </w:p>
        </w:tc>
      </w:tr>
      <w:tr>
        <w:trPr>
          <w:trHeight w:val="209"/>
        </w:trPr>
        <w:tc>
          <w:tcPr>
            <w:tcW w:w="3340" w:type="dxa"/>
            <w:vAlign w:val="bottom"/>
            <w:tcBorders>
              <w:bottom w:val="single" w:sz="8" w:color="666666"/>
            </w:tcBorders>
          </w:tcPr>
          <w:p>
            <w:pPr>
              <w:jc w:val="center"/>
              <w:ind w:right="199"/>
              <w:spacing w:after="0"/>
              <w:rPr>
                <w:sz w:val="20"/>
                <w:szCs w:val="20"/>
                <w:color w:val="auto"/>
              </w:rPr>
            </w:pPr>
            <w:r>
              <w:rPr>
                <w:rFonts w:ascii="Arial" w:cs="Arial" w:eastAsia="Arial" w:hAnsi="Arial"/>
                <w:sz w:val="16"/>
                <w:szCs w:val="16"/>
                <w:color w:val="auto"/>
                <w:w w:val="90"/>
              </w:rPr>
              <w:t>Castle Biosciences</w:t>
            </w:r>
          </w:p>
        </w:tc>
        <w:tc>
          <w:tcPr>
            <w:tcW w:w="2720" w:type="dxa"/>
            <w:vAlign w:val="bottom"/>
            <w:tcBorders>
              <w:bottom w:val="single" w:sz="8" w:color="666666"/>
            </w:tcBorders>
          </w:tcPr>
          <w:p>
            <w:pPr>
              <w:jc w:val="center"/>
              <w:ind w:right="39"/>
              <w:spacing w:after="0"/>
              <w:rPr>
                <w:sz w:val="20"/>
                <w:szCs w:val="20"/>
                <w:color w:val="auto"/>
              </w:rPr>
            </w:pPr>
            <w:r>
              <w:rPr>
                <w:rFonts w:ascii="Arial" w:cs="Arial" w:eastAsia="Arial" w:hAnsi="Arial"/>
                <w:sz w:val="16"/>
                <w:szCs w:val="16"/>
                <w:color w:val="auto"/>
                <w:w w:val="89"/>
              </w:rPr>
              <w:t>Codexis</w:t>
            </w:r>
          </w:p>
        </w:tc>
        <w:tc>
          <w:tcPr>
            <w:tcW w:w="3240" w:type="dxa"/>
            <w:vAlign w:val="bottom"/>
            <w:tcBorders>
              <w:bottom w:val="single" w:sz="8" w:color="666666"/>
            </w:tcBorders>
          </w:tcPr>
          <w:p>
            <w:pPr>
              <w:jc w:val="center"/>
              <w:ind w:left="59"/>
              <w:spacing w:after="0"/>
              <w:rPr>
                <w:sz w:val="20"/>
                <w:szCs w:val="20"/>
                <w:color w:val="auto"/>
              </w:rPr>
            </w:pPr>
            <w:r>
              <w:rPr>
                <w:rFonts w:ascii="Arial" w:cs="Arial" w:eastAsia="Arial" w:hAnsi="Arial"/>
                <w:sz w:val="16"/>
                <w:szCs w:val="16"/>
                <w:color w:val="auto"/>
                <w:w w:val="89"/>
              </w:rPr>
              <w:t>Exact Sciences</w:t>
            </w:r>
          </w:p>
        </w:tc>
      </w:tr>
      <w:tr>
        <w:trPr>
          <w:trHeight w:val="210"/>
        </w:trPr>
        <w:tc>
          <w:tcPr>
            <w:tcW w:w="3340" w:type="dxa"/>
            <w:vAlign w:val="bottom"/>
            <w:tcBorders>
              <w:bottom w:val="single" w:sz="8" w:color="666666"/>
            </w:tcBorders>
          </w:tcPr>
          <w:p>
            <w:pPr>
              <w:jc w:val="center"/>
              <w:ind w:right="179"/>
              <w:spacing w:after="0"/>
              <w:rPr>
                <w:sz w:val="20"/>
                <w:szCs w:val="20"/>
                <w:color w:val="auto"/>
              </w:rPr>
            </w:pPr>
            <w:r>
              <w:rPr>
                <w:rFonts w:ascii="Arial" w:cs="Arial" w:eastAsia="Arial" w:hAnsi="Arial"/>
                <w:sz w:val="16"/>
                <w:szCs w:val="16"/>
                <w:color w:val="auto"/>
                <w:w w:val="99"/>
              </w:rPr>
              <w:t>Fluidigm</w:t>
            </w:r>
          </w:p>
        </w:tc>
        <w:tc>
          <w:tcPr>
            <w:tcW w:w="2720" w:type="dxa"/>
            <w:vAlign w:val="bottom"/>
            <w:tcBorders>
              <w:bottom w:val="single" w:sz="8" w:color="666666"/>
            </w:tcBorders>
          </w:tcPr>
          <w:p>
            <w:pPr>
              <w:jc w:val="center"/>
              <w:ind w:right="39"/>
              <w:spacing w:after="0"/>
              <w:rPr>
                <w:sz w:val="20"/>
                <w:szCs w:val="20"/>
                <w:color w:val="auto"/>
              </w:rPr>
            </w:pPr>
            <w:r>
              <w:rPr>
                <w:rFonts w:ascii="Arial" w:cs="Arial" w:eastAsia="Arial" w:hAnsi="Arial"/>
                <w:sz w:val="16"/>
                <w:szCs w:val="16"/>
                <w:color w:val="auto"/>
                <w:w w:val="91"/>
              </w:rPr>
              <w:t>Guardant Health</w:t>
            </w:r>
          </w:p>
        </w:tc>
        <w:tc>
          <w:tcPr>
            <w:tcW w:w="3240" w:type="dxa"/>
            <w:vAlign w:val="bottom"/>
            <w:tcBorders>
              <w:bottom w:val="single" w:sz="8" w:color="666666"/>
            </w:tcBorders>
          </w:tcPr>
          <w:p>
            <w:pPr>
              <w:jc w:val="center"/>
              <w:ind w:left="39"/>
              <w:spacing w:after="0"/>
              <w:rPr>
                <w:sz w:val="20"/>
                <w:szCs w:val="20"/>
                <w:color w:val="auto"/>
              </w:rPr>
            </w:pPr>
            <w:r>
              <w:rPr>
                <w:rFonts w:ascii="Arial" w:cs="Arial" w:eastAsia="Arial" w:hAnsi="Arial"/>
                <w:sz w:val="16"/>
                <w:szCs w:val="16"/>
                <w:color w:val="auto"/>
                <w:w w:val="93"/>
              </w:rPr>
              <w:t>Invitae</w:t>
            </w:r>
          </w:p>
        </w:tc>
      </w:tr>
      <w:tr>
        <w:trPr>
          <w:trHeight w:val="209"/>
        </w:trPr>
        <w:tc>
          <w:tcPr>
            <w:tcW w:w="3340" w:type="dxa"/>
            <w:vAlign w:val="bottom"/>
            <w:tcBorders>
              <w:bottom w:val="single" w:sz="8" w:color="666666"/>
            </w:tcBorders>
          </w:tcPr>
          <w:p>
            <w:pPr>
              <w:jc w:val="center"/>
              <w:ind w:right="179"/>
              <w:spacing w:after="0"/>
              <w:rPr>
                <w:sz w:val="20"/>
                <w:szCs w:val="20"/>
                <w:color w:val="auto"/>
              </w:rPr>
            </w:pPr>
            <w:r>
              <w:rPr>
                <w:rFonts w:ascii="Arial" w:cs="Arial" w:eastAsia="Arial" w:hAnsi="Arial"/>
                <w:sz w:val="16"/>
                <w:szCs w:val="16"/>
                <w:color w:val="auto"/>
                <w:w w:val="93"/>
              </w:rPr>
              <w:t>Maravai LifeSciences*</w:t>
            </w:r>
          </w:p>
        </w:tc>
        <w:tc>
          <w:tcPr>
            <w:tcW w:w="2720" w:type="dxa"/>
            <w:vAlign w:val="bottom"/>
            <w:tcBorders>
              <w:bottom w:val="single" w:sz="8" w:color="666666"/>
            </w:tcBorders>
          </w:tcPr>
          <w:p>
            <w:pPr>
              <w:jc w:val="center"/>
              <w:ind w:right="39"/>
              <w:spacing w:after="0"/>
              <w:rPr>
                <w:sz w:val="20"/>
                <w:szCs w:val="20"/>
                <w:color w:val="auto"/>
              </w:rPr>
            </w:pPr>
            <w:r>
              <w:rPr>
                <w:rFonts w:ascii="Arial" w:cs="Arial" w:eastAsia="Arial" w:hAnsi="Arial"/>
                <w:sz w:val="16"/>
                <w:szCs w:val="16"/>
                <w:color w:val="auto"/>
                <w:w w:val="95"/>
              </w:rPr>
              <w:t>Myriad Genetics*</w:t>
            </w:r>
          </w:p>
        </w:tc>
        <w:tc>
          <w:tcPr>
            <w:tcW w:w="3240" w:type="dxa"/>
            <w:vAlign w:val="bottom"/>
            <w:tcBorders>
              <w:bottom w:val="single" w:sz="8" w:color="666666"/>
            </w:tcBorders>
          </w:tcPr>
          <w:p>
            <w:pPr>
              <w:jc w:val="center"/>
              <w:ind w:left="39"/>
              <w:spacing w:after="0"/>
              <w:rPr>
                <w:sz w:val="20"/>
                <w:szCs w:val="20"/>
                <w:color w:val="auto"/>
              </w:rPr>
            </w:pPr>
            <w:r>
              <w:rPr>
                <w:rFonts w:ascii="Arial" w:cs="Arial" w:eastAsia="Arial" w:hAnsi="Arial"/>
                <w:sz w:val="16"/>
                <w:szCs w:val="16"/>
                <w:color w:val="auto"/>
                <w:w w:val="91"/>
              </w:rPr>
              <w:t>NanoString Technologies</w:t>
            </w:r>
          </w:p>
        </w:tc>
      </w:tr>
      <w:tr>
        <w:trPr>
          <w:trHeight w:val="209"/>
        </w:trPr>
        <w:tc>
          <w:tcPr>
            <w:tcW w:w="3340" w:type="dxa"/>
            <w:vAlign w:val="bottom"/>
            <w:tcBorders>
              <w:bottom w:val="single" w:sz="8" w:color="666666"/>
            </w:tcBorders>
          </w:tcPr>
          <w:p>
            <w:pPr>
              <w:jc w:val="center"/>
              <w:ind w:right="179"/>
              <w:spacing w:after="0"/>
              <w:rPr>
                <w:sz w:val="20"/>
                <w:szCs w:val="20"/>
                <w:color w:val="auto"/>
              </w:rPr>
            </w:pPr>
            <w:r>
              <w:rPr>
                <w:rFonts w:ascii="Arial" w:cs="Arial" w:eastAsia="Arial" w:hAnsi="Arial"/>
                <w:sz w:val="16"/>
                <w:szCs w:val="16"/>
                <w:color w:val="auto"/>
                <w:w w:val="91"/>
              </w:rPr>
              <w:t>Natera</w:t>
            </w:r>
          </w:p>
        </w:tc>
        <w:tc>
          <w:tcPr>
            <w:tcW w:w="2720" w:type="dxa"/>
            <w:vAlign w:val="bottom"/>
            <w:tcBorders>
              <w:bottom w:val="single" w:sz="8" w:color="666666"/>
            </w:tcBorders>
          </w:tcPr>
          <w:p>
            <w:pPr>
              <w:jc w:val="center"/>
              <w:ind w:right="39"/>
              <w:spacing w:after="0"/>
              <w:rPr>
                <w:sz w:val="20"/>
                <w:szCs w:val="20"/>
                <w:color w:val="auto"/>
              </w:rPr>
            </w:pPr>
            <w:r>
              <w:rPr>
                <w:rFonts w:ascii="Arial" w:cs="Arial" w:eastAsia="Arial" w:hAnsi="Arial"/>
                <w:sz w:val="16"/>
                <w:szCs w:val="16"/>
                <w:color w:val="auto"/>
                <w:w w:val="90"/>
              </w:rPr>
              <w:t>NeoGenomics</w:t>
            </w:r>
          </w:p>
        </w:tc>
        <w:tc>
          <w:tcPr>
            <w:tcW w:w="3240" w:type="dxa"/>
            <w:vAlign w:val="bottom"/>
            <w:tcBorders>
              <w:bottom w:val="single" w:sz="8" w:color="666666"/>
            </w:tcBorders>
          </w:tcPr>
          <w:p>
            <w:pPr>
              <w:jc w:val="center"/>
              <w:ind w:left="39"/>
              <w:spacing w:after="0"/>
              <w:rPr>
                <w:sz w:val="20"/>
                <w:szCs w:val="20"/>
                <w:color w:val="auto"/>
              </w:rPr>
            </w:pPr>
            <w:r>
              <w:rPr>
                <w:rFonts w:ascii="Arial" w:cs="Arial" w:eastAsia="Arial" w:hAnsi="Arial"/>
                <w:sz w:val="16"/>
                <w:szCs w:val="16"/>
                <w:color w:val="auto"/>
                <w:w w:val="89"/>
              </w:rPr>
              <w:t>OraSure Technologies</w:t>
            </w:r>
          </w:p>
        </w:tc>
      </w:tr>
      <w:tr>
        <w:trPr>
          <w:trHeight w:val="209"/>
        </w:trPr>
        <w:tc>
          <w:tcPr>
            <w:tcW w:w="3340" w:type="dxa"/>
            <w:vAlign w:val="bottom"/>
            <w:tcBorders>
              <w:bottom w:val="single" w:sz="8" w:color="666666"/>
            </w:tcBorders>
          </w:tcPr>
          <w:p>
            <w:pPr>
              <w:jc w:val="center"/>
              <w:ind w:right="179"/>
              <w:spacing w:after="0"/>
              <w:rPr>
                <w:sz w:val="20"/>
                <w:szCs w:val="20"/>
                <w:color w:val="auto"/>
              </w:rPr>
            </w:pPr>
            <w:r>
              <w:rPr>
                <w:rFonts w:ascii="Arial" w:cs="Arial" w:eastAsia="Arial" w:hAnsi="Arial"/>
                <w:sz w:val="16"/>
                <w:szCs w:val="16"/>
                <w:color w:val="auto"/>
                <w:w w:val="93"/>
              </w:rPr>
              <w:t>Pacific Biosciences of California</w:t>
            </w:r>
          </w:p>
        </w:tc>
        <w:tc>
          <w:tcPr>
            <w:tcW w:w="2720" w:type="dxa"/>
            <w:vAlign w:val="bottom"/>
            <w:tcBorders>
              <w:bottom w:val="single" w:sz="8" w:color="666666"/>
            </w:tcBorders>
          </w:tcPr>
          <w:p>
            <w:pPr>
              <w:jc w:val="center"/>
              <w:ind w:right="39"/>
              <w:spacing w:after="0"/>
              <w:rPr>
                <w:sz w:val="20"/>
                <w:szCs w:val="20"/>
                <w:color w:val="auto"/>
              </w:rPr>
            </w:pPr>
            <w:r>
              <w:rPr>
                <w:rFonts w:ascii="Arial" w:cs="Arial" w:eastAsia="Arial" w:hAnsi="Arial"/>
                <w:sz w:val="16"/>
                <w:szCs w:val="16"/>
                <w:color w:val="auto"/>
                <w:w w:val="93"/>
              </w:rPr>
              <w:t>Personalis*</w:t>
            </w:r>
          </w:p>
        </w:tc>
        <w:tc>
          <w:tcPr>
            <w:tcW w:w="3240" w:type="dxa"/>
            <w:vAlign w:val="bottom"/>
            <w:tcBorders>
              <w:bottom w:val="single" w:sz="8" w:color="666666"/>
            </w:tcBorders>
          </w:tcPr>
          <w:p>
            <w:pPr>
              <w:jc w:val="center"/>
              <w:ind w:left="39"/>
              <w:spacing w:after="0"/>
              <w:rPr>
                <w:sz w:val="20"/>
                <w:szCs w:val="20"/>
                <w:color w:val="auto"/>
              </w:rPr>
            </w:pPr>
            <w:r>
              <w:rPr>
                <w:rFonts w:ascii="Arial" w:cs="Arial" w:eastAsia="Arial" w:hAnsi="Arial"/>
                <w:sz w:val="16"/>
                <w:szCs w:val="16"/>
                <w:color w:val="auto"/>
                <w:w w:val="92"/>
              </w:rPr>
              <w:t>Quanterix</w:t>
            </w:r>
          </w:p>
        </w:tc>
      </w:tr>
      <w:tr>
        <w:trPr>
          <w:trHeight w:val="209"/>
        </w:trPr>
        <w:tc>
          <w:tcPr>
            <w:tcW w:w="3340" w:type="dxa"/>
            <w:vAlign w:val="bottom"/>
            <w:tcBorders>
              <w:bottom w:val="single" w:sz="8" w:color="666666"/>
            </w:tcBorders>
          </w:tcPr>
          <w:p>
            <w:pPr>
              <w:jc w:val="center"/>
              <w:ind w:right="179"/>
              <w:spacing w:after="0"/>
              <w:rPr>
                <w:sz w:val="20"/>
                <w:szCs w:val="20"/>
                <w:color w:val="auto"/>
              </w:rPr>
            </w:pPr>
            <w:r>
              <w:rPr>
                <w:rFonts w:ascii="Arial" w:cs="Arial" w:eastAsia="Arial" w:hAnsi="Arial"/>
                <w:sz w:val="16"/>
                <w:szCs w:val="16"/>
                <w:color w:val="auto"/>
                <w:w w:val="95"/>
              </w:rPr>
              <w:t>Twist Bioscience*</w:t>
            </w:r>
          </w:p>
        </w:tc>
        <w:tc>
          <w:tcPr>
            <w:tcW w:w="2720" w:type="dxa"/>
            <w:vAlign w:val="bottom"/>
            <w:tcBorders>
              <w:bottom w:val="single" w:sz="8" w:color="666666"/>
            </w:tcBorders>
          </w:tcPr>
          <w:p>
            <w:pPr>
              <w:jc w:val="center"/>
              <w:ind w:right="59"/>
              <w:spacing w:after="0"/>
              <w:rPr>
                <w:sz w:val="20"/>
                <w:szCs w:val="20"/>
                <w:color w:val="auto"/>
              </w:rPr>
            </w:pPr>
            <w:r>
              <w:rPr>
                <w:rFonts w:ascii="Arial" w:cs="Arial" w:eastAsia="Arial" w:hAnsi="Arial"/>
                <w:sz w:val="16"/>
                <w:szCs w:val="16"/>
                <w:color w:val="auto"/>
                <w:w w:val="93"/>
              </w:rPr>
              <w:t>Vericel</w:t>
            </w:r>
          </w:p>
        </w:tc>
        <w:tc>
          <w:tcPr>
            <w:tcW w:w="3240" w:type="dxa"/>
            <w:vAlign w:val="bottom"/>
            <w:tcBorders>
              <w:bottom w:val="single" w:sz="8" w:color="666666"/>
            </w:tcBorders>
          </w:tcPr>
          <w:p>
            <w:pPr>
              <w:spacing w:after="0"/>
              <w:rPr>
                <w:sz w:val="18"/>
                <w:szCs w:val="18"/>
                <w:color w:val="auto"/>
              </w:rPr>
            </w:pPr>
          </w:p>
        </w:tc>
      </w:tr>
    </w:tbl>
    <w:p>
      <w:pPr>
        <w:spacing w:after="0" w:line="7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New in 2022. GenMark Diagnostics, Intersect ENT, and Luminex were removed from the list of companies from the prior year.</w:t>
      </w:r>
    </w:p>
    <w:p>
      <w:pPr>
        <w:spacing w:after="0" w:line="35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At the time of approval, Veracyte was around the 50th percentile for both market cap and revenue reinforcing the balance in the group of companies.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Compensation Risk</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compensation governance practices provide an appropriate framework for our executives to achieve our strategic goals without encouraging them to take excessive risks in their business decisions.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an annual basis, the Compensation Committee conducts a thorough risk assessment of our compensation programs and practices to analyze whether they encourage employees to take excessive or inappropriate risks. After conducting this analysis, the Compensation Committee concluded our compensation programs are, on balance, consistent with market practice and do not present material risks to us. The reasons for the Compensation Committee’s determination include the following:</w:t>
      </w:r>
    </w:p>
    <w:p>
      <w:pPr>
        <w:spacing w:after="0" w:line="79" w:lineRule="exact"/>
        <w:rPr>
          <w:sz w:val="20"/>
          <w:szCs w:val="20"/>
          <w:color w:val="auto"/>
        </w:rPr>
      </w:pPr>
    </w:p>
    <w:p>
      <w:pPr>
        <w:jc w:val="both"/>
        <w:ind w:left="660" w:hanging="328"/>
        <w:spacing w:after="0" w:line="296"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structure our compensation programs to consist of both fixed and variable components. The fixed (or base salary) component of our compensation programs is designed to provide income independent of our stock price performance so that employees will not focus exclusively on stock price performance to the detriment of other important business metrics. The variable (cash bonus and equity) components of our compensation programs are designed to reward both short- and long-term company performance, which we believe discourages employees from taking actions that focus only on our short-term success and helps align our employees with our stockholders and on our longer-term success.</w:t>
      </w:r>
    </w:p>
    <w:p>
      <w:pPr>
        <w:spacing w:after="0" w:line="53"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maintain internal controls over the measurement and calculation of financial information, which are designed to prevent this information from being manipulated by any employee, including our executive officers.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While we generally do not cap cash incentive awards for our sales commissions plans to maximize the incentive for our sales force to meet and exceed their revenue and other commercial objectives, we do maintain internal controls over the determination of sales incentive awards, which we believe help prevent problematic behaviors.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employees are required to comply with our Code of Conduct, which covers, among other things, accuracy in keeping financial and business records.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part of our Insider Trading Policy, we prohibit the trading of derivatives or hedging transactions involving our securities so that our Board, executive officers and all other employees cannot insulate themselves from the effects of poor stock price performance or engage in trading that is not aligned with value creation for our stockholders.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11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To maintain a competitive and comprehensive pay package, we utilize three primary compensation vehicles to reward our executives: base salary, annual cash incentives, and long-term equity compensation. When setting our compensation practices, we ensure that our program will focus our executive officers on leading our entire organization toward achieving both short-term and long-term strategic, financial and operational goals, and increasing stockholder value, without encouraging excessive risk-taking.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Base Salaries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 salaries serve to provide fixed cash compensation to our executive officers for performing their ongoing responsibilities. Base salaries for our executive officers are approved by the Compensation Committee upon the executive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46" w:name="page47"/>
    <w:bookmarkEnd w:id="46"/>
    <w:p>
      <w:pPr>
        <w:ind w:right="20"/>
        <w:spacing w:after="0" w:line="277" w:lineRule="auto"/>
        <w:rPr>
          <w:sz w:val="20"/>
          <w:szCs w:val="20"/>
          <w:color w:val="auto"/>
        </w:rPr>
      </w:pPr>
      <w:r>
        <w:rPr>
          <w:rFonts w:ascii="Arial" w:cs="Arial" w:eastAsia="Arial" w:hAnsi="Arial"/>
          <w:sz w:val="18"/>
          <w:szCs w:val="18"/>
          <w:color w:val="auto"/>
        </w:rPr>
        <w:t>joining us, and then reviewed and adjusted, as appropriate, by the Compensation Committee on an annual basis, in consultation with Aon and based on consideration of various factors, including:</w:t>
      </w:r>
    </w:p>
    <w:p>
      <w:pPr>
        <w:spacing w:after="0" w:line="305" w:lineRule="exact"/>
        <w:rPr>
          <w:sz w:val="20"/>
          <w:szCs w:val="20"/>
          <w:color w:val="auto"/>
        </w:rPr>
      </w:pPr>
    </w:p>
    <w:p>
      <w:pPr>
        <w:ind w:left="1100" w:hanging="32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individual’s role and responsibilities;</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Individual contribution and performance of the past year;</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Overall experience and expertise;</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Current Veracyte base salary;</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Corporate performance; and</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Salaries for similar positions within our industry.</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Compensation Committee and, with respect to our Chief Executive Officer, the independent members of the Board of Directors, approved the following base salaries for our named executive officers in February 2022 in a similar manner, and at similar levels as our companywide practices. The salary for Ms. McGuire, who joined Veracyte in February 2022, was approved in connection with her appointment:</w:t>
      </w:r>
    </w:p>
    <w:p>
      <w:pPr>
        <w:spacing w:after="0" w:line="133"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2060" w:type="dxa"/>
            <w:vAlign w:val="bottom"/>
            <w:tcBorders>
              <w:top w:val="single" w:sz="8" w:color="auto"/>
            </w:tcBorders>
            <w:vMerge w:val="restart"/>
          </w:tcPr>
          <w:p>
            <w:pPr>
              <w:ind w:left="740"/>
              <w:spacing w:after="0"/>
              <w:rPr>
                <w:sz w:val="20"/>
                <w:szCs w:val="20"/>
                <w:color w:val="auto"/>
              </w:rPr>
            </w:pPr>
            <w:r>
              <w:rPr>
                <w:rFonts w:ascii="Arial" w:cs="Arial" w:eastAsia="Arial" w:hAnsi="Arial"/>
                <w:sz w:val="16"/>
                <w:szCs w:val="16"/>
                <w:b w:val="1"/>
                <w:bCs w:val="1"/>
                <w:color w:val="auto"/>
              </w:rPr>
              <w:t>Executive</w:t>
            </w:r>
          </w:p>
        </w:tc>
        <w:tc>
          <w:tcPr>
            <w:tcW w:w="18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2021</w:t>
            </w:r>
          </w:p>
        </w:tc>
        <w:tc>
          <w:tcPr>
            <w:tcW w:w="19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5"/>
              </w:rPr>
              <w:t>2022</w:t>
            </w:r>
          </w:p>
        </w:tc>
        <w:tc>
          <w:tcPr>
            <w:tcW w:w="1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129"/>
        </w:trPr>
        <w:tc>
          <w:tcPr>
            <w:tcW w:w="2060" w:type="dxa"/>
            <w:vAlign w:val="bottom"/>
            <w:vMerge w:val="continue"/>
          </w:tcPr>
          <w:p>
            <w:pPr>
              <w:spacing w:after="0"/>
              <w:rPr>
                <w:sz w:val="11"/>
                <w:szCs w:val="11"/>
                <w:color w:val="auto"/>
              </w:rPr>
            </w:pPr>
          </w:p>
        </w:tc>
        <w:tc>
          <w:tcPr>
            <w:tcW w:w="186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Base Salary</w:t>
            </w:r>
          </w:p>
        </w:tc>
        <w:tc>
          <w:tcPr>
            <w:tcW w:w="194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Base Salary</w:t>
            </w: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vMerge w:val="continue"/>
          </w:tcPr>
          <w:p>
            <w:pPr>
              <w:spacing w:after="0"/>
              <w:rPr>
                <w:sz w:val="7"/>
                <w:szCs w:val="7"/>
                <w:color w:val="auto"/>
              </w:rPr>
            </w:pPr>
          </w:p>
        </w:tc>
        <w:tc>
          <w:tcPr>
            <w:tcW w:w="1940" w:type="dxa"/>
            <w:vAlign w:val="bottom"/>
            <w:tcBorders>
              <w:bottom w:val="single" w:sz="8" w:color="auto"/>
            </w:tcBorders>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Marc Stapley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$600,000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$625,000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4.2%</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Rebecca Chambers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$450,000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$463,500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3.0%</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Giulia C. Kennedy (1)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$469,050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$500,000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6.6%</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Annie McGuire (2)</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$400,000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Tina Nova</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$475,000</w:t>
            </w:r>
          </w:p>
        </w:tc>
        <w:tc>
          <w:tcPr>
            <w:tcW w:w="1940" w:type="dxa"/>
            <w:vAlign w:val="bottom"/>
          </w:tcPr>
          <w:p>
            <w:pPr>
              <w:jc w:val="center"/>
              <w:spacing w:after="0"/>
              <w:rPr>
                <w:sz w:val="20"/>
                <w:szCs w:val="20"/>
                <w:color w:val="auto"/>
              </w:rPr>
            </w:pPr>
            <w:r>
              <w:rPr>
                <w:rFonts w:ascii="Arial" w:cs="Arial" w:eastAsia="Arial" w:hAnsi="Arial"/>
                <w:sz w:val="16"/>
                <w:szCs w:val="16"/>
                <w:color w:val="auto"/>
                <w:w w:val="92"/>
              </w:rPr>
              <w:t>$500,000</w:t>
            </w:r>
          </w:p>
        </w:tc>
        <w:tc>
          <w:tcPr>
            <w:tcW w:w="1940" w:type="dxa"/>
            <w:vAlign w:val="bottom"/>
          </w:tcPr>
          <w:p>
            <w:pPr>
              <w:jc w:val="center"/>
              <w:spacing w:after="0"/>
              <w:rPr>
                <w:sz w:val="20"/>
                <w:szCs w:val="20"/>
                <w:color w:val="auto"/>
              </w:rPr>
            </w:pPr>
            <w:r>
              <w:rPr>
                <w:rFonts w:ascii="Arial" w:cs="Arial" w:eastAsia="Arial" w:hAnsi="Arial"/>
                <w:sz w:val="16"/>
                <w:szCs w:val="16"/>
                <w:color w:val="auto"/>
                <w:w w:val="87"/>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3810</wp:posOffset>
            </wp:positionV>
            <wp:extent cx="4954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7" w:lineRule="exact"/>
        <w:rPr>
          <w:sz w:val="20"/>
          <w:szCs w:val="20"/>
          <w:color w:val="auto"/>
        </w:rPr>
      </w:pPr>
    </w:p>
    <w:p>
      <w:pPr>
        <w:ind w:left="1940" w:hanging="200"/>
        <w:spacing w:after="0"/>
        <w:tabs>
          <w:tab w:leader="none" w:pos="1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Ms. Kennedy departed from the company effective December 31, 2022.</w:t>
      </w:r>
    </w:p>
    <w:p>
      <w:pPr>
        <w:spacing w:after="0" w:line="109" w:lineRule="exact"/>
        <w:rPr>
          <w:rFonts w:ascii="Arial" w:cs="Arial" w:eastAsia="Arial" w:hAnsi="Arial"/>
          <w:sz w:val="14"/>
          <w:szCs w:val="14"/>
          <w:color w:val="auto"/>
        </w:rPr>
      </w:pPr>
    </w:p>
    <w:p>
      <w:pPr>
        <w:ind w:left="1940" w:hanging="200"/>
        <w:spacing w:after="0"/>
        <w:tabs>
          <w:tab w:leader="none" w:pos="1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Ms. McGuire was hired as General Counsel in February 2022.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Annual Cash Incentives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our executives, including our NEOs, with the opportunity to annually earn cash incentives to encourage the achievement of corporate objectives, and to reward those individuals who significantly impact our corporate results. Payments under our annual bonus plan are based on the achievement of corporate goals established by our Board of Directors. Actual performance against these metrics funds the annual bonus plan pool and threshold levels of performance must be met for the pool to be funded.</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of our NEOs participated in our 2022 annual bonus plan. Executive officers who participate in this plan have an established annual incentive target, which is equal to a percentage of their base salary. The actual earned annual incentive bonus, if any, is calculated based on the bonus plan pool funding, pre-established Company performance metrics and any adjustments for individual performance as assessed by the Compensation Committee (taking into consideration the assessment by the Chief Executive Officer) for the NEOs, and by the Board of Directors for the Chief Executive Officer. For 2022, our NEOs had the annual bonus target opportunities set forth in the table below. There was no change to the target percentages from 2021 for incumbent NEOs. The maximum funding under the plan is 125% of target.</w:t>
      </w:r>
    </w:p>
    <w:p>
      <w:pPr>
        <w:spacing w:after="0" w:line="200" w:lineRule="exact"/>
        <w:rPr>
          <w:sz w:val="20"/>
          <w:szCs w:val="20"/>
          <w:color w:val="auto"/>
        </w:rPr>
      </w:pPr>
    </w:p>
    <w:p>
      <w:pPr>
        <w:spacing w:after="0" w:line="242" w:lineRule="exact"/>
        <w:rPr>
          <w:sz w:val="20"/>
          <w:szCs w:val="20"/>
          <w:color w:val="auto"/>
        </w:rPr>
      </w:pPr>
    </w:p>
    <w:tbl>
      <w:tblPr>
        <w:tblLayout w:type="fixed"/>
        <w:tblInd w:w="2760" w:type="dxa"/>
        <w:tblCellMar>
          <w:top w:w="0" w:type="dxa"/>
          <w:left w:w="0" w:type="dxa"/>
          <w:bottom w:w="0" w:type="dxa"/>
          <w:right w:w="0" w:type="dxa"/>
        </w:tblCellMar>
      </w:tblPr>
      <w:tr>
        <w:trPr>
          <w:trHeight w:val="189"/>
        </w:trPr>
        <w:tc>
          <w:tcPr>
            <w:tcW w:w="2480" w:type="dxa"/>
            <w:vAlign w:val="bottom"/>
            <w:tcBorders>
              <w:top w:val="single" w:sz="8" w:color="7F7F7F"/>
            </w:tcBorders>
            <w:vMerge w:val="restart"/>
          </w:tcPr>
          <w:p>
            <w:pPr>
              <w:ind w:left="20"/>
              <w:spacing w:after="0"/>
              <w:rPr>
                <w:sz w:val="20"/>
                <w:szCs w:val="20"/>
                <w:color w:val="auto"/>
              </w:rPr>
            </w:pPr>
            <w:r>
              <w:rPr>
                <w:rFonts w:ascii="Arial" w:cs="Arial" w:eastAsia="Arial" w:hAnsi="Arial"/>
                <w:sz w:val="18"/>
                <w:szCs w:val="18"/>
                <w:b w:val="1"/>
                <w:bCs w:val="1"/>
                <w:color w:val="auto"/>
              </w:rPr>
              <w:t>Executive</w:t>
            </w:r>
          </w:p>
        </w:tc>
        <w:tc>
          <w:tcPr>
            <w:tcW w:w="3700" w:type="dxa"/>
            <w:vAlign w:val="bottom"/>
            <w:tcBorders>
              <w:top w:val="single" w:sz="8" w:color="7F7F7F"/>
            </w:tcBorders>
          </w:tcPr>
          <w:p>
            <w:pPr>
              <w:jc w:val="center"/>
              <w:ind w:left="50"/>
              <w:spacing w:after="0" w:line="189" w:lineRule="exact"/>
              <w:rPr>
                <w:sz w:val="20"/>
                <w:szCs w:val="20"/>
                <w:color w:val="auto"/>
              </w:rPr>
            </w:pPr>
            <w:r>
              <w:rPr>
                <w:rFonts w:ascii="Arial" w:cs="Arial" w:eastAsia="Arial" w:hAnsi="Arial"/>
                <w:sz w:val="18"/>
                <w:szCs w:val="18"/>
                <w:b w:val="1"/>
                <w:bCs w:val="1"/>
                <w:color w:val="auto"/>
                <w:w w:val="92"/>
              </w:rPr>
              <w:t>Target Annual Incentive</w:t>
            </w: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370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9"/>
              </w:rPr>
              <w:t>(as % of base salary)</w:t>
            </w:r>
          </w:p>
        </w:tc>
        <w:tc>
          <w:tcPr>
            <w:tcW w:w="0" w:type="dxa"/>
            <w:vAlign w:val="bottom"/>
          </w:tcPr>
          <w:p>
            <w:pPr>
              <w:spacing w:after="0"/>
              <w:rPr>
                <w:sz w:val="1"/>
                <w:szCs w:val="1"/>
                <w:color w:val="auto"/>
              </w:rPr>
            </w:pPr>
          </w:p>
        </w:tc>
      </w:tr>
      <w:tr>
        <w:trPr>
          <w:trHeight w:val="90"/>
        </w:trPr>
        <w:tc>
          <w:tcPr>
            <w:tcW w:w="248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 Stapley</w:t>
            </w:r>
          </w:p>
        </w:tc>
        <w:tc>
          <w:tcPr>
            <w:tcW w:w="3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Rebecca Chambers</w:t>
            </w:r>
          </w:p>
        </w:tc>
        <w:tc>
          <w:tcPr>
            <w:tcW w:w="3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55%</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Giulia Kennedy (1)</w:t>
            </w:r>
          </w:p>
        </w:tc>
        <w:tc>
          <w:tcPr>
            <w:tcW w:w="3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55%</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Annie McGuire</w:t>
            </w:r>
          </w:p>
        </w:tc>
        <w:tc>
          <w:tcPr>
            <w:tcW w:w="3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28"/>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Tina Nova</w:t>
            </w:r>
          </w:p>
        </w:tc>
        <w:tc>
          <w:tcPr>
            <w:tcW w:w="3700" w:type="dxa"/>
            <w:vAlign w:val="bottom"/>
          </w:tcPr>
          <w:p>
            <w:pPr>
              <w:jc w:val="center"/>
              <w:ind w:left="50"/>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-2540</wp:posOffset>
            </wp:positionV>
            <wp:extent cx="39262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16"/>
          <w:szCs w:val="16"/>
          <w:color w:val="auto"/>
        </w:rPr>
        <w:t>(1) Ms. Kennedy departed from the company effective December 31, 2022.</w:t>
      </w:r>
    </w:p>
    <w:p>
      <w:pPr>
        <w:spacing w:after="0" w:line="200" w:lineRule="exact"/>
        <w:rPr>
          <w:sz w:val="20"/>
          <w:szCs w:val="20"/>
          <w:color w:val="auto"/>
        </w:rPr>
      </w:pP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2022 Bonus Plan Awards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2022, the independent members of our Board of Directors, on the recommendation of the Compensation Committee, approved corporate goals for our 2022 annual bonus plan. Under the plan, eligible employees, including our NEOs, were eligible to receive a cash bonus if we achieved the corporate goals approved by our Board of Directors, as described in the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table below. With respect to our NEOs, the bonus pool could be funded from 0% to 100% based upon achieving certain annual revenue, cash flow from operations, pipeline/product and reimbursement goals as follows:</w:t>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540" w:type="dxa"/>
            <w:vAlign w:val="bottom"/>
          </w:tcPr>
          <w:p>
            <w:pPr>
              <w:spacing w:after="0"/>
              <w:rPr>
                <w:sz w:val="16"/>
                <w:szCs w:val="16"/>
                <w:color w:val="auto"/>
              </w:rPr>
            </w:pPr>
          </w:p>
        </w:tc>
        <w:tc>
          <w:tcPr>
            <w:tcW w:w="2460" w:type="dxa"/>
            <w:vAlign w:val="bottom"/>
          </w:tcPr>
          <w:p>
            <w:pPr>
              <w:ind w:left="580"/>
              <w:spacing w:after="0"/>
              <w:rPr>
                <w:sz w:val="20"/>
                <w:szCs w:val="20"/>
                <w:color w:val="auto"/>
              </w:rPr>
            </w:pPr>
            <w:r>
              <w:rPr>
                <w:rFonts w:ascii="Arial" w:cs="Arial" w:eastAsia="Arial" w:hAnsi="Arial"/>
                <w:sz w:val="16"/>
                <w:szCs w:val="16"/>
                <w:b w:val="1"/>
                <w:bCs w:val="1"/>
                <w:color w:val="auto"/>
              </w:rPr>
              <w:t>Financial</w:t>
            </w:r>
          </w:p>
        </w:tc>
        <w:tc>
          <w:tcPr>
            <w:tcW w:w="400" w:type="dxa"/>
            <w:vAlign w:val="bottom"/>
          </w:tcPr>
          <w:p>
            <w:pPr>
              <w:spacing w:after="0"/>
              <w:rPr>
                <w:sz w:val="16"/>
                <w:szCs w:val="16"/>
                <w:color w:val="auto"/>
              </w:rPr>
            </w:pPr>
          </w:p>
        </w:tc>
        <w:tc>
          <w:tcPr>
            <w:tcW w:w="3020" w:type="dxa"/>
            <w:vAlign w:val="bottom"/>
          </w:tcPr>
          <w:p>
            <w:pPr>
              <w:ind w:left="120"/>
              <w:spacing w:after="0"/>
              <w:rPr>
                <w:sz w:val="20"/>
                <w:szCs w:val="20"/>
                <w:color w:val="auto"/>
              </w:rPr>
            </w:pPr>
            <w:r>
              <w:rPr>
                <w:rFonts w:ascii="Arial" w:cs="Arial" w:eastAsia="Arial" w:hAnsi="Arial"/>
                <w:sz w:val="16"/>
                <w:szCs w:val="16"/>
                <w:b w:val="1"/>
                <w:bCs w:val="1"/>
                <w:color w:val="auto"/>
              </w:rPr>
              <w:t>Pipeline/Product Development</w:t>
            </w:r>
          </w:p>
        </w:tc>
        <w:tc>
          <w:tcPr>
            <w:tcW w:w="380" w:type="dxa"/>
            <w:vAlign w:val="bottom"/>
          </w:tcPr>
          <w:p>
            <w:pPr>
              <w:spacing w:after="0"/>
              <w:rPr>
                <w:sz w:val="16"/>
                <w:szCs w:val="16"/>
                <w:color w:val="auto"/>
              </w:rPr>
            </w:pPr>
          </w:p>
        </w:tc>
        <w:tc>
          <w:tcPr>
            <w:tcW w:w="4080" w:type="dxa"/>
            <w:vAlign w:val="bottom"/>
          </w:tcPr>
          <w:p>
            <w:pPr>
              <w:ind w:left="1100"/>
              <w:spacing w:after="0"/>
              <w:rPr>
                <w:sz w:val="20"/>
                <w:szCs w:val="20"/>
                <w:color w:val="auto"/>
              </w:rPr>
            </w:pPr>
            <w:r>
              <w:rPr>
                <w:rFonts w:ascii="Arial" w:cs="Arial" w:eastAsia="Arial" w:hAnsi="Arial"/>
                <w:sz w:val="16"/>
                <w:szCs w:val="16"/>
                <w:b w:val="1"/>
                <w:bCs w:val="1"/>
                <w:color w:val="auto"/>
              </w:rPr>
              <w:t>Clinical/BioPharma</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460" w:type="dxa"/>
            <w:vAlign w:val="bottom"/>
          </w:tcPr>
          <w:p>
            <w:pPr>
              <w:ind w:left="680"/>
              <w:spacing w:after="0"/>
              <w:rPr>
                <w:sz w:val="20"/>
                <w:szCs w:val="20"/>
                <w:color w:val="auto"/>
              </w:rPr>
            </w:pPr>
            <w:r>
              <w:rPr>
                <w:rFonts w:ascii="Arial" w:cs="Arial" w:eastAsia="Arial" w:hAnsi="Arial"/>
                <w:sz w:val="16"/>
                <w:szCs w:val="16"/>
                <w:b w:val="1"/>
                <w:bCs w:val="1"/>
                <w:color w:val="auto"/>
              </w:rPr>
              <w:t>(50%)</w:t>
            </w:r>
          </w:p>
        </w:tc>
        <w:tc>
          <w:tcPr>
            <w:tcW w:w="400" w:type="dxa"/>
            <w:vAlign w:val="bottom"/>
          </w:tcPr>
          <w:p>
            <w:pPr>
              <w:spacing w:after="0"/>
              <w:rPr>
                <w:sz w:val="18"/>
                <w:szCs w:val="18"/>
                <w:color w:val="auto"/>
              </w:rPr>
            </w:pPr>
          </w:p>
        </w:tc>
        <w:tc>
          <w:tcPr>
            <w:tcW w:w="3020" w:type="dxa"/>
            <w:vAlign w:val="bottom"/>
          </w:tcPr>
          <w:p>
            <w:pPr>
              <w:ind w:left="960"/>
              <w:spacing w:after="0"/>
              <w:rPr>
                <w:sz w:val="20"/>
                <w:szCs w:val="20"/>
                <w:color w:val="auto"/>
              </w:rPr>
            </w:pPr>
            <w:r>
              <w:rPr>
                <w:rFonts w:ascii="Arial" w:cs="Arial" w:eastAsia="Arial" w:hAnsi="Arial"/>
                <w:sz w:val="16"/>
                <w:szCs w:val="16"/>
                <w:b w:val="1"/>
                <w:bCs w:val="1"/>
                <w:color w:val="auto"/>
              </w:rPr>
              <w:t>(25%)</w:t>
            </w:r>
          </w:p>
        </w:tc>
        <w:tc>
          <w:tcPr>
            <w:tcW w:w="380" w:type="dxa"/>
            <w:vAlign w:val="bottom"/>
          </w:tcPr>
          <w:p>
            <w:pPr>
              <w:spacing w:after="0"/>
              <w:rPr>
                <w:sz w:val="18"/>
                <w:szCs w:val="18"/>
                <w:color w:val="auto"/>
              </w:rPr>
            </w:pPr>
          </w:p>
        </w:tc>
        <w:tc>
          <w:tcPr>
            <w:tcW w:w="4080" w:type="dxa"/>
            <w:vAlign w:val="bottom"/>
          </w:tcPr>
          <w:p>
            <w:pPr>
              <w:ind w:left="1560"/>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33"/>
        </w:trPr>
        <w:tc>
          <w:tcPr>
            <w:tcW w:w="540" w:type="dxa"/>
            <w:vAlign w:val="bottom"/>
            <w:tcBorders>
              <w:bottom w:val="single" w:sz="8" w:color="666666"/>
            </w:tcBorders>
          </w:tcPr>
          <w:p>
            <w:pPr>
              <w:spacing w:after="0"/>
              <w:rPr>
                <w:sz w:val="2"/>
                <w:szCs w:val="2"/>
                <w:color w:val="auto"/>
              </w:rPr>
            </w:pPr>
          </w:p>
        </w:tc>
        <w:tc>
          <w:tcPr>
            <w:tcW w:w="2460" w:type="dxa"/>
            <w:vAlign w:val="bottom"/>
            <w:tcBorders>
              <w:bottom w:val="single" w:sz="8" w:color="666666"/>
            </w:tcBorders>
          </w:tcPr>
          <w:p>
            <w:pPr>
              <w:spacing w:after="0"/>
              <w:rPr>
                <w:sz w:val="2"/>
                <w:szCs w:val="2"/>
                <w:color w:val="auto"/>
              </w:rPr>
            </w:pPr>
          </w:p>
        </w:tc>
        <w:tc>
          <w:tcPr>
            <w:tcW w:w="400" w:type="dxa"/>
            <w:vAlign w:val="bottom"/>
            <w:tcBorders>
              <w:bottom w:val="single" w:sz="8" w:color="666666"/>
            </w:tcBorders>
          </w:tcPr>
          <w:p>
            <w:pPr>
              <w:spacing w:after="0"/>
              <w:rPr>
                <w:sz w:val="2"/>
                <w:szCs w:val="2"/>
                <w:color w:val="auto"/>
              </w:rPr>
            </w:pPr>
          </w:p>
        </w:tc>
        <w:tc>
          <w:tcPr>
            <w:tcW w:w="3020" w:type="dxa"/>
            <w:vAlign w:val="bottom"/>
            <w:tcBorders>
              <w:bottom w:val="single" w:sz="8" w:color="666666"/>
            </w:tcBorders>
          </w:tcPr>
          <w:p>
            <w:pPr>
              <w:spacing w:after="0"/>
              <w:rPr>
                <w:sz w:val="2"/>
                <w:szCs w:val="2"/>
                <w:color w:val="auto"/>
              </w:rPr>
            </w:pPr>
          </w:p>
        </w:tc>
        <w:tc>
          <w:tcPr>
            <w:tcW w:w="380" w:type="dxa"/>
            <w:vAlign w:val="bottom"/>
            <w:tcBorders>
              <w:bottom w:val="single" w:sz="8" w:color="666666"/>
            </w:tcBorders>
          </w:tcPr>
          <w:p>
            <w:pPr>
              <w:spacing w:after="0"/>
              <w:rPr>
                <w:sz w:val="2"/>
                <w:szCs w:val="2"/>
                <w:color w:val="auto"/>
              </w:rPr>
            </w:pPr>
          </w:p>
        </w:tc>
        <w:tc>
          <w:tcPr>
            <w:tcW w:w="408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2460" w:type="dxa"/>
            <w:vAlign w:val="bottom"/>
          </w:tcPr>
          <w:p>
            <w:pPr>
              <w:ind w:left="120"/>
              <w:spacing w:after="0"/>
              <w:rPr>
                <w:sz w:val="20"/>
                <w:szCs w:val="20"/>
                <w:color w:val="auto"/>
              </w:rPr>
            </w:pPr>
            <w:r>
              <w:rPr>
                <w:rFonts w:ascii="Arial" w:cs="Arial" w:eastAsia="Arial" w:hAnsi="Arial"/>
                <w:sz w:val="16"/>
                <w:szCs w:val="16"/>
                <w:color w:val="auto"/>
              </w:rPr>
              <w:t>2022 total revenue of $284M (to</w:t>
            </w:r>
          </w:p>
        </w:tc>
        <w:tc>
          <w:tcPr>
            <w:tcW w:w="400" w:type="dxa"/>
            <w:vAlign w:val="bottom"/>
          </w:tcPr>
          <w:p>
            <w:pPr>
              <w:ind w:left="220"/>
              <w:spacing w:after="0"/>
              <w:rPr>
                <w:sz w:val="20"/>
                <w:szCs w:val="20"/>
                <w:color w:val="auto"/>
              </w:rPr>
            </w:pPr>
            <w:r>
              <w:rPr>
                <w:rFonts w:ascii="Arial" w:cs="Arial" w:eastAsia="Arial" w:hAnsi="Arial"/>
                <w:sz w:val="16"/>
                <w:szCs w:val="16"/>
                <w:color w:val="auto"/>
              </w:rPr>
              <w:t>•</w:t>
            </w:r>
          </w:p>
        </w:tc>
        <w:tc>
          <w:tcPr>
            <w:tcW w:w="3020" w:type="dxa"/>
            <w:vAlign w:val="bottom"/>
          </w:tcPr>
          <w:p>
            <w:pPr>
              <w:ind w:left="140"/>
              <w:spacing w:after="0"/>
              <w:rPr>
                <w:sz w:val="20"/>
                <w:szCs w:val="20"/>
                <w:color w:val="auto"/>
              </w:rPr>
            </w:pPr>
            <w:r>
              <w:rPr>
                <w:rFonts w:ascii="Arial" w:cs="Arial" w:eastAsia="Arial" w:hAnsi="Arial"/>
                <w:sz w:val="16"/>
                <w:szCs w:val="16"/>
                <w:color w:val="auto"/>
              </w:rPr>
              <w:t>NCounter development project</w:t>
            </w:r>
          </w:p>
        </w:tc>
        <w:tc>
          <w:tcPr>
            <w:tcW w:w="380" w:type="dxa"/>
            <w:vAlign w:val="bottom"/>
          </w:tcPr>
          <w:p>
            <w:pPr>
              <w:ind w:left="200"/>
              <w:spacing w:after="0"/>
              <w:rPr>
                <w:sz w:val="20"/>
                <w:szCs w:val="20"/>
                <w:color w:val="auto"/>
              </w:rPr>
            </w:pPr>
            <w:r>
              <w:rPr>
                <w:rFonts w:ascii="Arial" w:cs="Arial" w:eastAsia="Arial" w:hAnsi="Arial"/>
                <w:sz w:val="16"/>
                <w:szCs w:val="16"/>
                <w:color w:val="auto"/>
              </w:rPr>
              <w:t>•</w:t>
            </w:r>
          </w:p>
        </w:tc>
        <w:tc>
          <w:tcPr>
            <w:tcW w:w="4080" w:type="dxa"/>
            <w:vAlign w:val="bottom"/>
          </w:tcPr>
          <w:p>
            <w:pPr>
              <w:ind w:left="140"/>
              <w:spacing w:after="0"/>
              <w:rPr>
                <w:sz w:val="20"/>
                <w:szCs w:val="20"/>
                <w:color w:val="auto"/>
              </w:rPr>
            </w:pPr>
            <w:r>
              <w:rPr>
                <w:rFonts w:ascii="Arial" w:cs="Arial" w:eastAsia="Arial" w:hAnsi="Arial"/>
                <w:sz w:val="16"/>
                <w:szCs w:val="16"/>
                <w:color w:val="auto"/>
              </w:rPr>
              <w:t>Establish reimbursement strategy for Nasal Swab</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460" w:type="dxa"/>
            <w:vAlign w:val="bottom"/>
          </w:tcPr>
          <w:p>
            <w:pPr>
              <w:ind w:left="120"/>
              <w:spacing w:after="0"/>
              <w:rPr>
                <w:sz w:val="20"/>
                <w:szCs w:val="20"/>
                <w:color w:val="auto"/>
              </w:rPr>
            </w:pPr>
            <w:r>
              <w:rPr>
                <w:rFonts w:ascii="Arial" w:cs="Arial" w:eastAsia="Arial" w:hAnsi="Arial"/>
                <w:sz w:val="16"/>
                <w:szCs w:val="16"/>
                <w:color w:val="auto"/>
              </w:rPr>
              <w:t>achieve target payout level)</w:t>
            </w:r>
          </w:p>
        </w:tc>
        <w:tc>
          <w:tcPr>
            <w:tcW w:w="400" w:type="dxa"/>
            <w:vAlign w:val="bottom"/>
          </w:tcPr>
          <w:p>
            <w:pPr>
              <w:spacing w:after="0"/>
              <w:rPr>
                <w:sz w:val="16"/>
                <w:szCs w:val="16"/>
                <w:color w:val="auto"/>
              </w:rPr>
            </w:pPr>
          </w:p>
        </w:tc>
        <w:tc>
          <w:tcPr>
            <w:tcW w:w="3020" w:type="dxa"/>
            <w:vAlign w:val="bottom"/>
          </w:tcPr>
          <w:p>
            <w:pPr>
              <w:ind w:left="140"/>
              <w:spacing w:after="0"/>
              <w:rPr>
                <w:sz w:val="20"/>
                <w:szCs w:val="20"/>
                <w:color w:val="auto"/>
              </w:rPr>
            </w:pPr>
            <w:r>
              <w:rPr>
                <w:rFonts w:ascii="Arial" w:cs="Arial" w:eastAsia="Arial" w:hAnsi="Arial"/>
                <w:sz w:val="16"/>
                <w:szCs w:val="16"/>
                <w:color w:val="auto"/>
              </w:rPr>
              <w:t>progression</w:t>
            </w:r>
          </w:p>
        </w:tc>
        <w:tc>
          <w:tcPr>
            <w:tcW w:w="38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4080" w:type="dxa"/>
            <w:vAlign w:val="bottom"/>
            <w:vMerge w:val="restart"/>
          </w:tcPr>
          <w:p>
            <w:pPr>
              <w:ind w:left="140"/>
              <w:spacing w:after="0"/>
              <w:rPr>
                <w:sz w:val="20"/>
                <w:szCs w:val="20"/>
                <w:color w:val="auto"/>
              </w:rPr>
            </w:pPr>
            <w:r>
              <w:rPr>
                <w:rFonts w:ascii="Arial" w:cs="Arial" w:eastAsia="Arial" w:hAnsi="Arial"/>
                <w:sz w:val="16"/>
                <w:szCs w:val="16"/>
                <w:color w:val="auto"/>
              </w:rPr>
              <w:t>Envisia clinical trial enrollment progression</w:t>
            </w:r>
          </w:p>
        </w:tc>
        <w:tc>
          <w:tcPr>
            <w:tcW w:w="0" w:type="dxa"/>
            <w:vAlign w:val="bottom"/>
          </w:tcPr>
          <w:p>
            <w:pPr>
              <w:spacing w:after="0"/>
              <w:rPr>
                <w:sz w:val="1"/>
                <w:szCs w:val="1"/>
                <w:color w:val="auto"/>
              </w:rPr>
            </w:pPr>
          </w:p>
        </w:tc>
      </w:tr>
      <w:tr>
        <w:trPr>
          <w:trHeight w:val="71"/>
        </w:trPr>
        <w:tc>
          <w:tcPr>
            <w:tcW w:w="540" w:type="dxa"/>
            <w:vAlign w:val="bottom"/>
          </w:tcPr>
          <w:p>
            <w:pPr>
              <w:spacing w:after="0"/>
              <w:rPr>
                <w:sz w:val="6"/>
                <w:szCs w:val="6"/>
                <w:color w:val="auto"/>
              </w:rPr>
            </w:pPr>
          </w:p>
        </w:tc>
        <w:tc>
          <w:tcPr>
            <w:tcW w:w="2460" w:type="dxa"/>
            <w:vAlign w:val="bottom"/>
            <w:vMerge w:val="restart"/>
          </w:tcPr>
          <w:p>
            <w:pPr>
              <w:ind w:left="120"/>
              <w:spacing w:after="0"/>
              <w:rPr>
                <w:sz w:val="20"/>
                <w:szCs w:val="20"/>
                <w:color w:val="auto"/>
              </w:rPr>
            </w:pPr>
            <w:r>
              <w:rPr>
                <w:rFonts w:ascii="Arial" w:cs="Arial" w:eastAsia="Arial" w:hAnsi="Arial"/>
                <w:sz w:val="16"/>
                <w:szCs w:val="16"/>
                <w:color w:val="auto"/>
              </w:rPr>
              <w:t>(40%)</w:t>
            </w:r>
          </w:p>
        </w:tc>
        <w:tc>
          <w:tcPr>
            <w:tcW w:w="4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020" w:type="dxa"/>
            <w:vAlign w:val="bottom"/>
            <w:vMerge w:val="restart"/>
          </w:tcPr>
          <w:p>
            <w:pPr>
              <w:ind w:left="140"/>
              <w:spacing w:after="0"/>
              <w:rPr>
                <w:sz w:val="20"/>
                <w:szCs w:val="20"/>
                <w:color w:val="auto"/>
              </w:rPr>
            </w:pPr>
            <w:r>
              <w:rPr>
                <w:rFonts w:ascii="Arial" w:cs="Arial" w:eastAsia="Arial" w:hAnsi="Arial"/>
                <w:sz w:val="16"/>
                <w:szCs w:val="16"/>
                <w:color w:val="auto"/>
              </w:rPr>
              <w:t>PGA Launch</w:t>
            </w:r>
          </w:p>
        </w:tc>
        <w:tc>
          <w:tcPr>
            <w:tcW w:w="380" w:type="dxa"/>
            <w:vAlign w:val="bottom"/>
            <w:vMerge w:val="continue"/>
          </w:tcPr>
          <w:p>
            <w:pPr>
              <w:spacing w:after="0"/>
              <w:rPr>
                <w:sz w:val="6"/>
                <w:szCs w:val="6"/>
                <w:color w:val="auto"/>
              </w:rPr>
            </w:pPr>
          </w:p>
        </w:tc>
        <w:tc>
          <w:tcPr>
            <w:tcW w:w="4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3020" w:type="dxa"/>
            <w:vAlign w:val="bottom"/>
            <w:vMerge w:val="continue"/>
          </w:tcPr>
          <w:p>
            <w:pPr>
              <w:spacing w:after="0"/>
              <w:rPr>
                <w:sz w:val="11"/>
                <w:szCs w:val="11"/>
                <w:color w:val="auto"/>
              </w:rPr>
            </w:pPr>
          </w:p>
        </w:tc>
        <w:tc>
          <w:tcPr>
            <w:tcW w:w="38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4080" w:type="dxa"/>
            <w:vAlign w:val="bottom"/>
            <w:vMerge w:val="restart"/>
          </w:tcPr>
          <w:p>
            <w:pPr>
              <w:ind w:left="140"/>
              <w:spacing w:after="0"/>
              <w:rPr>
                <w:sz w:val="20"/>
                <w:szCs w:val="20"/>
                <w:color w:val="auto"/>
              </w:rPr>
            </w:pPr>
            <w:r>
              <w:rPr>
                <w:rFonts w:ascii="Arial" w:cs="Arial" w:eastAsia="Arial" w:hAnsi="Arial"/>
                <w:sz w:val="16"/>
                <w:szCs w:val="16"/>
                <w:color w:val="auto"/>
              </w:rPr>
              <w:t>Improve gross margin on testing revenue</w:t>
            </w:r>
          </w:p>
        </w:tc>
        <w:tc>
          <w:tcPr>
            <w:tcW w:w="0" w:type="dxa"/>
            <w:vAlign w:val="bottom"/>
          </w:tcPr>
          <w:p>
            <w:pPr>
              <w:spacing w:after="0"/>
              <w:rPr>
                <w:sz w:val="1"/>
                <w:szCs w:val="1"/>
                <w:color w:val="auto"/>
              </w:rPr>
            </w:pPr>
          </w:p>
        </w:tc>
      </w:tr>
      <w:tr>
        <w:trPr>
          <w:trHeight w:val="54"/>
        </w:trPr>
        <w:tc>
          <w:tcPr>
            <w:tcW w:w="54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2460" w:type="dxa"/>
            <w:vAlign w:val="bottom"/>
            <w:vMerge w:val="restart"/>
          </w:tcPr>
          <w:p>
            <w:pPr>
              <w:ind w:left="120"/>
              <w:spacing w:after="0"/>
              <w:rPr>
                <w:sz w:val="20"/>
                <w:szCs w:val="20"/>
                <w:color w:val="auto"/>
              </w:rPr>
            </w:pPr>
            <w:r>
              <w:rPr>
                <w:rFonts w:ascii="Arial" w:cs="Arial" w:eastAsia="Arial" w:hAnsi="Arial"/>
                <w:sz w:val="16"/>
                <w:szCs w:val="16"/>
                <w:color w:val="auto"/>
              </w:rPr>
              <w:t>2022 ending cash balance of</w:t>
            </w:r>
          </w:p>
        </w:tc>
        <w:tc>
          <w:tcPr>
            <w:tcW w:w="400" w:type="dxa"/>
            <w:vAlign w:val="bottom"/>
            <w:vMerge w:val="continue"/>
          </w:tcPr>
          <w:p>
            <w:pPr>
              <w:spacing w:after="0"/>
              <w:rPr>
                <w:sz w:val="4"/>
                <w:szCs w:val="4"/>
                <w:color w:val="auto"/>
              </w:rPr>
            </w:pPr>
          </w:p>
        </w:tc>
        <w:tc>
          <w:tcPr>
            <w:tcW w:w="30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54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4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020" w:type="dxa"/>
            <w:vAlign w:val="bottom"/>
            <w:vMerge w:val="restart"/>
          </w:tcPr>
          <w:p>
            <w:pPr>
              <w:ind w:left="140"/>
              <w:spacing w:after="0"/>
              <w:rPr>
                <w:sz w:val="20"/>
                <w:szCs w:val="20"/>
                <w:color w:val="auto"/>
              </w:rPr>
            </w:pPr>
            <w:r>
              <w:rPr>
                <w:rFonts w:ascii="Arial" w:cs="Arial" w:eastAsia="Arial" w:hAnsi="Arial"/>
                <w:sz w:val="16"/>
                <w:szCs w:val="16"/>
                <w:color w:val="auto"/>
              </w:rPr>
              <w:t>IVD Manufacturing Transfer progression</w:t>
            </w:r>
          </w:p>
        </w:tc>
        <w:tc>
          <w:tcPr>
            <w:tcW w:w="380" w:type="dxa"/>
            <w:vAlign w:val="bottom"/>
            <w:vMerge w:val="continue"/>
          </w:tcPr>
          <w:p>
            <w:pPr>
              <w:spacing w:after="0"/>
              <w:rPr>
                <w:sz w:val="4"/>
                <w:szCs w:val="4"/>
                <w:color w:val="auto"/>
              </w:rPr>
            </w:pPr>
          </w:p>
        </w:tc>
        <w:tc>
          <w:tcPr>
            <w:tcW w:w="4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540" w:type="dxa"/>
            <w:vAlign w:val="bottom"/>
            <w:vMerge w:val="continue"/>
          </w:tcPr>
          <w:p>
            <w:pPr>
              <w:spacing w:after="0"/>
              <w:rPr>
                <w:sz w:val="9"/>
                <w:szCs w:val="9"/>
                <w:color w:val="auto"/>
              </w:rPr>
            </w:pPr>
          </w:p>
        </w:tc>
        <w:tc>
          <w:tcPr>
            <w:tcW w:w="24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38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4080" w:type="dxa"/>
            <w:vAlign w:val="bottom"/>
            <w:vMerge w:val="restart"/>
          </w:tcPr>
          <w:p>
            <w:pPr>
              <w:ind w:left="140"/>
              <w:spacing w:after="0"/>
              <w:rPr>
                <w:sz w:val="20"/>
                <w:szCs w:val="20"/>
                <w:color w:val="auto"/>
              </w:rPr>
            </w:pPr>
            <w:r>
              <w:rPr>
                <w:rFonts w:ascii="Arial" w:cs="Arial" w:eastAsia="Arial" w:hAnsi="Arial"/>
                <w:sz w:val="16"/>
                <w:szCs w:val="16"/>
                <w:color w:val="auto"/>
              </w:rPr>
              <w:t>Nightingale site activations and patient enrollments</w:t>
            </w:r>
          </w:p>
        </w:tc>
        <w:tc>
          <w:tcPr>
            <w:tcW w:w="0" w:type="dxa"/>
            <w:vAlign w:val="bottom"/>
          </w:tcPr>
          <w:p>
            <w:pPr>
              <w:spacing w:after="0"/>
              <w:rPr>
                <w:sz w:val="1"/>
                <w:szCs w:val="1"/>
                <w:color w:val="auto"/>
              </w:rPr>
            </w:pPr>
          </w:p>
        </w:tc>
      </w:tr>
      <w:tr>
        <w:trPr>
          <w:trHeight w:val="71"/>
        </w:trPr>
        <w:tc>
          <w:tcPr>
            <w:tcW w:w="540" w:type="dxa"/>
            <w:vAlign w:val="bottom"/>
          </w:tcPr>
          <w:p>
            <w:pPr>
              <w:spacing w:after="0"/>
              <w:rPr>
                <w:sz w:val="6"/>
                <w:szCs w:val="6"/>
                <w:color w:val="auto"/>
              </w:rPr>
            </w:pPr>
          </w:p>
        </w:tc>
        <w:tc>
          <w:tcPr>
            <w:tcW w:w="2460" w:type="dxa"/>
            <w:vAlign w:val="bottom"/>
            <w:vMerge w:val="restart"/>
          </w:tcPr>
          <w:p>
            <w:pPr>
              <w:ind w:left="120"/>
              <w:spacing w:after="0"/>
              <w:rPr>
                <w:sz w:val="20"/>
                <w:szCs w:val="20"/>
                <w:color w:val="auto"/>
              </w:rPr>
            </w:pPr>
            <w:r>
              <w:rPr>
                <w:rFonts w:ascii="Arial" w:cs="Arial" w:eastAsia="Arial" w:hAnsi="Arial"/>
                <w:sz w:val="16"/>
                <w:szCs w:val="16"/>
                <w:color w:val="auto"/>
              </w:rPr>
              <w:t>$140M (10%)</w:t>
            </w:r>
          </w:p>
        </w:tc>
        <w:tc>
          <w:tcPr>
            <w:tcW w:w="400" w:type="dxa"/>
            <w:vAlign w:val="bottom"/>
            <w:vMerge w:val="continue"/>
          </w:tcPr>
          <w:p>
            <w:pPr>
              <w:spacing w:after="0"/>
              <w:rPr>
                <w:sz w:val="6"/>
                <w:szCs w:val="6"/>
                <w:color w:val="auto"/>
              </w:rPr>
            </w:pPr>
          </w:p>
        </w:tc>
        <w:tc>
          <w:tcPr>
            <w:tcW w:w="30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4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4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020" w:type="dxa"/>
            <w:vAlign w:val="bottom"/>
            <w:vMerge w:val="restart"/>
          </w:tcPr>
          <w:p>
            <w:pPr>
              <w:ind w:left="140"/>
              <w:spacing w:after="0"/>
              <w:rPr>
                <w:sz w:val="20"/>
                <w:szCs w:val="20"/>
                <w:color w:val="auto"/>
              </w:rPr>
            </w:pPr>
            <w:r>
              <w:rPr>
                <w:rFonts w:ascii="Arial" w:cs="Arial" w:eastAsia="Arial" w:hAnsi="Arial"/>
                <w:sz w:val="16"/>
                <w:szCs w:val="16"/>
                <w:color w:val="auto"/>
              </w:rPr>
              <w:t>Assay tech development and transfer</w:t>
            </w:r>
          </w:p>
        </w:tc>
        <w:tc>
          <w:tcPr>
            <w:tcW w:w="380" w:type="dxa"/>
            <w:vAlign w:val="bottom"/>
            <w:vMerge w:val="continue"/>
          </w:tcPr>
          <w:p>
            <w:pPr>
              <w:spacing w:after="0"/>
              <w:rPr>
                <w:sz w:val="4"/>
                <w:szCs w:val="4"/>
                <w:color w:val="auto"/>
              </w:rPr>
            </w:pPr>
          </w:p>
        </w:tc>
        <w:tc>
          <w:tcPr>
            <w:tcW w:w="4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4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Once the bonus pool is established based on Veracyte’s performance against the metrics above, an individual multiplier (between 80% and 120%) is applied based on each individual NEO’s contribution to our performance, as determined through an assessment of performance by the Chief Executive Officer with respect to the other NEOs. For 2022, the annual incentive bonus for the Chief Executive Officer was determined based solely on Veracyte performance and did not include an individual performance multiplier. Actual annual performance bonus awards paid out under the plan could be greater or less than the NEOs' individual targets, as determined by the independent members of our Board of Directors at their discretion, considering the recommendation of the Compensation Committee.</w:t>
      </w:r>
    </w:p>
    <w:p>
      <w:pPr>
        <w:spacing w:after="0" w:line="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Compensation Committee selected revenue as the primary financial performance measure to be used to determine annual cash bonuses as it is the best indicator of our growth in terms of aggregate test volume and sales, and successful execution of our annual operating plan. In addition, the Compensation Committee selected our cash balance as a second key measure to determine annual cash bonuses. This provided an incentive to manage our cash expenditures and navigate toward eventual profitability as we continue to grow. Together, these two metrics comprise 50% of the targeted payout under the 2022 Bonus Plan. In addition, given the importance of continuing to develop our product pipeline, the Compensation Committee selected certain product development milestones to determine an aggregate of 25% of the targeted payout. Finally, the Compensation Committee selected certain clinical and biopharma goals to determine an aggregate of 25% of the targeted payout because achievement of such goals will help to expand our tests commercially available and increase the number of patients we serve.</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2023, the independent members of our Board of Directors, on the recommendation of the Compensation Committee, approved cash bonus awards for 2022 performance. For 2022, our total revenue was $296.5 million, which exceeded our goal of $284 million (an increase over the 2021 goal of $200 million and actual result of $219.5 million). For 2022, we determined our ending cash balance was approximately $154 million which exceeded our goal of greater than $140 million. Additionally, we achieved certain target goals for “pipeline/product development” and “clinical/biopharma”. While certain milestones were not met for our “pipeline/product development” and “clinical/biopharma” goals, the Company produced extensive achievements in additional, vital areas, that the Compensation Committee considered in funding the Bonus Pool accordingly.</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metric is calculated individually, and the sum of the calculations determines the potential bonus pool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100330</wp:posOffset>
            </wp:positionV>
            <wp:extent cx="68237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161" w:lineRule="exact"/>
        <w:rPr>
          <w:sz w:val="20"/>
          <w:szCs w:val="20"/>
          <w:color w:val="auto"/>
        </w:rPr>
      </w:pPr>
    </w:p>
    <w:tbl>
      <w:tblPr>
        <w:tblLayout w:type="fixed"/>
        <w:tblInd w:w="260" w:type="dxa"/>
        <w:tblCellMar>
          <w:top w:w="0" w:type="dxa"/>
          <w:left w:w="0" w:type="dxa"/>
          <w:bottom w:w="0" w:type="dxa"/>
          <w:right w:w="0" w:type="dxa"/>
        </w:tblCellMar>
      </w:tblPr>
      <w:tr>
        <w:trPr>
          <w:trHeight w:val="241"/>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Metric</w:t>
            </w:r>
          </w:p>
        </w:tc>
        <w:tc>
          <w:tcPr>
            <w:tcW w:w="166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Weighting</w:t>
            </w:r>
          </w:p>
        </w:tc>
        <w:tc>
          <w:tcPr>
            <w:tcW w:w="17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Minimum (75%)</w:t>
            </w: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Target (100%)</w:t>
            </w:r>
          </w:p>
        </w:tc>
        <w:tc>
          <w:tcPr>
            <w:tcW w:w="19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Maximum (125%)</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Actual</w:t>
            </w:r>
          </w:p>
        </w:tc>
      </w:tr>
      <w:tr>
        <w:trPr>
          <w:trHeight w:val="22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w:t>
            </w:r>
          </w:p>
        </w:tc>
        <w:tc>
          <w:tcPr>
            <w:tcW w:w="16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0"/>
        </w:trPr>
        <w:tc>
          <w:tcPr>
            <w:tcW w:w="274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1660" w:type="dxa"/>
            <w:vAlign w:val="bottom"/>
          </w:tcPr>
          <w:p>
            <w:pPr>
              <w:jc w:val="center"/>
              <w:ind w:left="439"/>
              <w:spacing w:after="0"/>
              <w:rPr>
                <w:sz w:val="20"/>
                <w:szCs w:val="20"/>
                <w:color w:val="auto"/>
              </w:rPr>
            </w:pPr>
            <w:r>
              <w:rPr>
                <w:rFonts w:ascii="Arial" w:cs="Arial" w:eastAsia="Arial" w:hAnsi="Arial"/>
                <w:sz w:val="16"/>
                <w:szCs w:val="16"/>
                <w:color w:val="auto"/>
                <w:w w:val="93"/>
              </w:rPr>
              <w:t>40%</w:t>
            </w: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$271M</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$284M</w:t>
            </w:r>
          </w:p>
        </w:tc>
        <w:tc>
          <w:tcPr>
            <w:tcW w:w="1940" w:type="dxa"/>
            <w:vAlign w:val="bottom"/>
          </w:tcPr>
          <w:p>
            <w:pPr>
              <w:jc w:val="center"/>
              <w:spacing w:after="0"/>
              <w:rPr>
                <w:sz w:val="20"/>
                <w:szCs w:val="20"/>
                <w:color w:val="auto"/>
              </w:rPr>
            </w:pPr>
            <w:r>
              <w:rPr>
                <w:rFonts w:ascii="Arial" w:cs="Arial" w:eastAsia="Arial" w:hAnsi="Arial"/>
                <w:sz w:val="16"/>
                <w:szCs w:val="16"/>
                <w:color w:val="auto"/>
                <w:w w:val="98"/>
              </w:rPr>
              <w:t>$297M</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$296.5M</w:t>
            </w:r>
          </w:p>
        </w:tc>
      </w:tr>
      <w:tr>
        <w:trPr>
          <w:trHeight w:val="33"/>
        </w:trPr>
        <w:tc>
          <w:tcPr>
            <w:tcW w:w="2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2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Ending Cash Balance</w:t>
            </w:r>
          </w:p>
        </w:tc>
        <w:tc>
          <w:tcPr>
            <w:tcW w:w="166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3"/>
              </w:rPr>
              <w:t>10%</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$140M</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$179M</w:t>
            </w:r>
          </w:p>
        </w:tc>
      </w:tr>
      <w:tr>
        <w:trPr>
          <w:trHeight w:val="210"/>
        </w:trPr>
        <w:tc>
          <w:tcPr>
            <w:tcW w:w="2740" w:type="dxa"/>
            <w:vAlign w:val="bottom"/>
          </w:tcPr>
          <w:p>
            <w:pPr>
              <w:spacing w:after="0"/>
              <w:rPr>
                <w:sz w:val="20"/>
                <w:szCs w:val="20"/>
                <w:color w:val="auto"/>
              </w:rPr>
            </w:pPr>
            <w:r>
              <w:rPr>
                <w:rFonts w:ascii="Arial" w:cs="Arial" w:eastAsia="Arial" w:hAnsi="Arial"/>
                <w:sz w:val="16"/>
                <w:szCs w:val="16"/>
                <w:color w:val="auto"/>
              </w:rPr>
              <w:t>Pipeline/Product Development</w:t>
            </w:r>
          </w:p>
        </w:tc>
        <w:tc>
          <w:tcPr>
            <w:tcW w:w="1660" w:type="dxa"/>
            <w:vAlign w:val="bottom"/>
          </w:tcPr>
          <w:p>
            <w:pPr>
              <w:jc w:val="center"/>
              <w:ind w:left="439"/>
              <w:spacing w:after="0"/>
              <w:rPr>
                <w:sz w:val="20"/>
                <w:szCs w:val="20"/>
                <w:color w:val="auto"/>
              </w:rPr>
            </w:pPr>
            <w:r>
              <w:rPr>
                <w:rFonts w:ascii="Arial" w:cs="Arial" w:eastAsia="Arial" w:hAnsi="Arial"/>
                <w:sz w:val="16"/>
                <w:szCs w:val="16"/>
                <w:color w:val="auto"/>
                <w:w w:val="93"/>
              </w:rPr>
              <w:t>25%</w:t>
            </w:r>
          </w:p>
        </w:tc>
        <w:tc>
          <w:tcPr>
            <w:tcW w:w="172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33"/>
        </w:trPr>
        <w:tc>
          <w:tcPr>
            <w:tcW w:w="2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Clinical/BioPharma</w:t>
            </w:r>
          </w:p>
        </w:tc>
        <w:tc>
          <w:tcPr>
            <w:tcW w:w="1660" w:type="dxa"/>
            <w:vAlign w:val="bottom"/>
            <w:tcBorders>
              <w:bottom w:val="single" w:sz="8" w:color="CCEEFF"/>
            </w:tcBorders>
            <w:shd w:val="clear" w:color="auto" w:fill="CCEEFF"/>
          </w:tcPr>
          <w:p>
            <w:pPr>
              <w:jc w:val="center"/>
              <w:ind w:left="439"/>
              <w:spacing w:after="0"/>
              <w:rPr>
                <w:sz w:val="20"/>
                <w:szCs w:val="20"/>
                <w:color w:val="auto"/>
              </w:rPr>
            </w:pPr>
            <w:r>
              <w:rPr>
                <w:rFonts w:ascii="Arial" w:cs="Arial" w:eastAsia="Arial" w:hAnsi="Arial"/>
                <w:sz w:val="16"/>
                <w:szCs w:val="16"/>
                <w:color w:val="auto"/>
                <w:w w:val="93"/>
              </w:rPr>
              <w:t>25%</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03"/>
        </w:trPr>
        <w:tc>
          <w:tcPr>
            <w:tcW w:w="27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Total</w:t>
            </w:r>
          </w:p>
        </w:tc>
        <w:tc>
          <w:tcPr>
            <w:tcW w:w="1660" w:type="dxa"/>
            <w:vAlign w:val="bottom"/>
            <w:tcBorders>
              <w:top w:val="single" w:sz="8" w:color="auto"/>
            </w:tcBorders>
          </w:tcPr>
          <w:p>
            <w:pPr>
              <w:jc w:val="center"/>
              <w:ind w:left="439"/>
              <w:spacing w:after="0"/>
              <w:rPr>
                <w:sz w:val="20"/>
                <w:szCs w:val="20"/>
                <w:color w:val="auto"/>
              </w:rPr>
            </w:pPr>
            <w:r>
              <w:rPr>
                <w:rFonts w:ascii="Arial" w:cs="Arial" w:eastAsia="Arial" w:hAnsi="Arial"/>
                <w:sz w:val="16"/>
                <w:szCs w:val="16"/>
                <w:color w:val="auto"/>
                <w:w w:val="92"/>
              </w:rPr>
              <w:t>100%</w:t>
            </w:r>
          </w:p>
        </w:tc>
        <w:tc>
          <w:tcPr>
            <w:tcW w:w="17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All our NEOs were compensated under this Veracyte plan. Based on a review of all goals and accomplishments, the independent members of our Board of Directors and Compensation Committee determined that the corporate goals were achieved at 84%, with 20% and 5% achieved in Pipeline/Product Development and Clinical/Biopharma respectively. The Board further determined that it was appropriate to fund the bonus pool, and pay annual cash bonuses to all employees, including NEOs, at a greater achievement rate of 100% of the corporate goals. In making this determination to exercise positive discretion, the Board of Directors and Compensation Committee acknowledged that missed achievements within the “pipeline/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product development” and “clinical/biopharma” goals were superseded by the Company's extensive achievements (such as, among others, integral strategic portfolio decisions to allocate resources accordingly to drive growth, overcoming major supply chain issues with little impact on patients, successful cultural and infrastructure achievements in furtherance of global integration, and successful adoption and launch of important product differentiators) beyond those laid out at the start of 2022 as well as the outperformance on both established financial metrics. Our NEOs’ earned annual incentives for 2022 were as follows:</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140" w:type="dxa"/>
            <w:vAlign w:val="bottom"/>
          </w:tcPr>
          <w:p>
            <w:pPr>
              <w:spacing w:after="0"/>
              <w:rPr>
                <w:sz w:val="22"/>
                <w:szCs w:val="22"/>
                <w:color w:val="auto"/>
              </w:rPr>
            </w:pPr>
          </w:p>
        </w:tc>
        <w:tc>
          <w:tcPr>
            <w:tcW w:w="47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Original FY 2022 Opportunity</w:t>
            </w:r>
          </w:p>
        </w:tc>
        <w:tc>
          <w:tcPr>
            <w:tcW w:w="1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Actual</w:t>
            </w:r>
          </w:p>
        </w:tc>
        <w:tc>
          <w:tcPr>
            <w:tcW w:w="1460" w:type="dxa"/>
            <w:vAlign w:val="bottom"/>
            <w:tcBorders>
              <w:bottom w:val="single" w:sz="8" w:color="auto"/>
            </w:tcBorders>
          </w:tcPr>
          <w:p>
            <w:pPr>
              <w:spacing w:after="0"/>
              <w:rPr>
                <w:sz w:val="22"/>
                <w:szCs w:val="22"/>
                <w:color w:val="auto"/>
              </w:rPr>
            </w:pPr>
          </w:p>
        </w:tc>
      </w:tr>
      <w:tr>
        <w:trPr>
          <w:trHeight w:val="211"/>
        </w:trPr>
        <w:tc>
          <w:tcPr>
            <w:tcW w:w="2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2022 Target Bonus</w:t>
            </w:r>
          </w:p>
        </w:tc>
        <w:tc>
          <w:tcPr>
            <w:tcW w:w="156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1460" w:type="dxa"/>
            <w:vAlign w:val="bottom"/>
          </w:tcPr>
          <w:p>
            <w:pPr>
              <w:spacing w:after="0"/>
              <w:rPr>
                <w:sz w:val="18"/>
                <w:szCs w:val="18"/>
                <w:color w:val="auto"/>
              </w:rPr>
            </w:pPr>
          </w:p>
        </w:tc>
      </w:tr>
      <w:tr>
        <w:trPr>
          <w:trHeight w:val="203"/>
        </w:trPr>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(as a % of base</w:t>
            </w:r>
          </w:p>
        </w:tc>
        <w:tc>
          <w:tcPr>
            <w:tcW w:w="1560" w:type="dxa"/>
            <w:vAlign w:val="bottom"/>
            <w:tcBorders>
              <w:right w:val="single" w:sz="8" w:color="auto"/>
            </w:tcBorders>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Corporate</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Performance</w:t>
            </w: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2022 Earned</w:t>
            </w:r>
          </w:p>
        </w:tc>
      </w:tr>
      <w:tr>
        <w:trPr>
          <w:trHeight w:val="255"/>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Executive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 Base Salary</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salary)</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 Bonus ($)</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Multiplier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Multiplier</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Bonus</w:t>
            </w:r>
          </w:p>
        </w:tc>
      </w:tr>
      <w:tr>
        <w:trPr>
          <w:trHeight w:val="265"/>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Marc Stapley</w:t>
            </w:r>
            <w:r>
              <w:rPr>
                <w:rFonts w:ascii="Arial" w:cs="Arial" w:eastAsia="Arial" w:hAnsi="Arial"/>
                <w:sz w:val="23"/>
                <w:szCs w:val="23"/>
                <w:b w:val="1"/>
                <w:bCs w:val="1"/>
                <w:color w:val="auto"/>
                <w:vertAlign w:val="superscript"/>
              </w:rPr>
              <w:t>(1)</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$625,000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$625,000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$625,000</w:t>
            </w:r>
          </w:p>
        </w:tc>
      </w:tr>
      <w:tr>
        <w:trPr>
          <w:trHeight w:val="234"/>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Rebecca Chambers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$463,500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$254,925</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$305,910</w:t>
            </w:r>
          </w:p>
        </w:tc>
      </w:tr>
      <w:tr>
        <w:trPr>
          <w:trHeight w:val="275"/>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Giulia Kennedy</w:t>
            </w:r>
            <w:r>
              <w:rPr>
                <w:rFonts w:ascii="Arial" w:cs="Arial" w:eastAsia="Arial" w:hAnsi="Arial"/>
                <w:sz w:val="23"/>
                <w:szCs w:val="23"/>
                <w:b w:val="1"/>
                <w:bCs w:val="1"/>
                <w:color w:val="auto"/>
                <w:vertAlign w:val="superscript"/>
              </w:rPr>
              <w:t>(2)</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$500,000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$275,000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$275,000</w:t>
            </w:r>
          </w:p>
        </w:tc>
      </w:tr>
      <w:tr>
        <w:trPr>
          <w:trHeight w:val="260"/>
        </w:trPr>
        <w:tc>
          <w:tcPr>
            <w:tcW w:w="2140" w:type="dxa"/>
            <w:vAlign w:val="bottom"/>
          </w:tcPr>
          <w:p>
            <w:pPr>
              <w:ind w:left="20"/>
              <w:spacing w:after="0" w:line="259" w:lineRule="exact"/>
              <w:rPr>
                <w:sz w:val="20"/>
                <w:szCs w:val="20"/>
                <w:color w:val="auto"/>
              </w:rPr>
            </w:pPr>
            <w:r>
              <w:rPr>
                <w:rFonts w:ascii="Arial" w:cs="Arial" w:eastAsia="Arial" w:hAnsi="Arial"/>
                <w:sz w:val="18"/>
                <w:szCs w:val="18"/>
                <w:b w:val="1"/>
                <w:bCs w:val="1"/>
                <w:color w:val="auto"/>
              </w:rPr>
              <w:t>Annie McGuire</w:t>
            </w:r>
            <w:r>
              <w:rPr>
                <w:rFonts w:ascii="Arial" w:cs="Arial" w:eastAsia="Arial" w:hAnsi="Arial"/>
                <w:sz w:val="23"/>
                <w:szCs w:val="23"/>
                <w:b w:val="1"/>
                <w:bCs w:val="1"/>
                <w:color w:val="auto"/>
                <w:vertAlign w:val="superscript"/>
              </w:rPr>
              <w:t>(3)</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$400,000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$160,000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115%</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$154,014</w:t>
            </w:r>
          </w:p>
        </w:tc>
      </w:tr>
      <w:tr>
        <w:trPr>
          <w:trHeight w:val="24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Tina Nova</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$500,000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$375,000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$412,500</w:t>
            </w:r>
          </w:p>
        </w:tc>
      </w:tr>
    </w:tbl>
    <w:p>
      <w:pPr>
        <w:spacing w:after="0" w:line="92" w:lineRule="exact"/>
        <w:rPr>
          <w:sz w:val="20"/>
          <w:szCs w:val="20"/>
          <w:color w:val="auto"/>
        </w:rPr>
      </w:pPr>
    </w:p>
    <w:p>
      <w:pPr>
        <w:ind w:left="200" w:hanging="140"/>
        <w:spacing w:after="0"/>
        <w:tabs>
          <w:tab w:leader="none" w:pos="200"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Mr. Stapley, as executive responsible for our entire business, receives bonuses based entirely on corporate performance without an individual performance multiplier.</w:t>
      </w:r>
    </w:p>
    <w:p>
      <w:pPr>
        <w:ind w:left="200" w:hanging="140"/>
        <w:spacing w:after="0" w:line="232" w:lineRule="auto"/>
        <w:tabs>
          <w:tab w:leader="none" w:pos="200"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Ms. Kennedy departed from the company effective December 31, 2022.</w:t>
      </w:r>
    </w:p>
    <w:p>
      <w:pPr>
        <w:ind w:left="200" w:hanging="140"/>
        <w:spacing w:after="0" w:line="236" w:lineRule="auto"/>
        <w:tabs>
          <w:tab w:leader="none" w:pos="200"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Ms. McGuire received a pro-rated bonus for the period served in her role.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significant portion of executive pay is delivered as long-term incentives, or equity awards, which are designed to align executive officers’ interests with stockholder interests, promote retention through the reward of long-term company performance, and encourage ownership in our company. Equity awards are designed to encourage high performance by and long-term tenure for executive officers, thereby strongly aligning executive officers’ interests with the interests of our stockholders.</w:t>
      </w:r>
    </w:p>
    <w:p>
      <w:pPr>
        <w:spacing w:after="0" w:line="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grant equity awards in the form of stock options and RSUs. We believe that stock options, which are granted with exercise prices equal to the fair market value of our common stock on the date of grant and vest over a four-year period, provide an appropriate long-term incentive for our executive officers, as the stock options provide value only to the extent that our stock price increases above the exercise price set at the date of grant. Likewise, we believe that RSU awards reward our executive officers with long-term stock price appreciation while simultaneously helping us retain our executive officers, as RSUs provide some value to the recipient even if the market price of our common stock declines following the grant date. In addition, because RSUs are usually granted in smaller amounts than stock options, RSUs allow us to offer a robust equity compensation program while also managing dilution.</w:t>
      </w:r>
    </w:p>
    <w:p>
      <w:pPr>
        <w:spacing w:after="0" w:line="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Compensation Committee believes that certain targeted PSUs can provide an appropriate long-term incentive for our executive officers, as PSUs reward our executive officers only to the extent certain performance measures aligned with driving increased stockholder value are met.</w:t>
      </w:r>
    </w:p>
    <w:p>
      <w:pPr>
        <w:spacing w:after="0" w:line="3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2022, the Compensation Committee (and, in the case of our Chief Executive Officer, our Board of Directors), again granted PSUs to certain of our NEOs as a significant portion of their 2022 total equity compensation (“2022 PSUs”). The terms of these 2022 PSUs are described below.</w:t>
      </w:r>
    </w:p>
    <w:p>
      <w:pPr>
        <w:spacing w:after="0" w:line="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Compensation Committee initially determines the size of equity grants by considering the executive officer’s position and market data of our peer group companies as provided by Aon. The Compensation Committee then takes into consideration each named executive officer’s recent performance history, his or her potential for future responsibility and criticality of his or her work to the long-term success of our company and the retention value of outstanding awards. The Compensation Committee has the discretion to give relative weight to each of these factors as it sets the size of the equity grant to appropriately create an opportunity for reward based on increasing stockholder value. For newly hired or promoted executive officers, the Compensation Committee also takes into consideration the value needed to induce the individual to accept the position and to drive substantial performance.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b w:val="1"/>
          <w:bCs w:val="1"/>
          <w:color w:val="auto"/>
        </w:rPr>
        <w:t>2022 Equity Grants</w:t>
      </w:r>
    </w:p>
    <w:p>
      <w:pPr>
        <w:spacing w:after="0" w:line="1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February 2022, the independent members of the Board of Directors, on the recommendation of the Compensation Committee, approved annual equity awards to the NEOs to be granted in March consistent with past practice, in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66040</wp:posOffset>
            </wp:positionV>
            <wp:extent cx="52120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0" w:lineRule="exact"/>
        <w:rPr>
          <w:sz w:val="20"/>
          <w:szCs w:val="20"/>
          <w:color w:val="auto"/>
        </w:rPr>
      </w:pPr>
    </w:p>
    <w:tbl>
      <w:tblPr>
        <w:tblLayout w:type="fixed"/>
        <w:tblInd w:w="174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580" w:type="dxa"/>
            <w:vAlign w:val="bottom"/>
          </w:tcPr>
          <w:p>
            <w:pPr>
              <w:ind w:left="1000"/>
              <w:spacing w:after="0"/>
              <w:rPr>
                <w:sz w:val="20"/>
                <w:szCs w:val="20"/>
                <w:color w:val="auto"/>
              </w:rPr>
            </w:pPr>
            <w:r>
              <w:rPr>
                <w:rFonts w:ascii="Arial" w:cs="Arial" w:eastAsia="Arial" w:hAnsi="Arial"/>
                <w:sz w:val="16"/>
                <w:szCs w:val="16"/>
                <w:b w:val="1"/>
                <w:bCs w:val="1"/>
                <w:color w:val="auto"/>
              </w:rPr>
              <w:t>Stock Options</w:t>
            </w:r>
          </w:p>
        </w:tc>
        <w:tc>
          <w:tcPr>
            <w:tcW w:w="1640" w:type="dxa"/>
            <w:vAlign w:val="bottom"/>
          </w:tcPr>
          <w:p>
            <w:pPr>
              <w:ind w:left="620"/>
              <w:spacing w:after="0"/>
              <w:rPr>
                <w:sz w:val="20"/>
                <w:szCs w:val="20"/>
                <w:color w:val="auto"/>
              </w:rPr>
            </w:pPr>
            <w:r>
              <w:rPr>
                <w:rFonts w:ascii="Arial" w:cs="Arial" w:eastAsia="Arial" w:hAnsi="Arial"/>
                <w:sz w:val="16"/>
                <w:szCs w:val="16"/>
                <w:b w:val="1"/>
                <w:bCs w:val="1"/>
                <w:color w:val="auto"/>
              </w:rPr>
              <w:t>RSUs</w:t>
            </w:r>
          </w:p>
        </w:tc>
        <w:tc>
          <w:tcPr>
            <w:tcW w:w="1660" w:type="dxa"/>
            <w:vAlign w:val="bottom"/>
          </w:tcPr>
          <w:p>
            <w:pPr>
              <w:ind w:left="640"/>
              <w:spacing w:after="0"/>
              <w:rPr>
                <w:sz w:val="20"/>
                <w:szCs w:val="20"/>
                <w:color w:val="auto"/>
              </w:rPr>
            </w:pPr>
            <w:r>
              <w:rPr>
                <w:rFonts w:ascii="Arial" w:cs="Arial" w:eastAsia="Arial" w:hAnsi="Arial"/>
                <w:sz w:val="16"/>
                <w:szCs w:val="16"/>
                <w:b w:val="1"/>
                <w:bCs w:val="1"/>
                <w:color w:val="auto"/>
              </w:rPr>
              <w:t>PSUs</w:t>
            </w:r>
          </w:p>
        </w:tc>
      </w:tr>
      <w:tr>
        <w:trPr>
          <w:trHeight w:val="227"/>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Executive</w:t>
            </w:r>
          </w:p>
        </w:tc>
        <w:tc>
          <w:tcPr>
            <w:tcW w:w="25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91"/>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07"/>
        </w:trPr>
        <w:tc>
          <w:tcPr>
            <w:tcW w:w="2340" w:type="dxa"/>
            <w:vAlign w:val="bottom"/>
          </w:tcPr>
          <w:p>
            <w:pPr>
              <w:ind w:left="20"/>
              <w:spacing w:after="0"/>
              <w:rPr>
                <w:sz w:val="20"/>
                <w:szCs w:val="20"/>
                <w:color w:val="auto"/>
              </w:rPr>
            </w:pPr>
            <w:r>
              <w:rPr>
                <w:rFonts w:ascii="Arial" w:cs="Arial" w:eastAsia="Arial" w:hAnsi="Arial"/>
                <w:sz w:val="16"/>
                <w:szCs w:val="16"/>
                <w:b w:val="1"/>
                <w:bCs w:val="1"/>
                <w:color w:val="auto"/>
              </w:rPr>
              <w:t>Marc Stapley</w:t>
            </w:r>
          </w:p>
        </w:tc>
        <w:tc>
          <w:tcPr>
            <w:tcW w:w="2580" w:type="dxa"/>
            <w:vAlign w:val="bottom"/>
          </w:tcPr>
          <w:p>
            <w:pPr>
              <w:jc w:val="center"/>
              <w:ind w:left="319"/>
              <w:spacing w:after="0"/>
              <w:rPr>
                <w:sz w:val="20"/>
                <w:szCs w:val="20"/>
                <w:color w:val="auto"/>
              </w:rPr>
            </w:pPr>
            <w:r>
              <w:rPr>
                <w:rFonts w:ascii="Arial" w:cs="Arial" w:eastAsia="Arial" w:hAnsi="Arial"/>
                <w:sz w:val="16"/>
                <w:szCs w:val="16"/>
                <w:color w:val="auto"/>
                <w:w w:val="93"/>
              </w:rPr>
              <w:t>103,026</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56,537</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28,268</w:t>
            </w: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b w:val="1"/>
                <w:bCs w:val="1"/>
                <w:color w:val="auto"/>
              </w:rPr>
              <w:t>Rebecca Chambers</w:t>
            </w:r>
          </w:p>
        </w:tc>
        <w:tc>
          <w:tcPr>
            <w:tcW w:w="2580" w:type="dxa"/>
            <w:vAlign w:val="bottom"/>
          </w:tcPr>
          <w:p>
            <w:pPr>
              <w:jc w:val="center"/>
              <w:ind w:left="319"/>
              <w:spacing w:after="0"/>
              <w:rPr>
                <w:sz w:val="20"/>
                <w:szCs w:val="20"/>
                <w:color w:val="auto"/>
              </w:rPr>
            </w:pPr>
            <w:r>
              <w:rPr>
                <w:rFonts w:ascii="Arial" w:cs="Arial" w:eastAsia="Arial" w:hAnsi="Arial"/>
                <w:sz w:val="16"/>
                <w:szCs w:val="16"/>
                <w:color w:val="auto"/>
                <w:w w:val="93"/>
              </w:rPr>
              <w:t>37,773</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20,728</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10,364</w:t>
            </w:r>
          </w:p>
        </w:tc>
      </w:tr>
      <w:tr>
        <w:trPr>
          <w:trHeight w:val="222"/>
        </w:trPr>
        <w:tc>
          <w:tcPr>
            <w:tcW w:w="2340" w:type="dxa"/>
            <w:vAlign w:val="bottom"/>
          </w:tcPr>
          <w:p>
            <w:pPr>
              <w:ind w:left="20"/>
              <w:spacing w:after="0" w:line="222" w:lineRule="exact"/>
              <w:rPr>
                <w:sz w:val="20"/>
                <w:szCs w:val="20"/>
                <w:color w:val="auto"/>
              </w:rPr>
            </w:pPr>
            <w:r>
              <w:rPr>
                <w:rFonts w:ascii="Arial" w:cs="Arial" w:eastAsia="Arial" w:hAnsi="Arial"/>
                <w:sz w:val="16"/>
                <w:szCs w:val="16"/>
                <w:b w:val="1"/>
                <w:bCs w:val="1"/>
                <w:color w:val="auto"/>
              </w:rPr>
              <w:t>Giulia Kennedy</w:t>
            </w:r>
            <w:r>
              <w:rPr>
                <w:rFonts w:ascii="Arial" w:cs="Arial" w:eastAsia="Arial" w:hAnsi="Arial"/>
                <w:sz w:val="21"/>
                <w:szCs w:val="21"/>
                <w:b w:val="1"/>
                <w:bCs w:val="1"/>
                <w:color w:val="auto"/>
                <w:vertAlign w:val="superscript"/>
              </w:rPr>
              <w:t>(1)</w:t>
            </w:r>
          </w:p>
        </w:tc>
        <w:tc>
          <w:tcPr>
            <w:tcW w:w="2580" w:type="dxa"/>
            <w:vAlign w:val="bottom"/>
          </w:tcPr>
          <w:p>
            <w:pPr>
              <w:jc w:val="center"/>
              <w:ind w:left="319"/>
              <w:spacing w:after="0"/>
              <w:rPr>
                <w:sz w:val="20"/>
                <w:szCs w:val="20"/>
                <w:color w:val="auto"/>
              </w:rPr>
            </w:pPr>
            <w:r>
              <w:rPr>
                <w:rFonts w:ascii="Arial" w:cs="Arial" w:eastAsia="Arial" w:hAnsi="Arial"/>
                <w:sz w:val="16"/>
                <w:szCs w:val="16"/>
                <w:color w:val="auto"/>
                <w:w w:val="93"/>
              </w:rPr>
              <w:t>77,287</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42,412</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21,206</w:t>
            </w:r>
          </w:p>
        </w:tc>
      </w:tr>
      <w:tr>
        <w:trPr>
          <w:trHeight w:val="216"/>
        </w:trPr>
        <w:tc>
          <w:tcPr>
            <w:tcW w:w="23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Annie McGuire</w:t>
            </w:r>
            <w:r>
              <w:rPr>
                <w:rFonts w:ascii="Arial" w:cs="Arial" w:eastAsia="Arial" w:hAnsi="Arial"/>
                <w:sz w:val="21"/>
                <w:szCs w:val="21"/>
                <w:b w:val="1"/>
                <w:bCs w:val="1"/>
                <w:color w:val="auto"/>
                <w:vertAlign w:val="superscript"/>
              </w:rPr>
              <w:t>(2)</w:t>
            </w:r>
          </w:p>
        </w:tc>
        <w:tc>
          <w:tcPr>
            <w:tcW w:w="2580" w:type="dxa"/>
            <w:vAlign w:val="bottom"/>
          </w:tcPr>
          <w:p>
            <w:pPr>
              <w:jc w:val="center"/>
              <w:ind w:left="319"/>
              <w:spacing w:after="0"/>
              <w:rPr>
                <w:sz w:val="20"/>
                <w:szCs w:val="20"/>
                <w:color w:val="auto"/>
              </w:rPr>
            </w:pPr>
            <w:r>
              <w:rPr>
                <w:rFonts w:ascii="Arial" w:cs="Arial" w:eastAsia="Arial" w:hAnsi="Arial"/>
                <w:sz w:val="16"/>
                <w:szCs w:val="16"/>
                <w:color w:val="auto"/>
                <w:w w:val="93"/>
              </w:rPr>
              <w:t>42,175</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22,855</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340" w:type="dxa"/>
            <w:vAlign w:val="bottom"/>
          </w:tcPr>
          <w:p>
            <w:pPr>
              <w:ind w:left="20"/>
              <w:spacing w:after="0"/>
              <w:rPr>
                <w:sz w:val="20"/>
                <w:szCs w:val="20"/>
                <w:color w:val="auto"/>
              </w:rPr>
            </w:pPr>
            <w:r>
              <w:rPr>
                <w:rFonts w:ascii="Arial" w:cs="Arial" w:eastAsia="Arial" w:hAnsi="Arial"/>
                <w:sz w:val="16"/>
                <w:szCs w:val="16"/>
                <w:b w:val="1"/>
                <w:bCs w:val="1"/>
                <w:color w:val="auto"/>
              </w:rPr>
              <w:t>Tina Nova</w:t>
            </w:r>
          </w:p>
        </w:tc>
        <w:tc>
          <w:tcPr>
            <w:tcW w:w="2580" w:type="dxa"/>
            <w:vAlign w:val="bottom"/>
          </w:tcPr>
          <w:p>
            <w:pPr>
              <w:jc w:val="center"/>
              <w:ind w:left="319"/>
              <w:spacing w:after="0"/>
              <w:rPr>
                <w:sz w:val="20"/>
                <w:szCs w:val="20"/>
                <w:color w:val="auto"/>
              </w:rPr>
            </w:pPr>
            <w:r>
              <w:rPr>
                <w:rFonts w:ascii="Arial" w:cs="Arial" w:eastAsia="Arial" w:hAnsi="Arial"/>
                <w:sz w:val="16"/>
                <w:szCs w:val="16"/>
                <w:color w:val="auto"/>
                <w:w w:val="93"/>
              </w:rPr>
              <w:t>103,043</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56,546</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28,273</w:t>
            </w:r>
          </w:p>
        </w:tc>
      </w:tr>
    </w:tbl>
    <w:p>
      <w:pPr>
        <w:spacing w:after="0" w:line="118" w:lineRule="exact"/>
        <w:rPr>
          <w:sz w:val="20"/>
          <w:szCs w:val="20"/>
          <w:color w:val="auto"/>
        </w:rPr>
      </w:pPr>
    </w:p>
    <w:p>
      <w:pPr>
        <w:ind w:left="1900" w:hanging="139"/>
        <w:spacing w:after="0"/>
        <w:tabs>
          <w:tab w:leader="none" w:pos="1900"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Ms. Kennedy departed from the company effective December 31, 2022.</w:t>
      </w:r>
    </w:p>
    <w:p>
      <w:pPr>
        <w:spacing w:after="0" w:line="48" w:lineRule="exact"/>
        <w:rPr>
          <w:rFonts w:ascii="Arial" w:cs="Arial" w:eastAsia="Arial" w:hAnsi="Arial"/>
          <w:sz w:val="17"/>
          <w:szCs w:val="17"/>
          <w:color w:val="auto"/>
          <w:vertAlign w:val="superscript"/>
        </w:rPr>
      </w:pPr>
    </w:p>
    <w:p>
      <w:pPr>
        <w:ind w:left="1920" w:right="2040" w:hanging="159"/>
        <w:spacing w:after="0" w:line="276" w:lineRule="auto"/>
        <w:tabs>
          <w:tab w:leader="none" w:pos="1907"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Ms. McGuire was granted her equity awards on February 28, 2022 in connection with the commencement of her employment as our General Counsel.</w:t>
      </w:r>
    </w:p>
    <w:p>
      <w:pPr>
        <w:spacing w:after="0" w:line="2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first half of 2022, our sector experienced a great deal of market uncertainty including stock price volatility. At the same time, the ongoing talent challenges in the diagnostic sector, both for attracting and retaining key experienced leaders with specific business and technical capabilities and more broadly, began to materialize via escalating turnover in the market. The Compensation Committee proactively took action in evaluating the retention risk at the leadership level, including the NEOs, to develop a strategy and approach that was cost-effective, responsible to shareholders and provided the incentive to top talent to remain with the company. The Compensation Committee accordingly provided the CFO, CSO and General Counsel with a one-time grant of stock options and RSUs due to their new hire stock options being significantly underwater as a result of the broader macro market dynamics even after a strong performance year by the company. Not only were the new hire stock options underwater or without retention value, the intended compensation value delivered via time-vesting RSUs was also substantially below the intended compensation value. For the other NEOs, the Committee also evaluated the retention risk and determined that the holistic nature of their equity holdings were sufficiently retentive, and determined to not make any additional equity grants at that time. The following grants were made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74930</wp:posOffset>
            </wp:positionV>
            <wp:extent cx="41662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25" w:lineRule="exact"/>
        <w:rPr>
          <w:sz w:val="20"/>
          <w:szCs w:val="20"/>
          <w:color w:val="auto"/>
        </w:rPr>
      </w:pPr>
    </w:p>
    <w:tbl>
      <w:tblPr>
        <w:tblLayout w:type="fixed"/>
        <w:tblInd w:w="266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2560" w:type="dxa"/>
            <w:vAlign w:val="bottom"/>
          </w:tcPr>
          <w:p>
            <w:pPr>
              <w:ind w:left="980"/>
              <w:spacing w:after="0"/>
              <w:rPr>
                <w:sz w:val="20"/>
                <w:szCs w:val="20"/>
                <w:color w:val="auto"/>
              </w:rPr>
            </w:pPr>
            <w:r>
              <w:rPr>
                <w:rFonts w:ascii="Arial" w:cs="Arial" w:eastAsia="Arial" w:hAnsi="Arial"/>
                <w:sz w:val="16"/>
                <w:szCs w:val="16"/>
                <w:b w:val="1"/>
                <w:bCs w:val="1"/>
                <w:color w:val="auto"/>
              </w:rPr>
              <w:t>Stock Options</w:t>
            </w:r>
          </w:p>
        </w:tc>
        <w:tc>
          <w:tcPr>
            <w:tcW w:w="1640" w:type="dxa"/>
            <w:vAlign w:val="bottom"/>
          </w:tcPr>
          <w:p>
            <w:pPr>
              <w:ind w:left="640"/>
              <w:spacing w:after="0"/>
              <w:rPr>
                <w:sz w:val="20"/>
                <w:szCs w:val="20"/>
                <w:color w:val="auto"/>
              </w:rPr>
            </w:pPr>
            <w:r>
              <w:rPr>
                <w:rFonts w:ascii="Arial" w:cs="Arial" w:eastAsia="Arial" w:hAnsi="Arial"/>
                <w:sz w:val="16"/>
                <w:szCs w:val="16"/>
                <w:b w:val="1"/>
                <w:bCs w:val="1"/>
                <w:color w:val="auto"/>
              </w:rPr>
              <w:t>RSUs</w:t>
            </w:r>
          </w:p>
        </w:tc>
      </w:tr>
      <w:tr>
        <w:trPr>
          <w:trHeight w:val="240"/>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Executive</w:t>
            </w:r>
          </w:p>
        </w:tc>
        <w:tc>
          <w:tcPr>
            <w:tcW w:w="256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w w:val="91"/>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rPr>
              <w:t>Rebecca Chambers</w:t>
            </w:r>
          </w:p>
        </w:tc>
        <w:tc>
          <w:tcPr>
            <w:tcW w:w="2560" w:type="dxa"/>
            <w:vAlign w:val="bottom"/>
          </w:tcPr>
          <w:p>
            <w:pPr>
              <w:jc w:val="center"/>
              <w:ind w:left="319"/>
              <w:spacing w:after="0"/>
              <w:rPr>
                <w:sz w:val="20"/>
                <w:szCs w:val="20"/>
                <w:color w:val="auto"/>
              </w:rPr>
            </w:pPr>
            <w:r>
              <w:rPr>
                <w:rFonts w:ascii="Arial" w:cs="Arial" w:eastAsia="Arial" w:hAnsi="Arial"/>
                <w:sz w:val="16"/>
                <w:szCs w:val="16"/>
                <w:color w:val="auto"/>
                <w:w w:val="89"/>
              </w:rPr>
              <w:t>36,496</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21,404</w:t>
            </w:r>
          </w:p>
        </w:tc>
      </w:tr>
      <w:tr>
        <w:trPr>
          <w:trHeight w:val="216"/>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rPr>
              <w:t>Giulia Kennedy(1)</w:t>
            </w:r>
          </w:p>
        </w:tc>
        <w:tc>
          <w:tcPr>
            <w:tcW w:w="2560" w:type="dxa"/>
            <w:vAlign w:val="bottom"/>
          </w:tcPr>
          <w:p>
            <w:pPr>
              <w:jc w:val="center"/>
              <w:ind w:left="319"/>
              <w:spacing w:after="0"/>
              <w:rPr>
                <w:sz w:val="20"/>
                <w:szCs w:val="20"/>
                <w:color w:val="auto"/>
              </w:rPr>
            </w:pPr>
            <w:r>
              <w:rPr>
                <w:rFonts w:ascii="Arial" w:cs="Arial" w:eastAsia="Arial" w:hAnsi="Arial"/>
                <w:sz w:val="16"/>
                <w:szCs w:val="16"/>
                <w:color w:val="auto"/>
                <w:w w:val="89"/>
              </w:rPr>
              <w:t>18,248</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10,702</w:t>
            </w:r>
          </w:p>
        </w:tc>
      </w:tr>
      <w:tr>
        <w:trPr>
          <w:trHeight w:val="216"/>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rPr>
              <w:t>Annie McGuire</w:t>
            </w:r>
          </w:p>
        </w:tc>
        <w:tc>
          <w:tcPr>
            <w:tcW w:w="2560" w:type="dxa"/>
            <w:vAlign w:val="bottom"/>
          </w:tcPr>
          <w:p>
            <w:pPr>
              <w:jc w:val="center"/>
              <w:ind w:left="319"/>
              <w:spacing w:after="0"/>
              <w:rPr>
                <w:sz w:val="20"/>
                <w:szCs w:val="20"/>
                <w:color w:val="auto"/>
              </w:rPr>
            </w:pPr>
            <w:r>
              <w:rPr>
                <w:rFonts w:ascii="Arial" w:cs="Arial" w:eastAsia="Arial" w:hAnsi="Arial"/>
                <w:sz w:val="16"/>
                <w:szCs w:val="16"/>
                <w:color w:val="auto"/>
                <w:w w:val="89"/>
              </w:rPr>
              <w:t>18,248</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10,702</w:t>
            </w:r>
          </w:p>
        </w:tc>
      </w:tr>
    </w:tbl>
    <w:p>
      <w:pPr>
        <w:spacing w:after="0" w:line="10"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(1) Ms. Kennedy departed from the company effective December 31, 2022.</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Time-Based Vesting Schedules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annual option awards granted in March 2022 vest and become exercisable as to 25% of the shares on the first anniversary of the grant date, and the remaining shares vest at a rate of 1/48th of the total number of shares subject to the award for each month of continuous service thereafter (until the fourth anniversary of the date of grant).</w:t>
      </w:r>
    </w:p>
    <w:p>
      <w:pPr>
        <w:spacing w:after="0" w:line="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annual RSU awards granted in March 2022 vest as to 1/4 on the first anniversary of March 2, 2022 and then in equal quarterly installments over the following 12 quarters, based on continuing service on each vesting date (until the fourth anniversary of the date of grant).</w:t>
      </w:r>
    </w:p>
    <w:p>
      <w:pPr>
        <w:spacing w:after="0" w:line="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one-time Option retention awards granted in August 2022 vest and become exercisable as to 1/3rd of the total number of shares subject to the award for each month of continuous service thereafter (until the third anniversary of the date of grant).</w:t>
      </w:r>
    </w:p>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one-time RSU retention awards granted August 2022 vest at a rate of 1/3rd of the total number of RSUs on the one-year anniversary of the vesting commencement date, and vest at a rate of 1/12th of the total number of RSUs on each quarter thereafter (until the third anniversary of the date of grant). The significant reduction in intended value of existing grants to NEOs due to the macro market conditions and the critical need to retain certain of the NEOs led the Compensation Committee to issue these retention grants with a three-year vesting as opposed to four year vesting.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i w:val="1"/>
          <w:iCs w:val="1"/>
          <w:color w:val="auto"/>
        </w:rPr>
        <w:t>Performance-Based Vesting Schedules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2022 PSU awards are split between a two year and three year performance period to reward for growth and execution over time. One-third of the total number of shares subject to the PSU granted in 2022, will be earned if the total revenue for 2023 equals or exceeds a certain threshold and two-thirds of the total number of shares subject to the PSU will be earned if the total revenue for 2024 equals or exceeds a </w:t>
      </w:r>
      <w:r>
        <w:rPr>
          <w:rFonts w:ascii="Arial" w:cs="Arial" w:eastAsia="Arial" w:hAnsi="Arial"/>
          <w:sz w:val="17"/>
          <w:szCs w:val="17"/>
          <w:color w:val="201F1E"/>
        </w:rPr>
        <w:t>higher</w:t>
      </w:r>
      <w:r>
        <w:rPr>
          <w:rFonts w:ascii="Arial" w:cs="Arial" w:eastAsia="Arial" w:hAnsi="Arial"/>
          <w:sz w:val="17"/>
          <w:szCs w:val="17"/>
          <w:color w:val="auto"/>
        </w:rPr>
        <w:t xml:space="preserve"> threshold. The officer must remain in service with the Company on each of these vesting dates to have the opportunity to earn any "achieved" portion of the PSU. The Compensation Committee and Board of Directors believe the company’s primary and immediate focus should be on increased, sustained revenue growth. To that end, in addition to including short-term revenue growth in the annual incentive, the Committee felt the two-year and three-year performance periods were the most appropriate length for our growth strategy and drive toward profitability, and offer a reasonable balance between long-term growth and ongoing focus on medium-term revenue increases given the dynamic changes in the diagnostic and testing market place. For purposes of the 2022 PSU awards, “revenue” means our total revenue calculated in accordance with U.S. Generally Accepted Accounting Principles, as reported in our annual financial statements for the applicable year.</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Competitive Harm in Disclosing Thresholds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201F1E"/>
        </w:rPr>
        <w:t xml:space="preserve">We have not publicly disclosed the specific PSU performance thresholds because we believe advance disclosure of the thresholds could cause significant competitive harm to our business. The thresholds were purposefully set to be more aggressive than our disclosed guidance and long-term financial plan and are fully achievable only by outperforming such guidance and plan. If specific thresholds were disclosed, they could be treated as the Company’s new guidance or </w:t>
      </w:r>
      <w:r>
        <w:rPr>
          <w:rFonts w:ascii="Arial" w:cs="Arial" w:eastAsia="Arial" w:hAnsi="Arial"/>
          <w:sz w:val="16"/>
          <w:szCs w:val="16"/>
          <w:color w:val="000000"/>
        </w:rPr>
        <w:t>long-term</w:t>
      </w:r>
      <w:r>
        <w:rPr>
          <w:rFonts w:ascii="Arial" w:cs="Arial" w:eastAsia="Arial" w:hAnsi="Arial"/>
          <w:sz w:val="16"/>
          <w:szCs w:val="16"/>
          <w:color w:val="201F1E"/>
        </w:rPr>
        <w:t xml:space="preserve"> financial plan, which would not align with (i) the Company’s purpose of </w:t>
      </w:r>
      <w:r>
        <w:rPr>
          <w:rFonts w:ascii="Arial" w:cs="Arial" w:eastAsia="Arial" w:hAnsi="Arial"/>
          <w:sz w:val="16"/>
          <w:szCs w:val="16"/>
          <w:color w:val="000000"/>
        </w:rPr>
        <w:t>using</w:t>
      </w:r>
      <w:r>
        <w:rPr>
          <w:rFonts w:ascii="Arial" w:cs="Arial" w:eastAsia="Arial" w:hAnsi="Arial"/>
          <w:sz w:val="16"/>
          <w:szCs w:val="16"/>
          <w:color w:val="201F1E"/>
        </w:rPr>
        <w:t xml:space="preserve"> the PSU performance thresholds to encourage exceptional out performance of our rigorous disclosed guidance and plan, and (ii) how the Company understands the role the PSU performance thresholds have in our long-term business and strategy. Disclosing the specific thresholds could also create a retention risk for our Chief Executive Officer and other Named Executive Officers, who are crucial to the execution of our next phase of growth by giving insight into the retentive value of the PSU awards. Companies competing for our top executive talent could use the thresholds’ rigor and the significant challenge of achieving the full award, depending on how many tranches have been earned and what remains of the performance period, to undercut the value of the PSU awards by offering a sign-on bonus or a more easily achievable compensation package to induce our Named Executive Officers to leave the Company. While we are not disclosing the thresholds in advance, we plan to appropriately disclose applicable achievements in a fiscal year in the following year’s proxy statement.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Compensation Practices and Policies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Derivative Securities Transactions, Short Selling, and Pledging</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Under our Insider Trading Policy, our employees (including our executive officers) and the non-employee members of our Board of Directors are prohibited from engaging in hedging or monetization transactions involving our securities, such as zero-cost collars and forward sale contracts and </w:t>
      </w:r>
      <w:r>
        <w:rPr>
          <w:rFonts w:ascii="Arial" w:cs="Arial" w:eastAsia="Arial" w:hAnsi="Arial"/>
          <w:sz w:val="18"/>
          <w:szCs w:val="18"/>
          <w:color w:val="201F1E"/>
        </w:rPr>
        <w:t>may</w:t>
      </w:r>
      <w:r>
        <w:rPr>
          <w:rFonts w:ascii="Arial" w:cs="Arial" w:eastAsia="Arial" w:hAnsi="Arial"/>
          <w:sz w:val="18"/>
          <w:szCs w:val="18"/>
          <w:color w:val="auto"/>
        </w:rPr>
        <w:t xml:space="preserve"> not contribute our securities to exchange funds that could be interpreted as having the effect of hedging in our securities. Further, our employees (including executive officers) and the non-employee members of our Board of Directors are prohibited from engaging in transactions involving options or other derivative securities on our securities, such as puts and calls, whether on an exchange or in any other market and from engaging in short sales of our securities, including short sales “against the box.”</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Also, under our Insider Trading Policy, our employees (including our executive officers) and the non-employee members of our Board of Directors are prohibited from using or pledging our securities as collateral in a margin account or as collateral for a loan unless the pledge has been </w:t>
      </w:r>
      <w:r>
        <w:rPr>
          <w:rFonts w:ascii="Arial" w:cs="Arial" w:eastAsia="Arial" w:hAnsi="Arial"/>
          <w:sz w:val="18"/>
          <w:szCs w:val="18"/>
          <w:color w:val="201F1E"/>
        </w:rPr>
        <w:t xml:space="preserve">approved </w:t>
      </w:r>
      <w:r>
        <w:rPr>
          <w:rFonts w:ascii="Arial" w:cs="Arial" w:eastAsia="Arial" w:hAnsi="Arial"/>
          <w:sz w:val="18"/>
          <w:szCs w:val="18"/>
          <w:color w:val="000000"/>
        </w:rPr>
        <w:t>by the designated compliance administrator pursuant to the Insider Trading Policy, which approval is limited to situations where the subject</w:t>
      </w:r>
      <w:r>
        <w:rPr>
          <w:rFonts w:ascii="Arial" w:cs="Arial" w:eastAsia="Arial" w:hAnsi="Arial"/>
          <w:sz w:val="18"/>
          <w:szCs w:val="18"/>
          <w:color w:val="201F1E"/>
        </w:rPr>
        <w:t xml:space="preserve"> </w:t>
      </w:r>
      <w:r>
        <w:rPr>
          <w:rFonts w:ascii="Arial" w:cs="Arial" w:eastAsia="Arial" w:hAnsi="Arial"/>
          <w:sz w:val="18"/>
          <w:szCs w:val="18"/>
          <w:color w:val="000000"/>
        </w:rPr>
        <w:t>individual has demonstrated the financial capacity to repay the loan without resorting to the pledged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Executive and Board Stock Ownership Guidelines</w:t>
      </w:r>
    </w:p>
    <w:p>
      <w:pPr>
        <w:spacing w:after="0" w:line="3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February 2021, the Board of Directors adopted stock ownership guidelines for our executive officers. Under these guidelines, the Chief Executive Officer and each </w:t>
      </w:r>
      <w:r>
        <w:rPr>
          <w:rFonts w:ascii="Arial" w:cs="Arial" w:eastAsia="Arial" w:hAnsi="Arial"/>
          <w:sz w:val="18"/>
          <w:szCs w:val="18"/>
          <w:color w:val="201F1E"/>
        </w:rPr>
        <w:t>other</w:t>
      </w:r>
      <w:r>
        <w:rPr>
          <w:rFonts w:ascii="Arial" w:cs="Arial" w:eastAsia="Arial" w:hAnsi="Arial"/>
          <w:sz w:val="18"/>
          <w:szCs w:val="18"/>
          <w:color w:val="auto"/>
        </w:rPr>
        <w:t xml:space="preserve"> individual serving as a C-Level executive officer and each member of our Board of Directors must achieve the requirement within five years of becoming subject to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74295</wp:posOffset>
            </wp:positionV>
            <wp:extent cx="58635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9"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5840" w:type="dxa"/>
            <w:vAlign w:val="bottom"/>
            <w:tcBorders>
              <w:bottom w:val="single" w:sz="8" w:color="7F7F7F"/>
            </w:tcBorders>
          </w:tcPr>
          <w:p>
            <w:pPr>
              <w:ind w:left="20"/>
              <w:spacing w:after="0"/>
              <w:rPr>
                <w:sz w:val="20"/>
                <w:szCs w:val="20"/>
                <w:color w:val="auto"/>
              </w:rPr>
            </w:pPr>
            <w:r>
              <w:rPr>
                <w:rFonts w:ascii="Arial" w:cs="Arial" w:eastAsia="Arial" w:hAnsi="Arial"/>
                <w:sz w:val="18"/>
                <w:szCs w:val="18"/>
                <w:b w:val="1"/>
                <w:bCs w:val="1"/>
                <w:color w:val="auto"/>
              </w:rPr>
              <w:t>Position</w:t>
            </w:r>
          </w:p>
        </w:tc>
        <w:tc>
          <w:tcPr>
            <w:tcW w:w="3400" w:type="dxa"/>
            <w:vAlign w:val="bottom"/>
            <w:tcBorders>
              <w:bottom w:val="single" w:sz="8" w:color="7F7F7F"/>
            </w:tcBorders>
          </w:tcPr>
          <w:p>
            <w:pPr>
              <w:jc w:val="center"/>
              <w:ind w:left="290"/>
              <w:spacing w:after="0"/>
              <w:rPr>
                <w:sz w:val="20"/>
                <w:szCs w:val="20"/>
                <w:color w:val="auto"/>
              </w:rPr>
            </w:pPr>
            <w:r>
              <w:rPr>
                <w:rFonts w:ascii="Arial" w:cs="Arial" w:eastAsia="Arial" w:hAnsi="Arial"/>
                <w:sz w:val="18"/>
                <w:szCs w:val="18"/>
                <w:b w:val="1"/>
                <w:bCs w:val="1"/>
                <w:color w:val="auto"/>
                <w:w w:val="92"/>
              </w:rPr>
              <w:t>Requirement</w:t>
            </w:r>
          </w:p>
        </w:tc>
      </w:tr>
      <w:tr>
        <w:trPr>
          <w:trHeight w:val="250"/>
        </w:trPr>
        <w:tc>
          <w:tcPr>
            <w:tcW w:w="5840" w:type="dxa"/>
            <w:vAlign w:val="bottom"/>
            <w:tcBorders>
              <w:bottom w:val="single" w:sz="8" w:color="7F7F7F"/>
            </w:tcBorders>
          </w:tcPr>
          <w:p>
            <w:pPr>
              <w:ind w:left="20"/>
              <w:spacing w:after="0"/>
              <w:rPr>
                <w:sz w:val="20"/>
                <w:szCs w:val="20"/>
                <w:color w:val="auto"/>
              </w:rPr>
            </w:pPr>
            <w:r>
              <w:rPr>
                <w:rFonts w:ascii="Arial" w:cs="Arial" w:eastAsia="Arial" w:hAnsi="Arial"/>
                <w:sz w:val="18"/>
                <w:szCs w:val="18"/>
                <w:b w:val="1"/>
                <w:bCs w:val="1"/>
                <w:color w:val="auto"/>
              </w:rPr>
              <w:t>Chief Executive Officer</w:t>
            </w:r>
          </w:p>
        </w:tc>
        <w:tc>
          <w:tcPr>
            <w:tcW w:w="3400" w:type="dxa"/>
            <w:vAlign w:val="bottom"/>
            <w:tcBorders>
              <w:bottom w:val="single" w:sz="8" w:color="7F7F7F"/>
            </w:tcBorders>
          </w:tcPr>
          <w:p>
            <w:pPr>
              <w:jc w:val="center"/>
              <w:ind w:left="290"/>
              <w:spacing w:after="0"/>
              <w:rPr>
                <w:sz w:val="20"/>
                <w:szCs w:val="20"/>
                <w:color w:val="auto"/>
              </w:rPr>
            </w:pPr>
            <w:r>
              <w:rPr>
                <w:rFonts w:ascii="Arial" w:cs="Arial" w:eastAsia="Arial" w:hAnsi="Arial"/>
                <w:sz w:val="18"/>
                <w:szCs w:val="18"/>
                <w:color w:val="auto"/>
                <w:w w:val="87"/>
              </w:rPr>
              <w:t>3x base salary</w:t>
            </w:r>
          </w:p>
        </w:tc>
      </w:tr>
      <w:tr>
        <w:trPr>
          <w:trHeight w:val="250"/>
        </w:trPr>
        <w:tc>
          <w:tcPr>
            <w:tcW w:w="5840" w:type="dxa"/>
            <w:vAlign w:val="bottom"/>
            <w:tcBorders>
              <w:bottom w:val="single" w:sz="8" w:color="7F7F7F"/>
            </w:tcBorders>
          </w:tcPr>
          <w:p>
            <w:pPr>
              <w:ind w:left="20"/>
              <w:spacing w:after="0"/>
              <w:rPr>
                <w:sz w:val="20"/>
                <w:szCs w:val="20"/>
                <w:color w:val="auto"/>
              </w:rPr>
            </w:pPr>
            <w:r>
              <w:rPr>
                <w:rFonts w:ascii="Arial" w:cs="Arial" w:eastAsia="Arial" w:hAnsi="Arial"/>
                <w:sz w:val="18"/>
                <w:szCs w:val="18"/>
                <w:b w:val="1"/>
                <w:bCs w:val="1"/>
                <w:color w:val="auto"/>
              </w:rPr>
              <w:t>C-Level Executive Officers other than Chief Executive Officer</w:t>
            </w:r>
          </w:p>
        </w:tc>
        <w:tc>
          <w:tcPr>
            <w:tcW w:w="3400" w:type="dxa"/>
            <w:vAlign w:val="bottom"/>
            <w:tcBorders>
              <w:bottom w:val="single" w:sz="8" w:color="7F7F7F"/>
            </w:tcBorders>
          </w:tcPr>
          <w:p>
            <w:pPr>
              <w:jc w:val="center"/>
              <w:ind w:left="290"/>
              <w:spacing w:after="0"/>
              <w:rPr>
                <w:sz w:val="20"/>
                <w:szCs w:val="20"/>
                <w:color w:val="auto"/>
              </w:rPr>
            </w:pPr>
            <w:r>
              <w:rPr>
                <w:rFonts w:ascii="Arial" w:cs="Arial" w:eastAsia="Arial" w:hAnsi="Arial"/>
                <w:sz w:val="18"/>
                <w:szCs w:val="18"/>
                <w:color w:val="auto"/>
                <w:w w:val="87"/>
              </w:rPr>
              <w:t>1x base salary</w:t>
            </w:r>
          </w:p>
        </w:tc>
      </w:tr>
      <w:tr>
        <w:trPr>
          <w:trHeight w:val="250"/>
        </w:trPr>
        <w:tc>
          <w:tcPr>
            <w:tcW w:w="5840" w:type="dxa"/>
            <w:vAlign w:val="bottom"/>
            <w:tcBorders>
              <w:bottom w:val="single" w:sz="8" w:color="7F7F7F"/>
            </w:tcBorders>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3400" w:type="dxa"/>
            <w:vAlign w:val="bottom"/>
            <w:tcBorders>
              <w:bottom w:val="single" w:sz="8" w:color="7F7F7F"/>
            </w:tcBorders>
          </w:tcPr>
          <w:p>
            <w:pPr>
              <w:jc w:val="center"/>
              <w:ind w:left="290"/>
              <w:spacing w:after="0"/>
              <w:rPr>
                <w:sz w:val="20"/>
                <w:szCs w:val="20"/>
                <w:color w:val="auto"/>
              </w:rPr>
            </w:pPr>
            <w:r>
              <w:rPr>
                <w:rFonts w:ascii="Arial" w:cs="Arial" w:eastAsia="Arial" w:hAnsi="Arial"/>
                <w:sz w:val="18"/>
                <w:szCs w:val="18"/>
                <w:color w:val="auto"/>
                <w:w w:val="88"/>
              </w:rPr>
              <w:t>3x annual cash retainer</w:t>
            </w: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purposes of determining stock ownership levels, the following forms of equity interests are included: shares owned by the executive officer directly, or held in trust for the benefit of, the executive officer or director or his or her immediate family members residing in same household or through trusts; and the “In-the-Money” value of vested stock option awards. Unvested stock options, unvested restricted stock units and unvested performance stock units are not included. The applicable guidelines must be met within the earliest of five years from: (i) joining Veracyte, (ii) promotion to a C-Level executive officer or (iii) establishment of the guidelines. As of December 31, 2022, all non-employee directors and all of our current executive officers who are subject to these requirements were in compliance with our stock ownership guidelines, other than those executive officers whose employment began within the last five years, each of whom has sufficient time remaining to meet the required ownership level.</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Deductibility of Executive Compensation</w:t>
      </w:r>
    </w:p>
    <w:p>
      <w:pPr>
        <w:spacing w:after="0" w:line="3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Compensation Committee considers the deductibility of executive compensation under Section 162(m) of the Internal Revenue Code in designing, establishing and implementing our executive compensation policies and practices. Section 162(m) imposes limitations on the deductibility for corporate federal income tax purposes of compensation in excess of $1.0 million paid to any person who has served as chief executive officer, chief financial officer and each of the three next most highly compensated executive officers of a public company. As a result, we expect that compensation awarded to our named executive officers will not be deductible to the extent it is in excess of the $1.0 million threshold. In determining the form and amount of compensation for our named executive officers, the Compensation Committee will continue to consider all elements of the cost of such compensation, including Section 162(m).</w:t>
      </w:r>
    </w:p>
    <w:p>
      <w:pPr>
        <w:spacing w:after="0" w:line="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While the Compensation Committee considers the deductibility of awards as one factor in determining executive compensation, the Compensation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Taxation of “Parachute” Payments and Deferred Compensation.</w:t>
      </w:r>
    </w:p>
    <w:p>
      <w:pPr>
        <w:spacing w:after="0" w:line="1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Sections 280G and 4999 of the Internal Revenue Code provide that named executive officers and directors who hold significant equity interests and certain other service providers may be subject to an excise tax if they receive payments or benefits in connection with a change in control of our Company that exceed certain prescribed limits, and that we (or a successor) may forfeit a deduction on the amounts subject to this additional tax. Section 409A of the Internal Revenue Code imposes significant additional taxes in the event that an employee, including a named executive officer, director, or service provider receives “nonqualified deferred compensation” that does not satisfy the conditions of Section 409A.</w:t>
      </w:r>
    </w:p>
    <w:p>
      <w:pPr>
        <w:spacing w:after="0" w:line="6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not agreed and are not otherwise obligated to provide any named executive officer with a “gross-up” or other reimbursement payment for any tax liability that he or she might owe as a result of the application of Sections 280G, 4999 or 409A of the Internal Revenue Code.</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Stock-Based Compensation</w:t>
      </w:r>
      <w:r>
        <w:rPr>
          <w:rFonts w:ascii="Arial" w:cs="Arial" w:eastAsia="Arial" w:hAnsi="Arial"/>
          <w:sz w:val="18"/>
          <w:szCs w:val="18"/>
          <w:i w:val="1"/>
          <w:iCs w:val="1"/>
          <w:color w:val="auto"/>
        </w:rPr>
        <w:t>.</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follow the FASB ASC Topic 718 for our stock-based compensation awards. ASC 718 requires companies to calculate the grant date “fair value” of their stock-based awards using a variety of assumptions. This calculation is performed for accounting purposes and reported in the compensation tables that accompany this CD&amp;A, even though recipients may never realize any value from their awards. ASC 718 also requires companies to recognize the compensation cost of their stock-based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awards in their statements of operations over the period that the recipient of the award is required to render service in exchange for the award.</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3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we specifically incorporate this information by reference, and will not otherwise be deemed “soliciting material” or “filed” under either the Securities Act or the Exchange Act.</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required by Securities and Exchange Commission regulations. Based on its review and discussions, the Compensation Committee recommended to the Board of Directors that the Compensation Discussion and Analysis be included in this proxy statement and, through incorporation by reference, in our Annual Report on Form 10-K for the fiscal year ended December 31, 2022.</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Submitted by The Compensation Committee of the Board of Directors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Karin Eastham (Chair)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Epstein M.D., 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Jens Holstein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provides information concerning compensation awarded to, earned by, or paid to each of our named executive officers for 2020, 2021 and 2022.</w:t>
      </w:r>
    </w:p>
    <w:p>
      <w:pPr>
        <w:spacing w:after="0" w:line="328" w:lineRule="exact"/>
        <w:rPr>
          <w:sz w:val="20"/>
          <w:szCs w:val="20"/>
          <w:color w:val="auto"/>
        </w:rPr>
      </w:pPr>
    </w:p>
    <w:tbl>
      <w:tblPr>
        <w:tblLayout w:type="fixed"/>
        <w:tblInd w:w="540" w:type="dxa"/>
        <w:tblCellMar>
          <w:top w:w="0" w:type="dxa"/>
          <w:left w:w="0" w:type="dxa"/>
          <w:bottom w:w="0" w:type="dxa"/>
          <w:right w:w="0" w:type="dxa"/>
        </w:tblCellMar>
      </w:tblPr>
      <w:tr>
        <w:trPr>
          <w:trHeight w:val="167"/>
        </w:trPr>
        <w:tc>
          <w:tcPr>
            <w:tcW w:w="2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2"/>
              </w:rPr>
              <w:t>Non-Equity</w:t>
            </w: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w w:val="94"/>
              </w:rPr>
              <w:t>All Other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Salary ($)</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Bonus ($)(1)</w:t>
            </w: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0"/>
              </w:rPr>
              <w:t>Stock Awards ($)</w:t>
            </w:r>
          </w:p>
        </w:tc>
        <w:tc>
          <w:tcPr>
            <w:tcW w:w="10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Option Awards ($)</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10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83"/>
        </w:trPr>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Name and Principal Position</w:t>
            </w: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Year</w:t>
            </w:r>
          </w:p>
        </w:tc>
        <w:tc>
          <w:tcPr>
            <w:tcW w:w="92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w:t>
            </w: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Compensation ($)(3)</w:t>
            </w: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($)(4)</w:t>
            </w: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20"/>
              <w:spacing w:after="0"/>
              <w:rPr>
                <w:sz w:val="20"/>
                <w:szCs w:val="20"/>
                <w:color w:val="auto"/>
              </w:rPr>
            </w:pPr>
            <w:r>
              <w:rPr>
                <w:rFonts w:ascii="Arial" w:cs="Arial" w:eastAsia="Arial" w:hAnsi="Arial"/>
                <w:sz w:val="13"/>
                <w:szCs w:val="13"/>
                <w:color w:val="auto"/>
              </w:rPr>
              <w:t>Marc Stapley</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2022</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625,000</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2,206,626</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1,475,796</w:t>
            </w:r>
          </w:p>
        </w:tc>
        <w:tc>
          <w:tcPr>
            <w:tcW w:w="1240" w:type="dxa"/>
            <w:vAlign w:val="bottom"/>
          </w:tcPr>
          <w:p>
            <w:pPr>
              <w:jc w:val="right"/>
              <w:spacing w:after="0"/>
              <w:rPr>
                <w:sz w:val="20"/>
                <w:szCs w:val="20"/>
                <w:color w:val="auto"/>
              </w:rPr>
            </w:pPr>
            <w:r>
              <w:rPr>
                <w:rFonts w:ascii="Arial" w:cs="Arial" w:eastAsia="Arial" w:hAnsi="Arial"/>
                <w:sz w:val="13"/>
                <w:szCs w:val="13"/>
                <w:color w:val="auto"/>
              </w:rPr>
              <w:t>625,000</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4,935,422</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2021</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350,000</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2,569,723</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2,521,717</w:t>
            </w:r>
          </w:p>
        </w:tc>
        <w:tc>
          <w:tcPr>
            <w:tcW w:w="1240" w:type="dxa"/>
            <w:vAlign w:val="bottom"/>
          </w:tcPr>
          <w:p>
            <w:pPr>
              <w:jc w:val="right"/>
              <w:spacing w:after="0"/>
              <w:rPr>
                <w:sz w:val="20"/>
                <w:szCs w:val="20"/>
                <w:color w:val="auto"/>
              </w:rPr>
            </w:pPr>
            <w:r>
              <w:rPr>
                <w:rFonts w:ascii="Arial" w:cs="Arial" w:eastAsia="Arial" w:hAnsi="Arial"/>
                <w:sz w:val="13"/>
                <w:szCs w:val="13"/>
                <w:color w:val="auto"/>
              </w:rPr>
              <w:t>297,500</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5,741,940</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rPr>
                <w:sz w:val="20"/>
                <w:szCs w:val="20"/>
                <w:color w:val="auto"/>
              </w:rPr>
            </w:pPr>
            <w:r>
              <w:rPr>
                <w:rFonts w:ascii="Arial" w:cs="Arial" w:eastAsia="Arial" w:hAnsi="Arial"/>
                <w:sz w:val="13"/>
                <w:szCs w:val="13"/>
                <w:color w:val="auto"/>
              </w:rPr>
              <w:t>Rebecca Chambers</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2022</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463,500</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1,406,185</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1,144,161</w:t>
            </w:r>
          </w:p>
        </w:tc>
        <w:tc>
          <w:tcPr>
            <w:tcW w:w="1240" w:type="dxa"/>
            <w:vAlign w:val="bottom"/>
          </w:tcPr>
          <w:p>
            <w:pPr>
              <w:jc w:val="right"/>
              <w:spacing w:after="0"/>
              <w:rPr>
                <w:sz w:val="20"/>
                <w:szCs w:val="20"/>
                <w:color w:val="auto"/>
              </w:rPr>
            </w:pPr>
            <w:r>
              <w:rPr>
                <w:rFonts w:ascii="Arial" w:cs="Arial" w:eastAsia="Arial" w:hAnsi="Arial"/>
                <w:sz w:val="13"/>
                <w:szCs w:val="13"/>
                <w:color w:val="auto"/>
              </w:rPr>
              <w:t>305,910</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3,322,756</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Chief Financial Officer</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2021</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204,807</w:t>
            </w:r>
          </w:p>
        </w:tc>
        <w:tc>
          <w:tcPr>
            <w:tcW w:w="940" w:type="dxa"/>
            <w:vAlign w:val="bottom"/>
          </w:tcPr>
          <w:p>
            <w:pPr>
              <w:jc w:val="right"/>
              <w:spacing w:after="0"/>
              <w:rPr>
                <w:sz w:val="20"/>
                <w:szCs w:val="20"/>
                <w:color w:val="auto"/>
              </w:rPr>
            </w:pPr>
            <w:r>
              <w:rPr>
                <w:rFonts w:ascii="Arial" w:cs="Arial" w:eastAsia="Arial" w:hAnsi="Arial"/>
                <w:sz w:val="13"/>
                <w:szCs w:val="13"/>
                <w:color w:val="auto"/>
              </w:rPr>
              <w:t>100,000</w:t>
            </w:r>
          </w:p>
        </w:tc>
        <w:tc>
          <w:tcPr>
            <w:tcW w:w="1020" w:type="dxa"/>
            <w:vAlign w:val="bottom"/>
          </w:tcPr>
          <w:p>
            <w:pPr>
              <w:jc w:val="right"/>
              <w:spacing w:after="0"/>
              <w:rPr>
                <w:sz w:val="20"/>
                <w:szCs w:val="20"/>
                <w:color w:val="auto"/>
              </w:rPr>
            </w:pPr>
            <w:r>
              <w:rPr>
                <w:rFonts w:ascii="Arial" w:cs="Arial" w:eastAsia="Arial" w:hAnsi="Arial"/>
                <w:sz w:val="13"/>
                <w:szCs w:val="13"/>
                <w:color w:val="auto"/>
              </w:rPr>
              <w:t>1,741,684</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1,237,510</w:t>
            </w:r>
          </w:p>
        </w:tc>
        <w:tc>
          <w:tcPr>
            <w:tcW w:w="1240" w:type="dxa"/>
            <w:vAlign w:val="bottom"/>
          </w:tcPr>
          <w:p>
            <w:pPr>
              <w:jc w:val="right"/>
              <w:spacing w:after="0"/>
              <w:rPr>
                <w:sz w:val="20"/>
                <w:szCs w:val="20"/>
                <w:color w:val="auto"/>
              </w:rPr>
            </w:pPr>
            <w:r>
              <w:rPr>
                <w:rFonts w:ascii="Arial" w:cs="Arial" w:eastAsia="Arial" w:hAnsi="Arial"/>
                <w:sz w:val="13"/>
                <w:szCs w:val="13"/>
                <w:color w:val="auto"/>
              </w:rPr>
              <w:t>95,036</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3,382,037</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3"/>
                <w:szCs w:val="13"/>
                <w:color w:val="auto"/>
              </w:rPr>
              <w:t>Giulia C. Kennedy(5)</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2022</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500,000</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1,953,926</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1,408,639</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670,998</w:t>
            </w:r>
          </w:p>
        </w:tc>
        <w:tc>
          <w:tcPr>
            <w:tcW w:w="920" w:type="dxa"/>
            <w:vAlign w:val="bottom"/>
          </w:tcPr>
          <w:p>
            <w:pPr>
              <w:jc w:val="right"/>
              <w:spacing w:after="0"/>
              <w:rPr>
                <w:sz w:val="20"/>
                <w:szCs w:val="20"/>
                <w:color w:val="auto"/>
              </w:rPr>
            </w:pPr>
            <w:r>
              <w:rPr>
                <w:rFonts w:ascii="Arial" w:cs="Arial" w:eastAsia="Arial" w:hAnsi="Arial"/>
                <w:sz w:val="13"/>
                <w:szCs w:val="13"/>
                <w:color w:val="auto"/>
              </w:rPr>
              <w:t>4,533,563</w:t>
            </w:r>
          </w:p>
        </w:tc>
        <w:tc>
          <w:tcPr>
            <w:tcW w:w="0" w:type="dxa"/>
            <w:vAlign w:val="bottom"/>
          </w:tcPr>
          <w:p>
            <w:pPr>
              <w:spacing w:after="0"/>
              <w:rPr>
                <w:sz w:val="1"/>
                <w:szCs w:val="1"/>
                <w:color w:val="auto"/>
              </w:rPr>
            </w:pPr>
          </w:p>
        </w:tc>
      </w:tr>
      <w:tr>
        <w:trPr>
          <w:trHeight w:val="150"/>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w w:val="98"/>
              </w:rPr>
              <w:t>Former Global Chief Scientific and Chief</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2021</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469,050</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1,225,763</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719,605</w:t>
            </w:r>
          </w:p>
        </w:tc>
        <w:tc>
          <w:tcPr>
            <w:tcW w:w="1240" w:type="dxa"/>
            <w:vAlign w:val="bottom"/>
          </w:tcPr>
          <w:p>
            <w:pPr>
              <w:jc w:val="right"/>
              <w:spacing w:after="0"/>
              <w:rPr>
                <w:sz w:val="20"/>
                <w:szCs w:val="20"/>
                <w:color w:val="auto"/>
              </w:rPr>
            </w:pPr>
            <w:r>
              <w:rPr>
                <w:rFonts w:ascii="Arial" w:cs="Arial" w:eastAsia="Arial" w:hAnsi="Arial"/>
                <w:sz w:val="13"/>
                <w:szCs w:val="13"/>
                <w:color w:val="auto"/>
              </w:rPr>
              <w:t>219,281</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2,636,699</w:t>
            </w:r>
          </w:p>
        </w:tc>
        <w:tc>
          <w:tcPr>
            <w:tcW w:w="0" w:type="dxa"/>
            <w:vAlign w:val="bottom"/>
          </w:tcPr>
          <w:p>
            <w:pPr>
              <w:spacing w:after="0"/>
              <w:rPr>
                <w:sz w:val="1"/>
                <w:szCs w:val="1"/>
                <w:color w:val="auto"/>
              </w:rPr>
            </w:pPr>
          </w:p>
        </w:tc>
      </w:tr>
      <w:tr>
        <w:trPr>
          <w:trHeight w:val="160"/>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Medical Officer</w:t>
            </w: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color w:val="auto"/>
              </w:rPr>
              <w:t>2020</w:t>
            </w: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color w:val="auto"/>
              </w:rPr>
              <w:t>451,000</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1,950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304,245</w:t>
            </w:r>
          </w:p>
        </w:tc>
        <w:tc>
          <w:tcPr>
            <w:tcW w:w="1080" w:type="dxa"/>
            <w:vAlign w:val="bottom"/>
            <w:vMerge w:val="restart"/>
          </w:tcPr>
          <w:p>
            <w:pPr>
              <w:jc w:val="right"/>
              <w:ind w:right="17"/>
              <w:spacing w:after="0"/>
              <w:rPr>
                <w:sz w:val="20"/>
                <w:szCs w:val="20"/>
                <w:color w:val="auto"/>
              </w:rPr>
            </w:pPr>
            <w:r>
              <w:rPr>
                <w:rFonts w:ascii="Arial" w:cs="Arial" w:eastAsia="Arial" w:hAnsi="Arial"/>
                <w:sz w:val="13"/>
                <w:szCs w:val="13"/>
                <w:color w:val="auto"/>
              </w:rPr>
              <w:t>863,315</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248,050</w:t>
            </w: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1,870,560</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320" w:type="dxa"/>
            <w:vAlign w:val="bottom"/>
          </w:tcPr>
          <w:p>
            <w:pPr>
              <w:ind w:left="20"/>
              <w:spacing w:after="0"/>
              <w:rPr>
                <w:sz w:val="20"/>
                <w:szCs w:val="20"/>
                <w:color w:val="auto"/>
              </w:rPr>
            </w:pPr>
            <w:r>
              <w:rPr>
                <w:rFonts w:ascii="Arial" w:cs="Arial" w:eastAsia="Arial" w:hAnsi="Arial"/>
                <w:sz w:val="13"/>
                <w:szCs w:val="13"/>
                <w:color w:val="auto"/>
              </w:rPr>
              <w:t>Annie McGuire</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2022</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334,872</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933,955</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946,422</w:t>
            </w:r>
          </w:p>
        </w:tc>
        <w:tc>
          <w:tcPr>
            <w:tcW w:w="1240" w:type="dxa"/>
            <w:vAlign w:val="bottom"/>
          </w:tcPr>
          <w:p>
            <w:pPr>
              <w:jc w:val="right"/>
              <w:spacing w:after="0"/>
              <w:rPr>
                <w:sz w:val="20"/>
                <w:szCs w:val="20"/>
                <w:color w:val="auto"/>
              </w:rPr>
            </w:pPr>
            <w:r>
              <w:rPr>
                <w:rFonts w:ascii="Arial" w:cs="Arial" w:eastAsia="Arial" w:hAnsi="Arial"/>
                <w:sz w:val="13"/>
                <w:szCs w:val="13"/>
                <w:color w:val="auto"/>
              </w:rPr>
              <w:t>154,041</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77,765</w:t>
            </w:r>
          </w:p>
        </w:tc>
        <w:tc>
          <w:tcPr>
            <w:tcW w:w="920" w:type="dxa"/>
            <w:vAlign w:val="bottom"/>
          </w:tcPr>
          <w:p>
            <w:pPr>
              <w:jc w:val="right"/>
              <w:spacing w:after="0"/>
              <w:rPr>
                <w:sz w:val="20"/>
                <w:szCs w:val="20"/>
                <w:color w:val="auto"/>
              </w:rPr>
            </w:pPr>
            <w:r>
              <w:rPr>
                <w:rFonts w:ascii="Arial" w:cs="Arial" w:eastAsia="Arial" w:hAnsi="Arial"/>
                <w:sz w:val="13"/>
                <w:szCs w:val="13"/>
                <w:color w:val="auto"/>
              </w:rPr>
              <w:t>2,447,055</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w w:val="93"/>
              </w:rPr>
              <w:t>General Counsel and Chief People Officer</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rPr>
                <w:sz w:val="20"/>
                <w:szCs w:val="20"/>
                <w:color w:val="auto"/>
              </w:rPr>
            </w:pPr>
            <w:r>
              <w:rPr>
                <w:rFonts w:ascii="Arial" w:cs="Arial" w:eastAsia="Arial" w:hAnsi="Arial"/>
                <w:sz w:val="13"/>
                <w:szCs w:val="13"/>
                <w:color w:val="auto"/>
              </w:rPr>
              <w:t>Tina Nova</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2022</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500,000</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2,206,990</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1,476,039</w:t>
            </w:r>
          </w:p>
        </w:tc>
        <w:tc>
          <w:tcPr>
            <w:tcW w:w="1240" w:type="dxa"/>
            <w:vAlign w:val="bottom"/>
          </w:tcPr>
          <w:p>
            <w:pPr>
              <w:jc w:val="right"/>
              <w:spacing w:after="0"/>
              <w:rPr>
                <w:sz w:val="20"/>
                <w:szCs w:val="20"/>
                <w:color w:val="auto"/>
              </w:rPr>
            </w:pPr>
            <w:r>
              <w:rPr>
                <w:rFonts w:ascii="Arial" w:cs="Arial" w:eastAsia="Arial" w:hAnsi="Arial"/>
                <w:sz w:val="13"/>
                <w:szCs w:val="13"/>
                <w:color w:val="auto"/>
              </w:rPr>
              <w:t>412,500</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4,598,529</w:t>
            </w:r>
          </w:p>
        </w:tc>
        <w:tc>
          <w:tcPr>
            <w:tcW w:w="0" w:type="dxa"/>
            <w:vAlign w:val="bottom"/>
          </w:tcPr>
          <w:p>
            <w:pPr>
              <w:spacing w:after="0"/>
              <w:rPr>
                <w:sz w:val="1"/>
                <w:szCs w:val="1"/>
                <w:color w:val="auto"/>
              </w:rPr>
            </w:pPr>
          </w:p>
        </w:tc>
      </w:tr>
      <w:tr>
        <w:trPr>
          <w:trHeight w:val="150"/>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General Manager, Decipher Urologic</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Cancers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69850</wp:posOffset>
            </wp:positionV>
            <wp:extent cx="1457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84" w:lineRule="exact"/>
        <w:rPr>
          <w:sz w:val="20"/>
          <w:szCs w:val="20"/>
          <w:color w:val="auto"/>
        </w:rPr>
      </w:pPr>
    </w:p>
    <w:p>
      <w:pPr>
        <w:ind w:left="1140" w:right="560" w:hanging="382"/>
        <w:spacing w:after="0" w:line="236" w:lineRule="auto"/>
        <w:tabs>
          <w:tab w:leader="none" w:pos="11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amounts in this column represent (1) bonuses awarded to Ms. Kennedy at the discretion of our Board of Directors above the amounts earned by meeting the performance measures established under our 2020 Bonus Plan and (2) a sign-on bonus of $100,000 paid to Ms. Chambers in 2021.</w:t>
      </w:r>
    </w:p>
    <w:p>
      <w:pPr>
        <w:spacing w:after="0" w:line="110" w:lineRule="exact"/>
        <w:rPr>
          <w:rFonts w:ascii="Arial" w:cs="Arial" w:eastAsia="Arial" w:hAnsi="Arial"/>
          <w:sz w:val="13"/>
          <w:szCs w:val="13"/>
          <w:color w:val="auto"/>
        </w:rPr>
      </w:pPr>
    </w:p>
    <w:p>
      <w:pPr>
        <w:jc w:val="both"/>
        <w:ind w:left="1140" w:right="560" w:hanging="382"/>
        <w:spacing w:after="0" w:line="279" w:lineRule="auto"/>
        <w:tabs>
          <w:tab w:leader="none" w:pos="1140" w:val="left"/>
        </w:tabs>
        <w:numPr>
          <w:ilvl w:val="0"/>
          <w:numId w:val="36"/>
        </w:numPr>
        <w:rPr>
          <w:rFonts w:ascii="Arial" w:cs="Arial" w:eastAsia="Arial" w:hAnsi="Arial"/>
          <w:sz w:val="10"/>
          <w:szCs w:val="10"/>
          <w:color w:val="auto"/>
        </w:rPr>
      </w:pPr>
      <w:r>
        <w:rPr>
          <w:rFonts w:ascii="Arial" w:cs="Arial" w:eastAsia="Arial" w:hAnsi="Arial"/>
          <w:sz w:val="10"/>
          <w:szCs w:val="10"/>
          <w:color w:val="auto"/>
        </w:rPr>
        <w:t>Amounts represent the aggregate fair value of the awards computed as of the grant date of each award in accordance with Topic 718 for financial reporting purposes, rather than amounts paid to or realized by the named individual. Our assumptions with respect to the calculation of these values are set forth in the Notes to Financial Statements included in our Annual Report on Form 10-K for the year ended December 31, 2022. There can be no assurance that option awards will be exercised or that RSUs will settle (in which case no value will be realized by the individual) or that the value on exercise of options or settlement of RSUs will approximate the fair value as computed in accordance with Topic 718. We computed the grant date fair value of PSU awards based on our achievement of the PSU awards' performance conditions at 100% of target. If the PSUs were instead valued based on the maximum outcome of the applicable performance condition (i.e., based on maximum level performance), the total amount for the PSU awards reported in this column for 2022 would increase as follows: Mr. Stapley from $735,533 to $919,417, Ms. Chambers from $269,671 to $337,089, Ms. Kennedy from $551,780 to $689,725, and Ms. Nova from $735,663 to $919,579.</w:t>
      </w:r>
    </w:p>
    <w:p>
      <w:pPr>
        <w:spacing w:after="0" w:line="200" w:lineRule="exact"/>
        <w:rPr>
          <w:rFonts w:ascii="Arial" w:cs="Arial" w:eastAsia="Arial" w:hAnsi="Arial"/>
          <w:sz w:val="10"/>
          <w:szCs w:val="10"/>
          <w:color w:val="auto"/>
        </w:rPr>
      </w:pPr>
    </w:p>
    <w:p>
      <w:pPr>
        <w:spacing w:after="0" w:line="239" w:lineRule="exact"/>
        <w:rPr>
          <w:rFonts w:ascii="Arial" w:cs="Arial" w:eastAsia="Arial" w:hAnsi="Arial"/>
          <w:sz w:val="10"/>
          <w:szCs w:val="10"/>
          <w:color w:val="auto"/>
        </w:rPr>
      </w:pPr>
    </w:p>
    <w:p>
      <w:pPr>
        <w:ind w:left="1140" w:right="560" w:hanging="382"/>
        <w:spacing w:after="0" w:line="236" w:lineRule="auto"/>
        <w:tabs>
          <w:tab w:leader="none" w:pos="11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amounts reported in the Non-Equity Incentive Plan Compensation column for 2022 represent annual cash bonuses paid to the Named Executive Officers as described in “— Compensation Discussion and Analysis—2022 Annual Cash Incentives.”</w:t>
      </w:r>
    </w:p>
    <w:p>
      <w:pPr>
        <w:spacing w:after="0" w:line="110" w:lineRule="exact"/>
        <w:rPr>
          <w:rFonts w:ascii="Arial" w:cs="Arial" w:eastAsia="Arial" w:hAnsi="Arial"/>
          <w:sz w:val="13"/>
          <w:szCs w:val="13"/>
          <w:color w:val="auto"/>
        </w:rPr>
      </w:pPr>
    </w:p>
    <w:p>
      <w:pPr>
        <w:jc w:val="both"/>
        <w:ind w:left="1140" w:right="560" w:hanging="382"/>
        <w:spacing w:after="0" w:line="216" w:lineRule="auto"/>
        <w:tabs>
          <w:tab w:leader="none" w:pos="11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Other income includes matching contributions to 401(k) plans in an amount up to $3,000 per year for 2022 and 2021 and $2,000 per year for 2020. Other income for Ms. McGuire also includes assistance with housing expenses and tax gross-up paid for such expenses, pursuant to the terms of her employment agreement, totaling $74,765 for 2022. Ms. Kennedy departed from our company on December 31, 2022 and her other income also includes $275,000 of annual performance bonus, $250,000 of severance, $100,000 cash bonus, and $42,998 of COBRA payments.</w:t>
      </w:r>
    </w:p>
    <w:p>
      <w:pPr>
        <w:spacing w:after="0" w:line="325" w:lineRule="exact"/>
        <w:rPr>
          <w:rFonts w:ascii="Arial" w:cs="Arial" w:eastAsia="Arial" w:hAnsi="Arial"/>
          <w:sz w:val="13"/>
          <w:szCs w:val="13"/>
          <w:color w:val="auto"/>
        </w:rPr>
      </w:pPr>
    </w:p>
    <w:p>
      <w:pPr>
        <w:ind w:left="1140" w:hanging="382"/>
        <w:spacing w:after="0"/>
        <w:tabs>
          <w:tab w:leader="none" w:pos="11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Ms. Kennedy departed from the company effective December 31, 2022.</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information concerning each grant of an award made in 2022 for each of our named executive officers under any plan. This information supplements the information about these awards set forth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line="9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960" w:type="dxa"/>
            <w:vAlign w:val="bottom"/>
          </w:tcPr>
          <w:p>
            <w:pPr>
              <w:jc w:val="center"/>
              <w:ind w:left="1988"/>
              <w:spacing w:after="0"/>
              <w:rPr>
                <w:sz w:val="20"/>
                <w:szCs w:val="20"/>
                <w:color w:val="auto"/>
              </w:rPr>
            </w:pPr>
            <w:r>
              <w:rPr>
                <w:rFonts w:ascii="Arial" w:cs="Arial" w:eastAsia="Arial" w:hAnsi="Arial"/>
                <w:sz w:val="14"/>
                <w:szCs w:val="14"/>
                <w:b w:val="1"/>
                <w:bCs w:val="1"/>
                <w:color w:val="auto"/>
                <w:w w:val="92"/>
              </w:rPr>
              <w:t>Estimated</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960" w:type="dxa"/>
            <w:vAlign w:val="bottom"/>
          </w:tcPr>
          <w:p>
            <w:pPr>
              <w:jc w:val="center"/>
              <w:ind w:left="1988"/>
              <w:spacing w:after="0" w:line="149" w:lineRule="exact"/>
              <w:rPr>
                <w:sz w:val="20"/>
                <w:szCs w:val="20"/>
                <w:color w:val="auto"/>
              </w:rPr>
            </w:pPr>
            <w:r>
              <w:rPr>
                <w:rFonts w:ascii="Arial" w:cs="Arial" w:eastAsia="Arial" w:hAnsi="Arial"/>
                <w:sz w:val="14"/>
                <w:szCs w:val="14"/>
                <w:b w:val="1"/>
                <w:bCs w:val="1"/>
                <w:color w:val="auto"/>
                <w:w w:val="96"/>
              </w:rPr>
              <w:t>Future</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2960" w:type="dxa"/>
            <w:vAlign w:val="bottom"/>
          </w:tcPr>
          <w:p>
            <w:pPr>
              <w:jc w:val="center"/>
              <w:ind w:left="1968"/>
              <w:spacing w:after="0" w:line="149" w:lineRule="exact"/>
              <w:rPr>
                <w:sz w:val="20"/>
                <w:szCs w:val="20"/>
                <w:color w:val="auto"/>
              </w:rPr>
            </w:pPr>
            <w:r>
              <w:rPr>
                <w:rFonts w:ascii="Arial" w:cs="Arial" w:eastAsia="Arial" w:hAnsi="Arial"/>
                <w:sz w:val="14"/>
                <w:szCs w:val="14"/>
                <w:b w:val="1"/>
                <w:bCs w:val="1"/>
                <w:color w:val="auto"/>
                <w:w w:val="88"/>
              </w:rPr>
              <w:t>Payouts</w:t>
            </w:r>
          </w:p>
        </w:tc>
        <w:tc>
          <w:tcPr>
            <w:tcW w:w="3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 Equity Incentive</w:t>
            </w:r>
          </w:p>
        </w:tc>
        <w:tc>
          <w:tcPr>
            <w:tcW w:w="2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6"/>
              </w:rPr>
              <w:t>All Other Stock Option Awards:</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960" w:type="dxa"/>
            <w:vAlign w:val="bottom"/>
          </w:tcPr>
          <w:p>
            <w:pPr>
              <w:jc w:val="center"/>
              <w:ind w:left="1968"/>
              <w:spacing w:after="0" w:line="135" w:lineRule="exact"/>
              <w:rPr>
                <w:sz w:val="20"/>
                <w:szCs w:val="20"/>
                <w:color w:val="auto"/>
              </w:rPr>
            </w:pPr>
            <w:r>
              <w:rPr>
                <w:rFonts w:ascii="Arial" w:cs="Arial" w:eastAsia="Arial" w:hAnsi="Arial"/>
                <w:sz w:val="14"/>
                <w:szCs w:val="14"/>
                <w:b w:val="1"/>
                <w:bCs w:val="1"/>
                <w:color w:val="auto"/>
                <w:w w:val="94"/>
              </w:rPr>
              <w:t>Under Non-</w:t>
            </w:r>
          </w:p>
        </w:tc>
        <w:tc>
          <w:tcPr>
            <w:tcW w:w="3140" w:type="dxa"/>
            <w:vAlign w:val="bottom"/>
            <w:gridSpan w:val="3"/>
            <w:vMerge w:val="continue"/>
          </w:tcPr>
          <w:p>
            <w:pPr>
              <w:spacing w:after="0"/>
              <w:rPr>
                <w:sz w:val="11"/>
                <w:szCs w:val="11"/>
                <w:color w:val="auto"/>
              </w:rPr>
            </w:pPr>
          </w:p>
        </w:tc>
        <w:tc>
          <w:tcPr>
            <w:tcW w:w="11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4"/>
              </w:rPr>
              <w:t>Awards:</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960" w:type="dxa"/>
            <w:vAlign w:val="bottom"/>
          </w:tcPr>
          <w:p>
            <w:pPr>
              <w:jc w:val="center"/>
              <w:ind w:left="1988"/>
              <w:spacing w:after="0" w:line="129" w:lineRule="exact"/>
              <w:rPr>
                <w:sz w:val="20"/>
                <w:szCs w:val="20"/>
                <w:color w:val="auto"/>
              </w:rPr>
            </w:pPr>
            <w:r>
              <w:rPr>
                <w:rFonts w:ascii="Arial" w:cs="Arial" w:eastAsia="Arial" w:hAnsi="Arial"/>
                <w:sz w:val="14"/>
                <w:szCs w:val="14"/>
                <w:b w:val="1"/>
                <w:bCs w:val="1"/>
                <w:color w:val="auto"/>
                <w:w w:val="98"/>
              </w:rPr>
              <w:t>Equity</w:t>
            </w:r>
          </w:p>
        </w:tc>
        <w:tc>
          <w:tcPr>
            <w:tcW w:w="10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Plan Awards(2)</w:t>
            </w:r>
          </w:p>
        </w:tc>
        <w:tc>
          <w:tcPr>
            <w:tcW w:w="1020" w:type="dxa"/>
            <w:vAlign w:val="bottom"/>
            <w:tcBorders>
              <w:bottom w:val="single" w:sz="8" w:color="auto"/>
            </w:tcBorders>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960" w:type="dxa"/>
            <w:vAlign w:val="bottom"/>
          </w:tcPr>
          <w:p>
            <w:pPr>
              <w:jc w:val="center"/>
              <w:ind w:left="1968"/>
              <w:spacing w:after="0" w:line="142" w:lineRule="exact"/>
              <w:rPr>
                <w:sz w:val="20"/>
                <w:szCs w:val="20"/>
                <w:color w:val="auto"/>
              </w:rPr>
            </w:pPr>
            <w:r>
              <w:rPr>
                <w:rFonts w:ascii="Arial" w:cs="Arial" w:eastAsia="Arial" w:hAnsi="Arial"/>
                <w:sz w:val="14"/>
                <w:szCs w:val="14"/>
                <w:b w:val="1"/>
                <w:bCs w:val="1"/>
                <w:color w:val="auto"/>
                <w:w w:val="93"/>
              </w:rPr>
              <w:t>Incentive Plan</w:t>
            </w: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Threshold (#)</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Target (#)</w:t>
            </w: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Maximum (#)</w:t>
            </w: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Shares of Stock</w:t>
            </w: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2960" w:type="dxa"/>
            <w:vAlign w:val="bottom"/>
          </w:tcPr>
          <w:p>
            <w:pPr>
              <w:ind w:left="180"/>
              <w:spacing w:after="0"/>
              <w:rPr>
                <w:sz w:val="20"/>
                <w:szCs w:val="20"/>
                <w:color w:val="auto"/>
              </w:rPr>
            </w:pPr>
            <w:r>
              <w:rPr>
                <w:rFonts w:ascii="Arial" w:cs="Arial" w:eastAsia="Arial" w:hAnsi="Arial"/>
                <w:sz w:val="14"/>
                <w:szCs w:val="14"/>
                <w:b w:val="1"/>
                <w:bCs w:val="1"/>
                <w:color w:val="auto"/>
              </w:rPr>
              <w:t>Type of Award  Grant Date  Awards (1)($)</w:t>
            </w:r>
          </w:p>
        </w:tc>
        <w:tc>
          <w:tcPr>
            <w:tcW w:w="10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or Units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Exercise or Base Grant Date Fair</w:t>
      </w:r>
    </w:p>
    <w:tbl>
      <w:tblPr>
        <w:tblLayout w:type="fixed"/>
        <w:tblInd w:w="40" w:type="dxa"/>
        <w:tblCellMar>
          <w:top w:w="0" w:type="dxa"/>
          <w:left w:w="0" w:type="dxa"/>
          <w:bottom w:w="0" w:type="dxa"/>
          <w:right w:w="0" w:type="dxa"/>
        </w:tblCellMar>
      </w:tblPr>
      <w:tr>
        <w:trPr>
          <w:trHeight w:val="134"/>
        </w:trPr>
        <w:tc>
          <w:tcPr>
            <w:tcW w:w="1020" w:type="dxa"/>
            <w:vAlign w:val="bottom"/>
          </w:tcPr>
          <w:p>
            <w:pPr>
              <w:jc w:val="center"/>
              <w:ind w:right="8"/>
              <w:spacing w:after="0" w:line="134" w:lineRule="exact"/>
              <w:rPr>
                <w:sz w:val="20"/>
                <w:szCs w:val="20"/>
                <w:color w:val="auto"/>
              </w:rPr>
            </w:pPr>
            <w:r>
              <w:rPr>
                <w:rFonts w:ascii="Arial" w:cs="Arial" w:eastAsia="Arial" w:hAnsi="Arial"/>
                <w:sz w:val="14"/>
                <w:szCs w:val="14"/>
                <w:b w:val="1"/>
                <w:bCs w:val="1"/>
                <w:color w:val="auto"/>
                <w:w w:val="93"/>
              </w:rPr>
              <w:t>Price of Option</w:t>
            </w:r>
          </w:p>
        </w:tc>
        <w:tc>
          <w:tcPr>
            <w:tcW w:w="960" w:type="dxa"/>
            <w:vAlign w:val="bottom"/>
          </w:tcPr>
          <w:p>
            <w:pPr>
              <w:jc w:val="center"/>
              <w:ind w:left="8"/>
              <w:spacing w:after="0" w:line="134" w:lineRule="exact"/>
              <w:rPr>
                <w:sz w:val="20"/>
                <w:szCs w:val="20"/>
                <w:color w:val="auto"/>
              </w:rPr>
            </w:pPr>
            <w:r>
              <w:rPr>
                <w:rFonts w:ascii="Arial" w:cs="Arial" w:eastAsia="Arial" w:hAnsi="Arial"/>
                <w:sz w:val="14"/>
                <w:szCs w:val="14"/>
                <w:b w:val="1"/>
                <w:bCs w:val="1"/>
                <w:color w:val="auto"/>
                <w:w w:val="91"/>
              </w:rPr>
              <w:t>Value of Stock</w:t>
            </w:r>
          </w:p>
        </w:tc>
      </w:tr>
      <w:tr>
        <w:trPr>
          <w:trHeight w:val="148"/>
        </w:trPr>
        <w:tc>
          <w:tcPr>
            <w:tcW w:w="10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Awards</w:t>
            </w:r>
          </w:p>
        </w:tc>
        <w:tc>
          <w:tcPr>
            <w:tcW w:w="9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and Option</w:t>
            </w:r>
          </w:p>
        </w:tc>
      </w:tr>
      <w:tr>
        <w:trPr>
          <w:trHeight w:val="186"/>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($/Share)</w:t>
            </w:r>
          </w:p>
        </w:tc>
        <w:tc>
          <w:tcPr>
            <w:tcW w:w="96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Awards ($)(3)</w:t>
            </w:r>
          </w:p>
        </w:tc>
      </w:tr>
    </w:tbl>
    <w:p>
      <w:pPr>
        <w:spacing w:after="0" w:line="10" w:lineRule="exact"/>
        <w:rPr>
          <w:sz w:val="20"/>
          <w:szCs w:val="20"/>
          <w:color w:val="auto"/>
        </w:rPr>
      </w:pPr>
    </w:p>
    <w:p>
      <w:pPr>
        <w:sectPr>
          <w:pgSz w:w="11900" w:h="16838" w:orient="portrait"/>
          <w:cols w:equalWidth="0" w:num="2">
            <w:col w:w="9080" w:space="40"/>
            <w:col w:w="212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92"/>
        </w:trPr>
        <w:tc>
          <w:tcPr>
            <w:tcW w:w="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Marc Stapley</w:t>
            </w:r>
          </w:p>
        </w:tc>
        <w:tc>
          <w:tcPr>
            <w:tcW w:w="94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Cash</w:t>
            </w:r>
          </w:p>
        </w:tc>
        <w:tc>
          <w:tcPr>
            <w:tcW w:w="1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625,000</w:t>
            </w:r>
          </w:p>
        </w:tc>
        <w:tc>
          <w:tcPr>
            <w:tcW w:w="10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Options(4)</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103,026</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26.02</w:t>
            </w:r>
          </w:p>
        </w:tc>
        <w:tc>
          <w:tcPr>
            <w:tcW w:w="900" w:type="dxa"/>
            <w:vAlign w:val="bottom"/>
          </w:tcPr>
          <w:p>
            <w:pPr>
              <w:jc w:val="right"/>
              <w:spacing w:after="0"/>
              <w:rPr>
                <w:sz w:val="20"/>
                <w:szCs w:val="20"/>
                <w:color w:val="auto"/>
              </w:rPr>
            </w:pPr>
            <w:r>
              <w:rPr>
                <w:rFonts w:ascii="Arial" w:cs="Arial" w:eastAsia="Arial" w:hAnsi="Arial"/>
                <w:sz w:val="14"/>
                <w:szCs w:val="14"/>
                <w:color w:val="auto"/>
              </w:rPr>
              <w:t>1,475,796</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RSUs(5)</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56,537</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1,471,093</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PSUs(6)</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21,201</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28,268</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35,335</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735,533</w:t>
            </w:r>
          </w:p>
        </w:tc>
        <w:tc>
          <w:tcPr>
            <w:tcW w:w="0" w:type="dxa"/>
            <w:vAlign w:val="bottom"/>
          </w:tcPr>
          <w:p>
            <w:pPr>
              <w:spacing w:after="0"/>
              <w:rPr>
                <w:sz w:val="1"/>
                <w:szCs w:val="1"/>
                <w:color w:val="auto"/>
              </w:rPr>
            </w:pPr>
          </w:p>
        </w:tc>
      </w:tr>
      <w:tr>
        <w:trPr>
          <w:trHeight w:val="161"/>
        </w:trPr>
        <w:tc>
          <w:tcPr>
            <w:tcW w:w="920" w:type="dxa"/>
            <w:vAlign w:val="bottom"/>
          </w:tcPr>
          <w:p>
            <w:pPr>
              <w:ind w:left="20"/>
              <w:spacing w:after="0"/>
              <w:rPr>
                <w:sz w:val="20"/>
                <w:szCs w:val="20"/>
                <w:color w:val="auto"/>
              </w:rPr>
            </w:pPr>
            <w:r>
              <w:rPr>
                <w:rFonts w:ascii="Arial" w:cs="Arial" w:eastAsia="Arial" w:hAnsi="Arial"/>
                <w:sz w:val="14"/>
                <w:szCs w:val="14"/>
                <w:color w:val="auto"/>
              </w:rPr>
              <w:t>Rebecca</w:t>
            </w:r>
          </w:p>
        </w:tc>
        <w:tc>
          <w:tcPr>
            <w:tcW w:w="940" w:type="dxa"/>
            <w:vAlign w:val="bottom"/>
          </w:tcPr>
          <w:p>
            <w:pPr>
              <w:ind w:left="120"/>
              <w:spacing w:after="0"/>
              <w:rPr>
                <w:sz w:val="20"/>
                <w:szCs w:val="20"/>
                <w:color w:val="auto"/>
              </w:rPr>
            </w:pPr>
            <w:r>
              <w:rPr>
                <w:rFonts w:ascii="Arial" w:cs="Arial" w:eastAsia="Arial" w:hAnsi="Arial"/>
                <w:sz w:val="14"/>
                <w:szCs w:val="14"/>
                <w:color w:val="auto"/>
              </w:rPr>
              <w:t>Cash</w:t>
            </w:r>
          </w:p>
        </w:tc>
        <w:tc>
          <w:tcPr>
            <w:tcW w:w="1100" w:type="dxa"/>
            <w:vAlign w:val="bottom"/>
          </w:tcPr>
          <w:p>
            <w:pPr>
              <w:spacing w:after="0"/>
              <w:rPr>
                <w:sz w:val="13"/>
                <w:szCs w:val="13"/>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254,925</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Chambers</w:t>
            </w:r>
          </w:p>
        </w:tc>
        <w:tc>
          <w:tcPr>
            <w:tcW w:w="940" w:type="dxa"/>
            <w:vAlign w:val="bottom"/>
            <w:vMerge w:val="restart"/>
          </w:tcPr>
          <w:p>
            <w:pPr>
              <w:ind w:left="120"/>
              <w:spacing w:after="0"/>
              <w:rPr>
                <w:sz w:val="20"/>
                <w:szCs w:val="20"/>
                <w:color w:val="auto"/>
              </w:rPr>
            </w:pPr>
            <w:r>
              <w:rPr>
                <w:rFonts w:ascii="Arial" w:cs="Arial" w:eastAsia="Arial" w:hAnsi="Arial"/>
                <w:sz w:val="14"/>
                <w:szCs w:val="14"/>
                <w:color w:val="auto"/>
              </w:rPr>
              <w:t>Options(4)</w:t>
            </w:r>
          </w:p>
        </w:tc>
        <w:tc>
          <w:tcPr>
            <w:tcW w:w="1100" w:type="dxa"/>
            <w:vAlign w:val="bottom"/>
            <w:vMerge w:val="restart"/>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color w:val="auto"/>
              </w:rPr>
              <w:t>37,773</w:t>
            </w: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color w:val="auto"/>
              </w:rPr>
              <w:t>26.02</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541,079</w:t>
            </w:r>
          </w:p>
        </w:tc>
        <w:tc>
          <w:tcPr>
            <w:tcW w:w="0" w:type="dxa"/>
            <w:vAlign w:val="bottom"/>
          </w:tcPr>
          <w:p>
            <w:pPr>
              <w:spacing w:after="0"/>
              <w:rPr>
                <w:sz w:val="1"/>
                <w:szCs w:val="1"/>
                <w:color w:val="auto"/>
              </w:rPr>
            </w:pPr>
          </w:p>
        </w:tc>
      </w:tr>
      <w:tr>
        <w:trPr>
          <w:trHeight w:val="76"/>
        </w:trPr>
        <w:tc>
          <w:tcPr>
            <w:tcW w:w="9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Options(7)</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8/5/2022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36,496</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27.90</w:t>
            </w:r>
          </w:p>
        </w:tc>
        <w:tc>
          <w:tcPr>
            <w:tcW w:w="900" w:type="dxa"/>
            <w:vAlign w:val="bottom"/>
          </w:tcPr>
          <w:p>
            <w:pPr>
              <w:jc w:val="right"/>
              <w:spacing w:after="0"/>
              <w:rPr>
                <w:sz w:val="20"/>
                <w:szCs w:val="20"/>
                <w:color w:val="auto"/>
              </w:rPr>
            </w:pPr>
            <w:r>
              <w:rPr>
                <w:rFonts w:ascii="Arial" w:cs="Arial" w:eastAsia="Arial" w:hAnsi="Arial"/>
                <w:sz w:val="14"/>
                <w:szCs w:val="14"/>
                <w:color w:val="auto"/>
              </w:rPr>
              <w:t>603,082</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RSUs(5)</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20,728</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539,343</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RSUs(8)</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8/5/2022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21,404</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597,172</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PSUs(6)</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7,773</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10,364</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12,955</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269,671</w:t>
            </w:r>
          </w:p>
        </w:tc>
        <w:tc>
          <w:tcPr>
            <w:tcW w:w="0" w:type="dxa"/>
            <w:vAlign w:val="bottom"/>
          </w:tcPr>
          <w:p>
            <w:pPr>
              <w:spacing w:after="0"/>
              <w:rPr>
                <w:sz w:val="1"/>
                <w:szCs w:val="1"/>
                <w:color w:val="auto"/>
              </w:rPr>
            </w:pPr>
          </w:p>
        </w:tc>
      </w:tr>
      <w:tr>
        <w:trPr>
          <w:trHeight w:val="161"/>
        </w:trPr>
        <w:tc>
          <w:tcPr>
            <w:tcW w:w="920" w:type="dxa"/>
            <w:vAlign w:val="bottom"/>
          </w:tcPr>
          <w:p>
            <w:pPr>
              <w:ind w:left="20"/>
              <w:spacing w:after="0"/>
              <w:rPr>
                <w:sz w:val="20"/>
                <w:szCs w:val="20"/>
                <w:color w:val="auto"/>
              </w:rPr>
            </w:pPr>
            <w:r>
              <w:rPr>
                <w:rFonts w:ascii="Arial" w:cs="Arial" w:eastAsia="Arial" w:hAnsi="Arial"/>
                <w:sz w:val="14"/>
                <w:szCs w:val="14"/>
                <w:color w:val="auto"/>
              </w:rPr>
              <w:t>Giulia C.</w:t>
            </w:r>
          </w:p>
        </w:tc>
        <w:tc>
          <w:tcPr>
            <w:tcW w:w="940" w:type="dxa"/>
            <w:vAlign w:val="bottom"/>
          </w:tcPr>
          <w:p>
            <w:pPr>
              <w:ind w:left="120"/>
              <w:spacing w:after="0"/>
              <w:rPr>
                <w:sz w:val="20"/>
                <w:szCs w:val="20"/>
                <w:color w:val="auto"/>
              </w:rPr>
            </w:pPr>
            <w:r>
              <w:rPr>
                <w:rFonts w:ascii="Arial" w:cs="Arial" w:eastAsia="Arial" w:hAnsi="Arial"/>
                <w:sz w:val="14"/>
                <w:szCs w:val="14"/>
                <w:color w:val="auto"/>
              </w:rPr>
              <w:t>Cash</w:t>
            </w:r>
          </w:p>
        </w:tc>
        <w:tc>
          <w:tcPr>
            <w:tcW w:w="1100" w:type="dxa"/>
            <w:vAlign w:val="bottom"/>
          </w:tcPr>
          <w:p>
            <w:pPr>
              <w:spacing w:after="0"/>
              <w:rPr>
                <w:sz w:val="13"/>
                <w:szCs w:val="13"/>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275,000</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Kennedy(9)</w:t>
            </w:r>
          </w:p>
        </w:tc>
        <w:tc>
          <w:tcPr>
            <w:tcW w:w="940" w:type="dxa"/>
            <w:vAlign w:val="bottom"/>
            <w:vMerge w:val="restart"/>
          </w:tcPr>
          <w:p>
            <w:pPr>
              <w:ind w:left="120"/>
              <w:spacing w:after="0"/>
              <w:rPr>
                <w:sz w:val="20"/>
                <w:szCs w:val="20"/>
                <w:color w:val="auto"/>
              </w:rPr>
            </w:pPr>
            <w:r>
              <w:rPr>
                <w:rFonts w:ascii="Arial" w:cs="Arial" w:eastAsia="Arial" w:hAnsi="Arial"/>
                <w:sz w:val="14"/>
                <w:szCs w:val="14"/>
                <w:color w:val="auto"/>
              </w:rPr>
              <w:t>Options(4)</w:t>
            </w:r>
          </w:p>
        </w:tc>
        <w:tc>
          <w:tcPr>
            <w:tcW w:w="1100" w:type="dxa"/>
            <w:vAlign w:val="bottom"/>
            <w:vMerge w:val="restart"/>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color w:val="auto"/>
              </w:rPr>
              <w:t>77,287</w:t>
            </w: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color w:val="auto"/>
              </w:rPr>
              <w:t>26.02</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1,107,098</w:t>
            </w:r>
          </w:p>
        </w:tc>
        <w:tc>
          <w:tcPr>
            <w:tcW w:w="0" w:type="dxa"/>
            <w:vAlign w:val="bottom"/>
          </w:tcPr>
          <w:p>
            <w:pPr>
              <w:spacing w:after="0"/>
              <w:rPr>
                <w:sz w:val="1"/>
                <w:szCs w:val="1"/>
                <w:color w:val="auto"/>
              </w:rPr>
            </w:pPr>
          </w:p>
        </w:tc>
      </w:tr>
      <w:tr>
        <w:trPr>
          <w:trHeight w:val="76"/>
        </w:trPr>
        <w:tc>
          <w:tcPr>
            <w:tcW w:w="9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Options(7)</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8/5/2022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18,248</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27.90</w:t>
            </w:r>
          </w:p>
        </w:tc>
        <w:tc>
          <w:tcPr>
            <w:tcW w:w="900" w:type="dxa"/>
            <w:vAlign w:val="bottom"/>
          </w:tcPr>
          <w:p>
            <w:pPr>
              <w:jc w:val="right"/>
              <w:spacing w:after="0"/>
              <w:rPr>
                <w:sz w:val="20"/>
                <w:szCs w:val="20"/>
                <w:color w:val="auto"/>
              </w:rPr>
            </w:pPr>
            <w:r>
              <w:rPr>
                <w:rFonts w:ascii="Arial" w:cs="Arial" w:eastAsia="Arial" w:hAnsi="Arial"/>
                <w:sz w:val="14"/>
                <w:szCs w:val="14"/>
                <w:color w:val="auto"/>
              </w:rPr>
              <w:t>301,541</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RSUs(5)</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42,412</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1,103,560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RSUs(8)</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8/5/2022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10,702</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298,586</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PSUs(6)</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15,905</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21,206</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26,508</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551,780</w:t>
            </w:r>
          </w:p>
        </w:tc>
        <w:tc>
          <w:tcPr>
            <w:tcW w:w="0" w:type="dxa"/>
            <w:vAlign w:val="bottom"/>
          </w:tcPr>
          <w:p>
            <w:pPr>
              <w:spacing w:after="0"/>
              <w:rPr>
                <w:sz w:val="1"/>
                <w:szCs w:val="1"/>
                <w:color w:val="auto"/>
              </w:rPr>
            </w:pPr>
          </w:p>
        </w:tc>
      </w:tr>
      <w:tr>
        <w:trPr>
          <w:trHeight w:val="203"/>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Annie McGuire  Cash</w:t>
            </w:r>
          </w:p>
        </w:tc>
        <w:tc>
          <w:tcPr>
            <w:tcW w:w="1100" w:type="dxa"/>
            <w:vAlign w:val="bottom"/>
          </w:tcPr>
          <w:p>
            <w:pPr>
              <w:spacing w:after="0"/>
              <w:rPr>
                <w:sz w:val="17"/>
                <w:szCs w:val="17"/>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160,000</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Options(4)</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42,175</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27.80</w:t>
            </w:r>
          </w:p>
        </w:tc>
        <w:tc>
          <w:tcPr>
            <w:tcW w:w="900" w:type="dxa"/>
            <w:vAlign w:val="bottom"/>
          </w:tcPr>
          <w:p>
            <w:pPr>
              <w:jc w:val="right"/>
              <w:spacing w:after="0"/>
              <w:rPr>
                <w:sz w:val="20"/>
                <w:szCs w:val="20"/>
                <w:color w:val="auto"/>
              </w:rPr>
            </w:pPr>
            <w:r>
              <w:rPr>
                <w:rFonts w:ascii="Arial" w:cs="Arial" w:eastAsia="Arial" w:hAnsi="Arial"/>
                <w:sz w:val="14"/>
                <w:szCs w:val="14"/>
                <w:color w:val="auto"/>
              </w:rPr>
              <w:t>644,881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Options(7)</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8/5/2022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18,248</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27.90</w:t>
            </w:r>
          </w:p>
        </w:tc>
        <w:tc>
          <w:tcPr>
            <w:tcW w:w="900" w:type="dxa"/>
            <w:vAlign w:val="bottom"/>
          </w:tcPr>
          <w:p>
            <w:pPr>
              <w:jc w:val="right"/>
              <w:spacing w:after="0"/>
              <w:rPr>
                <w:sz w:val="20"/>
                <w:szCs w:val="20"/>
                <w:color w:val="auto"/>
              </w:rPr>
            </w:pPr>
            <w:r>
              <w:rPr>
                <w:rFonts w:ascii="Arial" w:cs="Arial" w:eastAsia="Arial" w:hAnsi="Arial"/>
                <w:sz w:val="14"/>
                <w:szCs w:val="14"/>
                <w:color w:val="auto"/>
              </w:rPr>
              <w:t>301,541</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RSUs(5)</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22,855</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635,369</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RSUs(8)</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8/5/2022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10,702</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298,586</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rPr>
                <w:sz w:val="20"/>
                <w:szCs w:val="20"/>
                <w:color w:val="auto"/>
              </w:rPr>
            </w:pPr>
            <w:r>
              <w:rPr>
                <w:rFonts w:ascii="Arial" w:cs="Arial" w:eastAsia="Arial" w:hAnsi="Arial"/>
                <w:sz w:val="14"/>
                <w:szCs w:val="14"/>
                <w:color w:val="auto"/>
              </w:rPr>
              <w:t>Tina Nova</w:t>
            </w:r>
          </w:p>
        </w:tc>
        <w:tc>
          <w:tcPr>
            <w:tcW w:w="940" w:type="dxa"/>
            <w:vAlign w:val="bottom"/>
          </w:tcPr>
          <w:p>
            <w:pPr>
              <w:ind w:left="120"/>
              <w:spacing w:after="0"/>
              <w:rPr>
                <w:sz w:val="20"/>
                <w:szCs w:val="20"/>
                <w:color w:val="auto"/>
              </w:rPr>
            </w:pPr>
            <w:r>
              <w:rPr>
                <w:rFonts w:ascii="Arial" w:cs="Arial" w:eastAsia="Arial" w:hAnsi="Arial"/>
                <w:sz w:val="14"/>
                <w:szCs w:val="14"/>
                <w:color w:val="auto"/>
              </w:rPr>
              <w:t>Cash</w:t>
            </w:r>
          </w:p>
        </w:tc>
        <w:tc>
          <w:tcPr>
            <w:tcW w:w="1100" w:type="dxa"/>
            <w:vAlign w:val="bottom"/>
          </w:tcPr>
          <w:p>
            <w:pPr>
              <w:spacing w:after="0"/>
              <w:rPr>
                <w:sz w:val="17"/>
                <w:szCs w:val="17"/>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160,000</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Options(4)</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103,043</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26.02</w:t>
            </w:r>
          </w:p>
        </w:tc>
        <w:tc>
          <w:tcPr>
            <w:tcW w:w="900" w:type="dxa"/>
            <w:vAlign w:val="bottom"/>
          </w:tcPr>
          <w:p>
            <w:pPr>
              <w:jc w:val="right"/>
              <w:spacing w:after="0"/>
              <w:rPr>
                <w:sz w:val="20"/>
                <w:szCs w:val="20"/>
                <w:color w:val="auto"/>
              </w:rPr>
            </w:pPr>
            <w:r>
              <w:rPr>
                <w:rFonts w:ascii="Arial" w:cs="Arial" w:eastAsia="Arial" w:hAnsi="Arial"/>
                <w:sz w:val="14"/>
                <w:szCs w:val="14"/>
                <w:color w:val="auto"/>
              </w:rPr>
              <w:t>1,476,039</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RSUs(5)</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56,546</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1,471,327</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PSUs(6)</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3/3/2022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21,205</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28,273</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35,341</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735,663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p>
      <w:pPr>
        <w:ind w:left="20" w:right="20" w:firstLine="6"/>
        <w:spacing w:after="0" w:line="269" w:lineRule="auto"/>
        <w:tabs>
          <w:tab w:leader="none" w:pos="225"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Reflects target bonus amounts for 2022 performance under our 2022 bonus plan, as described in “—Compensation Discussion and Analysis-2022 Bonus Plan Awards.” These amounts do not necessarily correspond to the actual amounts that were received by our named executive officers. 2022 bonus plan awards did not provide for threshold or maximum amounts.</w:t>
      </w:r>
    </w:p>
    <w:p>
      <w:pPr>
        <w:spacing w:after="0" w:line="2" w:lineRule="exact"/>
        <w:rPr>
          <w:rFonts w:ascii="Arial" w:cs="Arial" w:eastAsia="Arial" w:hAnsi="Arial"/>
          <w:sz w:val="13"/>
          <w:szCs w:val="13"/>
          <w:color w:val="auto"/>
        </w:rPr>
      </w:pPr>
    </w:p>
    <w:p>
      <w:pPr>
        <w:ind w:left="20" w:right="340" w:firstLine="6"/>
        <w:spacing w:after="0" w:line="236" w:lineRule="auto"/>
        <w:tabs>
          <w:tab w:leader="none" w:pos="2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Reflects target amounts for 2022 PSUs awards, as described in “—Compensation Discussion and Analysis—Equity Compensation.” 2022 PSUs vest between 75% and 125% of the total grant based on the achievement of the performance metrics.</w:t>
      </w:r>
    </w:p>
    <w:p>
      <w:pPr>
        <w:spacing w:after="0" w:line="20" w:lineRule="exact"/>
        <w:rPr>
          <w:rFonts w:ascii="Arial" w:cs="Arial" w:eastAsia="Arial" w:hAnsi="Arial"/>
          <w:sz w:val="14"/>
          <w:szCs w:val="14"/>
          <w:color w:val="auto"/>
        </w:rPr>
      </w:pPr>
    </w:p>
    <w:p>
      <w:pPr>
        <w:ind w:left="20" w:right="20" w:firstLine="6"/>
        <w:spacing w:after="0" w:line="236" w:lineRule="auto"/>
        <w:tabs>
          <w:tab w:leader="none" w:pos="22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grant date fair value of each award as computed in accordance with ASC 718. Note that the amounts reported in these columns reflect the accounting cost for these awards and do not correspond to the actual economic value that may be received by our named executive officers from the awards.</w:t>
      </w:r>
    </w:p>
    <w:p>
      <w:pPr>
        <w:spacing w:after="0" w:line="20" w:lineRule="exact"/>
        <w:rPr>
          <w:rFonts w:ascii="Arial" w:cs="Arial" w:eastAsia="Arial" w:hAnsi="Arial"/>
          <w:sz w:val="14"/>
          <w:szCs w:val="14"/>
          <w:color w:val="auto"/>
        </w:rPr>
      </w:pPr>
    </w:p>
    <w:p>
      <w:pPr>
        <w:jc w:val="both"/>
        <w:ind w:left="20" w:right="20" w:firstLine="6"/>
        <w:spacing w:after="0" w:line="231" w:lineRule="auto"/>
        <w:tabs>
          <w:tab w:leader="none" w:pos="2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stock option vests at a rate of 1/4th of the total number of shares of common stock underlying the stock option on the one-year anniversary of the vesting commencement date, and vests at a rate of 1/48th of the total number of shares of common stock underlying the stock option each month following such one-year anniversary. The stock option is subject to acceleration upon certain events as described in “—Potential Payments upon Termination or Change in Control.”</w:t>
      </w:r>
    </w:p>
    <w:p>
      <w:pPr>
        <w:spacing w:after="0" w:line="21" w:lineRule="exact"/>
        <w:rPr>
          <w:rFonts w:ascii="Arial" w:cs="Arial" w:eastAsia="Arial" w:hAnsi="Arial"/>
          <w:sz w:val="14"/>
          <w:szCs w:val="14"/>
          <w:color w:val="auto"/>
        </w:rPr>
      </w:pPr>
    </w:p>
    <w:p>
      <w:pPr>
        <w:ind w:left="20" w:right="20" w:firstLine="6"/>
        <w:spacing w:after="0" w:line="236" w:lineRule="auto"/>
        <w:tabs>
          <w:tab w:leader="none" w:pos="225"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RSUs vest at a rate of 1/4th of the total number of RSUs on the one-year anniversary of the vesting commencement date, and vest at a rate of 1/16th of the total number of RSUs on each quarter thereafter. The RSUs are subject to acceleration upon certain events as described in “—Potential Payments upon Termination or Change in Control.”</w:t>
      </w:r>
    </w:p>
    <w:p>
      <w:pPr>
        <w:spacing w:after="0" w:line="20" w:lineRule="exact"/>
        <w:rPr>
          <w:rFonts w:ascii="Arial" w:cs="Arial" w:eastAsia="Arial" w:hAnsi="Arial"/>
          <w:sz w:val="14"/>
          <w:szCs w:val="14"/>
          <w:color w:val="auto"/>
        </w:rPr>
      </w:pPr>
    </w:p>
    <w:p>
      <w:pPr>
        <w:jc w:val="both"/>
        <w:ind w:left="20" w:right="20" w:firstLine="6"/>
        <w:spacing w:after="0" w:line="253" w:lineRule="auto"/>
        <w:tabs>
          <w:tab w:leader="none" w:pos="226" w:val="left"/>
        </w:tabs>
        <w:numPr>
          <w:ilvl w:val="0"/>
          <w:numId w:val="37"/>
        </w:numPr>
        <w:rPr>
          <w:rFonts w:ascii="Arial" w:cs="Arial" w:eastAsia="Arial" w:hAnsi="Arial"/>
          <w:sz w:val="13"/>
          <w:szCs w:val="13"/>
          <w:color w:val="auto"/>
        </w:rPr>
      </w:pPr>
      <w:r>
        <w:rPr>
          <w:rFonts w:ascii="Arial" w:cs="Arial" w:eastAsia="Arial" w:hAnsi="Arial"/>
          <w:sz w:val="13"/>
          <w:szCs w:val="13"/>
          <w:color w:val="auto"/>
        </w:rPr>
        <w:t>1/3 of the total number of PSUs will vest subject to and upon the certification of achievement of the performance metric for the performance period ending December 31, 2023 and 2/3 of the total number of PSUs will vest subject to and upon the certification of achievement of the performance metric for the performance period ending December 31, 2024 and the continued service of the applicable executive. The PSUs are subject to acceleration upon certain events as described in “—Potential Payments upon Termination or Change in Control.”</w:t>
      </w:r>
    </w:p>
    <w:p>
      <w:pPr>
        <w:spacing w:after="0" w:line="13" w:lineRule="exact"/>
        <w:rPr>
          <w:rFonts w:ascii="Arial" w:cs="Arial" w:eastAsia="Arial" w:hAnsi="Arial"/>
          <w:sz w:val="13"/>
          <w:szCs w:val="13"/>
          <w:color w:val="auto"/>
        </w:rPr>
      </w:pPr>
    </w:p>
    <w:p>
      <w:pPr>
        <w:jc w:val="both"/>
        <w:ind w:left="20" w:right="20" w:firstLine="6"/>
        <w:spacing w:after="0" w:line="231" w:lineRule="auto"/>
        <w:tabs>
          <w:tab w:leader="none" w:pos="2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stock option vests at a rate of 1/3rd of the total number of shares of common stock underlying the stock option on the one-year anniversary of the vesting commencement date, and vests at a rate of 1/36th of the total number of shares of common stock underlying the stock option each month following such one-year anniversary. The stock option is subject to acceleration upon certain events as described in “—Potential Payments upon Termination or Change in Control.”</w:t>
      </w:r>
    </w:p>
    <w:p>
      <w:pPr>
        <w:spacing w:after="0" w:line="21" w:lineRule="exact"/>
        <w:rPr>
          <w:rFonts w:ascii="Arial" w:cs="Arial" w:eastAsia="Arial" w:hAnsi="Arial"/>
          <w:sz w:val="14"/>
          <w:szCs w:val="14"/>
          <w:color w:val="auto"/>
        </w:rPr>
      </w:pPr>
    </w:p>
    <w:p>
      <w:pPr>
        <w:ind w:left="20" w:right="20" w:firstLine="6"/>
        <w:spacing w:after="0" w:line="236" w:lineRule="auto"/>
        <w:tabs>
          <w:tab w:leader="none" w:pos="225"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RSUs vest at a rate of 1/3rd of the total number of RSUs on the one-year anniversary of the vesting commencement date, and vest at a rate of 1/12th of the total number of RSUs on each quarter thereafter. The RSUs are subject to acceleration upon certain events as described in “—Potential Payments upon Termination or Change in Control.”</w:t>
      </w:r>
    </w:p>
    <w:p>
      <w:pPr>
        <w:spacing w:after="0" w:line="20" w:lineRule="exact"/>
        <w:rPr>
          <w:rFonts w:ascii="Arial" w:cs="Arial" w:eastAsia="Arial" w:hAnsi="Arial"/>
          <w:sz w:val="14"/>
          <w:szCs w:val="14"/>
          <w:color w:val="auto"/>
        </w:rPr>
      </w:pPr>
    </w:p>
    <w:p>
      <w:pPr>
        <w:ind w:left="220" w:hanging="194"/>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Ms. Kennedy departed from the company effective December 31, 2022.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2022 Outstanding Equity Awards at Fiscal Year-End</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concerning the outstanding and unexercised stock options, outstanding RSUs and outstanding PSUs that have not vested for each named executive officer as of December 31, 2022.</w:t>
      </w:r>
    </w:p>
    <w:p>
      <w:pPr>
        <w:spacing w:after="0" w:line="81" w:lineRule="exact"/>
        <w:rPr>
          <w:sz w:val="20"/>
          <w:szCs w:val="20"/>
          <w:color w:val="auto"/>
        </w:rPr>
      </w:pPr>
    </w:p>
    <w:p>
      <w:pPr>
        <w:ind w:left="3760"/>
        <w:spacing w:after="0"/>
        <w:tabs>
          <w:tab w:leader="none" w:pos="8380" w:val="left"/>
        </w:tabs>
        <w:rPr>
          <w:sz w:val="20"/>
          <w:szCs w:val="20"/>
          <w:color w:val="auto"/>
        </w:rPr>
      </w:pPr>
      <w:r>
        <w:rPr>
          <w:rFonts w:ascii="Arial" w:cs="Arial" w:eastAsia="Arial" w:hAnsi="Arial"/>
          <w:sz w:val="14"/>
          <w:szCs w:val="14"/>
          <w:b w:val="1"/>
          <w:bCs w:val="1"/>
          <w:color w:val="auto"/>
        </w:rPr>
        <w:t>Option Awards</w:t>
      </w:r>
      <w:r>
        <w:rPr>
          <w:sz w:val="20"/>
          <w:szCs w:val="20"/>
          <w:color w:val="auto"/>
        </w:rPr>
        <w:tab/>
      </w:r>
      <w:r>
        <w:rPr>
          <w:rFonts w:ascii="Arial" w:cs="Arial" w:eastAsia="Arial" w:hAnsi="Arial"/>
          <w:sz w:val="12"/>
          <w:szCs w:val="12"/>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32385</wp:posOffset>
            </wp:positionV>
            <wp:extent cx="26828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p>
      <w:pPr>
        <w:spacing w:after="0" w:line="26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53"/>
        </w:trPr>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Grant 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6"/>
        </w:trPr>
        <w:tc>
          <w:tcPr>
            <w:tcW w:w="6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Unexercisable (1)</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Price ($)</w:t>
            </w: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13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Plan Awards:</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8"/>
        </w:trPr>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Value or</w:t>
            </w:r>
          </w:p>
        </w:tc>
        <w:tc>
          <w:tcPr>
            <w:tcW w:w="0" w:type="dxa"/>
            <w:vAlign w:val="bottom"/>
          </w:tcPr>
          <w:p>
            <w:pPr>
              <w:spacing w:after="0"/>
              <w:rPr>
                <w:sz w:val="1"/>
                <w:szCs w:val="1"/>
                <w:color w:val="auto"/>
              </w:rPr>
            </w:pPr>
          </w:p>
        </w:tc>
      </w:tr>
      <w:tr>
        <w:trPr>
          <w:trHeight w:val="144"/>
        </w:trPr>
        <w:tc>
          <w:tcPr>
            <w:tcW w:w="1000" w:type="dxa"/>
            <w:vAlign w:val="bottom"/>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Unearned</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Payout Value of</w:t>
            </w:r>
          </w:p>
        </w:tc>
        <w:tc>
          <w:tcPr>
            <w:tcW w:w="0" w:type="dxa"/>
            <w:vAlign w:val="bottom"/>
          </w:tcPr>
          <w:p>
            <w:pPr>
              <w:spacing w:after="0"/>
              <w:rPr>
                <w:sz w:val="1"/>
                <w:szCs w:val="1"/>
                <w:color w:val="auto"/>
              </w:rPr>
            </w:pPr>
          </w:p>
        </w:tc>
      </w:tr>
      <w:tr>
        <w:trPr>
          <w:trHeight w:val="135"/>
        </w:trPr>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 or</w:t>
            </w:r>
          </w:p>
        </w:tc>
        <w:tc>
          <w:tcPr>
            <w:tcW w:w="1360" w:type="dxa"/>
            <w:vAlign w:val="bottom"/>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or Units</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Unearned Shares or</w:t>
            </w:r>
          </w:p>
        </w:tc>
        <w:tc>
          <w:tcPr>
            <w:tcW w:w="0" w:type="dxa"/>
            <w:vAlign w:val="bottom"/>
          </w:tcPr>
          <w:p>
            <w:pPr>
              <w:spacing w:after="0"/>
              <w:rPr>
                <w:sz w:val="1"/>
                <w:szCs w:val="1"/>
                <w:color w:val="auto"/>
              </w:rPr>
            </w:pPr>
          </w:p>
        </w:tc>
      </w:tr>
      <w:tr>
        <w:trPr>
          <w:trHeight w:val="148"/>
        </w:trPr>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 Stock That</w:t>
            </w:r>
          </w:p>
        </w:tc>
        <w:tc>
          <w:tcPr>
            <w:tcW w:w="0" w:type="dxa"/>
            <w:vAlign w:val="bottom"/>
          </w:tcPr>
          <w:p>
            <w:pPr>
              <w:spacing w:after="0"/>
              <w:rPr>
                <w:sz w:val="1"/>
                <w:szCs w:val="1"/>
                <w:color w:val="auto"/>
              </w:rPr>
            </w:pPr>
          </w:p>
        </w:tc>
      </w:tr>
      <w:tr>
        <w:trPr>
          <w:trHeight w:val="148"/>
        </w:trPr>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That Have Not</w:t>
            </w:r>
          </w:p>
        </w:tc>
        <w:tc>
          <w:tcPr>
            <w:tcW w:w="24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Have Not Vested Have Not Vested ($)</w:t>
            </w:r>
          </w:p>
        </w:tc>
        <w:tc>
          <w:tcPr>
            <w:tcW w:w="0" w:type="dxa"/>
            <w:vAlign w:val="bottom"/>
          </w:tcPr>
          <w:p>
            <w:pPr>
              <w:spacing w:after="0"/>
              <w:rPr>
                <w:sz w:val="1"/>
                <w:szCs w:val="1"/>
                <w:color w:val="auto"/>
              </w:rPr>
            </w:pPr>
          </w:p>
        </w:tc>
      </w:tr>
      <w:tr>
        <w:trPr>
          <w:trHeight w:val="186"/>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Vested ($)(3)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 (4)</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180" w:space="260"/>
            <w:col w:w="4800"/>
          </w:cols>
          <w:pgMar w:left="320" w:top="1134" w:right="339" w:bottom="1440" w:gutter="0" w:footer="0" w:header="0"/>
          <w:type w:val="continuous"/>
        </w:sectPr>
      </w:pPr>
    </w:p>
    <w:tbl>
      <w:tblPr>
        <w:tblLayout w:type="fixed"/>
        <w:tblInd w:w="40" w:type="dxa"/>
        <w:tblCellMar>
          <w:top w:w="0" w:type="dxa"/>
          <w:left w:w="0" w:type="dxa"/>
          <w:bottom w:w="0" w:type="dxa"/>
          <w:right w:w="0" w:type="dxa"/>
        </w:tblCellMar>
      </w:tblPr>
      <w:tr>
        <w:trPr>
          <w:trHeight w:val="192"/>
        </w:trPr>
        <w:tc>
          <w:tcPr>
            <w:tcW w:w="10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Marc Stapley</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6/1/2021</w:t>
            </w:r>
          </w:p>
        </w:tc>
        <w:tc>
          <w:tcPr>
            <w:tcW w:w="64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w w:val="93"/>
              </w:rPr>
              <w:t>51,768</w:t>
            </w:r>
          </w:p>
        </w:tc>
        <w:tc>
          <w:tcPr>
            <w:tcW w:w="4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left="28"/>
              <w:spacing w:after="0"/>
              <w:rPr>
                <w:sz w:val="20"/>
                <w:szCs w:val="20"/>
                <w:color w:val="auto"/>
              </w:rPr>
            </w:pPr>
            <w:r>
              <w:rPr>
                <w:rFonts w:ascii="Arial" w:cs="Arial" w:eastAsia="Arial" w:hAnsi="Arial"/>
                <w:sz w:val="14"/>
                <w:szCs w:val="14"/>
                <w:color w:val="auto"/>
                <w:w w:val="93"/>
              </w:rPr>
              <w:t>86,283</w:t>
            </w:r>
          </w:p>
        </w:tc>
        <w:tc>
          <w:tcPr>
            <w:tcW w:w="5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$36.60</w:t>
            </w:r>
          </w:p>
        </w:tc>
        <w:tc>
          <w:tcPr>
            <w:tcW w:w="11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6/1/2031</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29,255</w:t>
            </w:r>
          </w:p>
        </w:tc>
        <w:tc>
          <w:tcPr>
            <w:tcW w:w="90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w w:val="92"/>
              </w:rPr>
              <w:t>$694,221</w:t>
            </w:r>
          </w:p>
        </w:tc>
        <w:tc>
          <w:tcPr>
            <w:tcW w:w="5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w w:val="93"/>
              </w:rPr>
              <w:t>23,404</w:t>
            </w:r>
          </w:p>
        </w:tc>
        <w:tc>
          <w:tcPr>
            <w:tcW w:w="1400" w:type="dxa"/>
            <w:vAlign w:val="bottom"/>
            <w:tcBorders>
              <w:top w:val="single" w:sz="8" w:color="auto"/>
            </w:tcBorders>
          </w:tcPr>
          <w:p>
            <w:pPr>
              <w:jc w:val="center"/>
              <w:ind w:right="268"/>
              <w:spacing w:after="0"/>
              <w:rPr>
                <w:sz w:val="20"/>
                <w:szCs w:val="20"/>
                <w:color w:val="auto"/>
              </w:rPr>
            </w:pPr>
            <w:r>
              <w:rPr>
                <w:rFonts w:ascii="Arial" w:cs="Arial" w:eastAsia="Arial" w:hAnsi="Arial"/>
                <w:sz w:val="14"/>
                <w:szCs w:val="14"/>
                <w:color w:val="auto"/>
                <w:w w:val="92"/>
              </w:rPr>
              <w:t>$555,377</w:t>
            </w:r>
          </w:p>
        </w:tc>
        <w:tc>
          <w:tcPr>
            <w:tcW w:w="0" w:type="dxa"/>
            <w:vAlign w:val="bottom"/>
          </w:tcPr>
          <w:p>
            <w:pPr>
              <w:spacing w:after="0"/>
              <w:rPr>
                <w:sz w:val="1"/>
                <w:szCs w:val="1"/>
                <w:color w:val="auto"/>
              </w:rPr>
            </w:pPr>
          </w:p>
        </w:tc>
      </w:tr>
      <w:tr>
        <w:trPr>
          <w:trHeight w:val="197"/>
        </w:trPr>
        <w:tc>
          <w:tcPr>
            <w:tcW w:w="10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3/3/2022</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80" w:type="dxa"/>
            <w:vAlign w:val="bottom"/>
          </w:tcPr>
          <w:p>
            <w:pPr>
              <w:jc w:val="center"/>
              <w:ind w:left="8"/>
              <w:spacing w:after="0"/>
              <w:rPr>
                <w:sz w:val="20"/>
                <w:szCs w:val="20"/>
                <w:color w:val="auto"/>
              </w:rPr>
            </w:pPr>
            <w:r>
              <w:rPr>
                <w:rFonts w:ascii="Arial" w:cs="Arial" w:eastAsia="Arial" w:hAnsi="Arial"/>
                <w:sz w:val="14"/>
                <w:szCs w:val="14"/>
                <w:color w:val="auto"/>
                <w:w w:val="90"/>
              </w:rPr>
              <w:t>103,026</w:t>
            </w:r>
          </w:p>
        </w:tc>
        <w:tc>
          <w:tcPr>
            <w:tcW w:w="5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$26.02</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3/3/2032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56,537</w:t>
            </w:r>
          </w:p>
        </w:tc>
        <w:tc>
          <w:tcPr>
            <w:tcW w:w="900" w:type="dxa"/>
            <w:vAlign w:val="bottom"/>
          </w:tcPr>
          <w:p>
            <w:pPr>
              <w:jc w:val="center"/>
              <w:ind w:left="68"/>
              <w:spacing w:after="0"/>
              <w:rPr>
                <w:sz w:val="20"/>
                <w:szCs w:val="20"/>
                <w:color w:val="auto"/>
              </w:rPr>
            </w:pPr>
            <w:r>
              <w:rPr>
                <w:rFonts w:ascii="Arial" w:cs="Arial" w:eastAsia="Arial" w:hAnsi="Arial"/>
                <w:sz w:val="14"/>
                <w:szCs w:val="14"/>
                <w:color w:val="auto"/>
                <w:w w:val="91"/>
              </w:rPr>
              <w:t>$1,341,623</w:t>
            </w:r>
          </w:p>
        </w:tc>
        <w:tc>
          <w:tcPr>
            <w:tcW w:w="580" w:type="dxa"/>
            <w:vAlign w:val="bottom"/>
          </w:tcPr>
          <w:p>
            <w:pPr>
              <w:spacing w:after="0"/>
              <w:rPr>
                <w:sz w:val="17"/>
                <w:szCs w:val="17"/>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color w:val="auto"/>
                <w:w w:val="93"/>
              </w:rPr>
              <w:t>28,268</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2"/>
              </w:rPr>
              <w:t>$670,800</w:t>
            </w:r>
          </w:p>
        </w:tc>
        <w:tc>
          <w:tcPr>
            <w:tcW w:w="0" w:type="dxa"/>
            <w:vAlign w:val="bottom"/>
          </w:tcPr>
          <w:p>
            <w:pPr>
              <w:spacing w:after="0"/>
              <w:rPr>
                <w:sz w:val="1"/>
                <w:szCs w:val="1"/>
                <w:color w:val="auto"/>
              </w:rPr>
            </w:pPr>
          </w:p>
        </w:tc>
      </w:tr>
      <w:tr>
        <w:trPr>
          <w:trHeight w:val="430"/>
        </w:trPr>
        <w:tc>
          <w:tcPr>
            <w:tcW w:w="1080" w:type="dxa"/>
            <w:vAlign w:val="bottom"/>
          </w:tcPr>
          <w:p>
            <w:pPr>
              <w:ind w:left="20"/>
              <w:spacing w:after="0"/>
              <w:rPr>
                <w:sz w:val="20"/>
                <w:szCs w:val="20"/>
                <w:color w:val="auto"/>
              </w:rPr>
            </w:pPr>
            <w:r>
              <w:rPr>
                <w:rFonts w:ascii="Arial" w:cs="Arial" w:eastAsia="Arial" w:hAnsi="Arial"/>
                <w:sz w:val="14"/>
                <w:szCs w:val="14"/>
                <w:color w:val="auto"/>
              </w:rPr>
              <w:t>Rebecca</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7/19/2021</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w w:val="93"/>
              </w:rPr>
              <w:t>23,729</w:t>
            </w:r>
          </w:p>
        </w:tc>
        <w:tc>
          <w:tcPr>
            <w:tcW w:w="460" w:type="dxa"/>
            <w:vAlign w:val="bottom"/>
          </w:tcPr>
          <w:p>
            <w:pPr>
              <w:spacing w:after="0"/>
              <w:rPr>
                <w:sz w:val="24"/>
                <w:szCs w:val="24"/>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43,271</w:t>
            </w:r>
          </w:p>
        </w:tc>
        <w:tc>
          <w:tcPr>
            <w:tcW w:w="5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$36.59</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7/19/2031</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23,375</w:t>
            </w:r>
          </w:p>
        </w:tc>
        <w:tc>
          <w:tcPr>
            <w:tcW w:w="900" w:type="dxa"/>
            <w:vAlign w:val="bottom"/>
          </w:tcPr>
          <w:p>
            <w:pPr>
              <w:jc w:val="center"/>
              <w:ind w:left="48"/>
              <w:spacing w:after="0"/>
              <w:rPr>
                <w:sz w:val="20"/>
                <w:szCs w:val="20"/>
                <w:color w:val="auto"/>
              </w:rPr>
            </w:pPr>
            <w:r>
              <w:rPr>
                <w:rFonts w:ascii="Arial" w:cs="Arial" w:eastAsia="Arial" w:hAnsi="Arial"/>
                <w:sz w:val="14"/>
                <w:szCs w:val="14"/>
                <w:color w:val="auto"/>
                <w:w w:val="92"/>
              </w:rPr>
              <w:t>$554,689</w:t>
            </w:r>
          </w:p>
        </w:tc>
        <w:tc>
          <w:tcPr>
            <w:tcW w:w="580" w:type="dxa"/>
            <w:vAlign w:val="bottom"/>
          </w:tcPr>
          <w:p>
            <w:pPr>
              <w:spacing w:after="0"/>
              <w:rPr>
                <w:sz w:val="24"/>
                <w:szCs w:val="24"/>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color w:val="auto"/>
                <w:w w:val="93"/>
              </w:rPr>
              <w:t>13,600</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2"/>
              </w:rPr>
              <w:t>$322,728</w:t>
            </w: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Arial" w:cs="Arial" w:eastAsia="Arial" w:hAnsi="Arial"/>
                <w:sz w:val="14"/>
                <w:szCs w:val="14"/>
                <w:color w:val="auto"/>
              </w:rPr>
              <w:t>Chambers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5"/>
              </w:rPr>
              <w:t>3/3/2022</w:t>
            </w:r>
          </w:p>
        </w:tc>
        <w:tc>
          <w:tcPr>
            <w:tcW w:w="640" w:type="dxa"/>
            <w:vAlign w:val="bottom"/>
            <w:vMerge w:val="restart"/>
          </w:tcPr>
          <w:p>
            <w:pPr>
              <w:jc w:val="center"/>
              <w:ind w:lef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w w:val="93"/>
              </w:rPr>
              <w:t>37,773</w:t>
            </w:r>
          </w:p>
        </w:tc>
        <w:tc>
          <w:tcPr>
            <w:tcW w:w="50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$26.02</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3/3/2032</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3"/>
              </w:rPr>
              <w:t>20,728</w:t>
            </w:r>
          </w:p>
        </w:tc>
        <w:tc>
          <w:tcPr>
            <w:tcW w:w="900" w:type="dxa"/>
            <w:vAlign w:val="bottom"/>
            <w:vMerge w:val="restart"/>
          </w:tcPr>
          <w:p>
            <w:pPr>
              <w:jc w:val="center"/>
              <w:ind w:left="48"/>
              <w:spacing w:after="0"/>
              <w:rPr>
                <w:sz w:val="20"/>
                <w:szCs w:val="20"/>
                <w:color w:val="auto"/>
              </w:rPr>
            </w:pPr>
            <w:r>
              <w:rPr>
                <w:rFonts w:ascii="Arial" w:cs="Arial" w:eastAsia="Arial" w:hAnsi="Arial"/>
                <w:sz w:val="14"/>
                <w:szCs w:val="14"/>
                <w:color w:val="auto"/>
                <w:w w:val="92"/>
              </w:rPr>
              <w:t>$491,875</w:t>
            </w:r>
          </w:p>
        </w:tc>
        <w:tc>
          <w:tcPr>
            <w:tcW w:w="580" w:type="dxa"/>
            <w:vAlign w:val="bottom"/>
          </w:tcPr>
          <w:p>
            <w:pPr>
              <w:spacing w:after="0"/>
              <w:rPr>
                <w:sz w:val="15"/>
                <w:szCs w:val="15"/>
                <w:color w:val="auto"/>
              </w:rPr>
            </w:pPr>
          </w:p>
        </w:tc>
        <w:tc>
          <w:tcPr>
            <w:tcW w:w="100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10,364</w:t>
            </w:r>
          </w:p>
        </w:tc>
        <w:tc>
          <w:tcPr>
            <w:tcW w:w="1400" w:type="dxa"/>
            <w:vAlign w:val="bottom"/>
            <w:vMerge w:val="restart"/>
          </w:tcPr>
          <w:p>
            <w:pPr>
              <w:jc w:val="center"/>
              <w:ind w:right="268"/>
              <w:spacing w:after="0"/>
              <w:rPr>
                <w:sz w:val="20"/>
                <w:szCs w:val="20"/>
                <w:color w:val="auto"/>
              </w:rPr>
            </w:pPr>
            <w:r>
              <w:rPr>
                <w:rFonts w:ascii="Arial" w:cs="Arial" w:eastAsia="Arial" w:hAnsi="Arial"/>
                <w:sz w:val="14"/>
                <w:szCs w:val="14"/>
                <w:color w:val="auto"/>
                <w:w w:val="92"/>
              </w:rPr>
              <w:t>$245,938</w:t>
            </w:r>
          </w:p>
        </w:tc>
        <w:tc>
          <w:tcPr>
            <w:tcW w:w="0" w:type="dxa"/>
            <w:vAlign w:val="bottom"/>
          </w:tcPr>
          <w:p>
            <w:pPr>
              <w:spacing w:after="0"/>
              <w:rPr>
                <w:sz w:val="1"/>
                <w:szCs w:val="1"/>
                <w:color w:val="auto"/>
              </w:rPr>
            </w:pPr>
          </w:p>
        </w:tc>
      </w:tr>
      <w:tr>
        <w:trPr>
          <w:trHeight w:val="130"/>
        </w:trPr>
        <w:tc>
          <w:tcPr>
            <w:tcW w:w="10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8/5/2022</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36,496</w:t>
            </w: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$27.90</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8/5/2032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21,404</w:t>
            </w:r>
          </w:p>
        </w:tc>
        <w:tc>
          <w:tcPr>
            <w:tcW w:w="900" w:type="dxa"/>
            <w:vAlign w:val="bottom"/>
          </w:tcPr>
          <w:p>
            <w:pPr>
              <w:jc w:val="center"/>
              <w:ind w:left="48"/>
              <w:spacing w:after="0"/>
              <w:rPr>
                <w:sz w:val="20"/>
                <w:szCs w:val="20"/>
                <w:color w:val="auto"/>
              </w:rPr>
            </w:pPr>
            <w:r>
              <w:rPr>
                <w:rFonts w:ascii="Arial" w:cs="Arial" w:eastAsia="Arial" w:hAnsi="Arial"/>
                <w:sz w:val="14"/>
                <w:szCs w:val="14"/>
                <w:color w:val="auto"/>
                <w:w w:val="92"/>
              </w:rPr>
              <w:t>$507,917</w:t>
            </w:r>
          </w:p>
        </w:tc>
        <w:tc>
          <w:tcPr>
            <w:tcW w:w="580" w:type="dxa"/>
            <w:vAlign w:val="bottom"/>
          </w:tcPr>
          <w:p>
            <w:pPr>
              <w:jc w:val="right"/>
              <w:ind w:right="268"/>
              <w:spacing w:after="0"/>
              <w:rPr>
                <w:sz w:val="20"/>
                <w:szCs w:val="20"/>
                <w:color w:val="auto"/>
              </w:rPr>
            </w:pPr>
            <w:r>
              <w:rPr>
                <w:rFonts w:ascii="Arial" w:cs="Arial" w:eastAsia="Arial" w:hAnsi="Arial"/>
                <w:sz w:val="14"/>
                <w:szCs w:val="14"/>
                <w:color w:val="auto"/>
              </w:rPr>
              <w:t>(5)</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31"/>
        </w:trPr>
        <w:tc>
          <w:tcPr>
            <w:tcW w:w="1080" w:type="dxa"/>
            <w:vAlign w:val="bottom"/>
          </w:tcPr>
          <w:p>
            <w:pPr>
              <w:ind w:left="20"/>
              <w:spacing w:after="0"/>
              <w:rPr>
                <w:sz w:val="20"/>
                <w:szCs w:val="20"/>
                <w:color w:val="auto"/>
              </w:rPr>
            </w:pPr>
            <w:r>
              <w:rPr>
                <w:rFonts w:ascii="Arial" w:cs="Arial" w:eastAsia="Arial" w:hAnsi="Arial"/>
                <w:sz w:val="14"/>
                <w:szCs w:val="14"/>
                <w:color w:val="auto"/>
              </w:rPr>
              <w:t>Giulia C.</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w w:val="93"/>
              </w:rPr>
              <w:t>16,250</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78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$20.21</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2/27/2029</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Arial" w:cs="Arial" w:eastAsia="Arial" w:hAnsi="Arial"/>
                <w:sz w:val="14"/>
                <w:szCs w:val="14"/>
                <w:color w:val="auto"/>
              </w:rPr>
              <w:t>Kennedy</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3"/>
              </w:rPr>
              <w:t>2/28/2020</w:t>
            </w:r>
          </w:p>
        </w:tc>
        <w:tc>
          <w:tcPr>
            <w:tcW w:w="64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18,958</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(6)</w:t>
            </w:r>
          </w:p>
        </w:tc>
        <w:tc>
          <w:tcPr>
            <w:tcW w:w="780" w:type="dxa"/>
            <w:vAlign w:val="bottom"/>
            <w:vMerge w:val="restart"/>
          </w:tcPr>
          <w:p>
            <w:pPr>
              <w:jc w:val="center"/>
              <w:ind w:left="8"/>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$24.69</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2/27/2030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ind w:lef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vMerge w:val="restart"/>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10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2/26/2021</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w w:val="93"/>
              </w:rPr>
              <w:t>11,458</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78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$58.60</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2/26/2031</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73"/>
        </w:trPr>
        <w:tc>
          <w:tcPr>
            <w:tcW w:w="1080" w:type="dxa"/>
            <w:vAlign w:val="bottom"/>
          </w:tcPr>
          <w:p>
            <w:pPr>
              <w:ind w:left="20"/>
              <w:spacing w:after="0"/>
              <w:rPr>
                <w:sz w:val="20"/>
                <w:szCs w:val="20"/>
                <w:color w:val="auto"/>
              </w:rPr>
            </w:pPr>
            <w:r>
              <w:rPr>
                <w:rFonts w:ascii="Arial" w:cs="Arial" w:eastAsia="Arial" w:hAnsi="Arial"/>
                <w:sz w:val="14"/>
                <w:szCs w:val="14"/>
                <w:color w:val="auto"/>
              </w:rPr>
              <w:t>Annie McGuire</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2/28/2022</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42,175</w:t>
            </w:r>
          </w:p>
        </w:tc>
        <w:tc>
          <w:tcPr>
            <w:tcW w:w="5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$27.80</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2/28/2032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22,855</w:t>
            </w:r>
          </w:p>
        </w:tc>
        <w:tc>
          <w:tcPr>
            <w:tcW w:w="900" w:type="dxa"/>
            <w:vAlign w:val="bottom"/>
          </w:tcPr>
          <w:p>
            <w:pPr>
              <w:jc w:val="center"/>
              <w:ind w:left="48"/>
              <w:spacing w:after="0"/>
              <w:rPr>
                <w:sz w:val="20"/>
                <w:szCs w:val="20"/>
                <w:color w:val="auto"/>
              </w:rPr>
            </w:pPr>
            <w:r>
              <w:rPr>
                <w:rFonts w:ascii="Arial" w:cs="Arial" w:eastAsia="Arial" w:hAnsi="Arial"/>
                <w:sz w:val="14"/>
                <w:szCs w:val="14"/>
                <w:color w:val="auto"/>
                <w:w w:val="92"/>
              </w:rPr>
              <w:t>$542,349</w:t>
            </w:r>
          </w:p>
        </w:tc>
        <w:tc>
          <w:tcPr>
            <w:tcW w:w="5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8/5/2022</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18,248</w:t>
            </w: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$27.90</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8/5/2032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10,702</w:t>
            </w:r>
          </w:p>
        </w:tc>
        <w:tc>
          <w:tcPr>
            <w:tcW w:w="900" w:type="dxa"/>
            <w:vAlign w:val="bottom"/>
          </w:tcPr>
          <w:p>
            <w:pPr>
              <w:jc w:val="center"/>
              <w:ind w:left="48"/>
              <w:spacing w:after="0"/>
              <w:rPr>
                <w:sz w:val="20"/>
                <w:szCs w:val="20"/>
                <w:color w:val="auto"/>
              </w:rPr>
            </w:pPr>
            <w:r>
              <w:rPr>
                <w:rFonts w:ascii="Arial" w:cs="Arial" w:eastAsia="Arial" w:hAnsi="Arial"/>
                <w:sz w:val="14"/>
                <w:szCs w:val="14"/>
                <w:color w:val="auto"/>
                <w:w w:val="92"/>
              </w:rPr>
              <w:t>$253,958</w:t>
            </w:r>
          </w:p>
        </w:tc>
        <w:tc>
          <w:tcPr>
            <w:tcW w:w="580" w:type="dxa"/>
            <w:vAlign w:val="bottom"/>
          </w:tcPr>
          <w:p>
            <w:pPr>
              <w:jc w:val="right"/>
              <w:ind w:right="268"/>
              <w:spacing w:after="0"/>
              <w:rPr>
                <w:sz w:val="20"/>
                <w:szCs w:val="20"/>
                <w:color w:val="auto"/>
              </w:rPr>
            </w:pPr>
            <w:r>
              <w:rPr>
                <w:rFonts w:ascii="Arial" w:cs="Arial" w:eastAsia="Arial" w:hAnsi="Arial"/>
                <w:sz w:val="14"/>
                <w:szCs w:val="14"/>
                <w:color w:val="auto"/>
              </w:rPr>
              <w:t>(5)</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40"/>
        </w:trPr>
        <w:tc>
          <w:tcPr>
            <w:tcW w:w="1080" w:type="dxa"/>
            <w:vAlign w:val="bottom"/>
          </w:tcPr>
          <w:p>
            <w:pPr>
              <w:ind w:left="20"/>
              <w:spacing w:after="0"/>
              <w:rPr>
                <w:sz w:val="20"/>
                <w:szCs w:val="20"/>
                <w:color w:val="auto"/>
              </w:rPr>
            </w:pPr>
            <w:r>
              <w:rPr>
                <w:rFonts w:ascii="Arial" w:cs="Arial" w:eastAsia="Arial" w:hAnsi="Arial"/>
                <w:sz w:val="14"/>
                <w:szCs w:val="14"/>
                <w:color w:val="auto"/>
              </w:rPr>
              <w:t>Tina Nova</w:t>
            </w: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11/12/2015</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w w:val="93"/>
              </w:rPr>
              <w:t>35,000</w:t>
            </w:r>
          </w:p>
        </w:tc>
        <w:tc>
          <w:tcPr>
            <w:tcW w:w="460" w:type="dxa"/>
            <w:vAlign w:val="bottom"/>
          </w:tcPr>
          <w:p>
            <w:pPr>
              <w:spacing w:after="0"/>
              <w:rPr>
                <w:sz w:val="24"/>
                <w:szCs w:val="24"/>
                <w:color w:val="auto"/>
              </w:rPr>
            </w:pPr>
          </w:p>
        </w:tc>
        <w:tc>
          <w:tcPr>
            <w:tcW w:w="78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$6.14</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11/12/2025</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6/20/2016</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w w:val="93"/>
              </w:rPr>
              <w:t>10,000</w:t>
            </w:r>
          </w:p>
        </w:tc>
        <w:tc>
          <w:tcPr>
            <w:tcW w:w="460" w:type="dxa"/>
            <w:vAlign w:val="bottom"/>
          </w:tcPr>
          <w:p>
            <w:pPr>
              <w:spacing w:after="0"/>
              <w:rPr>
                <w:sz w:val="17"/>
                <w:szCs w:val="17"/>
                <w:color w:val="auto"/>
              </w:rPr>
            </w:pPr>
          </w:p>
        </w:tc>
        <w:tc>
          <w:tcPr>
            <w:tcW w:w="78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$5.28</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6/19/2026</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6/7/2017</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w w:val="93"/>
              </w:rPr>
              <w:t>10,000</w:t>
            </w:r>
          </w:p>
        </w:tc>
        <w:tc>
          <w:tcPr>
            <w:tcW w:w="460" w:type="dxa"/>
            <w:vAlign w:val="bottom"/>
          </w:tcPr>
          <w:p>
            <w:pPr>
              <w:spacing w:after="0"/>
              <w:rPr>
                <w:sz w:val="17"/>
                <w:szCs w:val="17"/>
                <w:color w:val="auto"/>
              </w:rPr>
            </w:pPr>
          </w:p>
        </w:tc>
        <w:tc>
          <w:tcPr>
            <w:tcW w:w="78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$7.94</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6/6/2027</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6/7/2018</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w w:val="93"/>
              </w:rPr>
              <w:t>10,000</w:t>
            </w:r>
          </w:p>
        </w:tc>
        <w:tc>
          <w:tcPr>
            <w:tcW w:w="460" w:type="dxa"/>
            <w:vAlign w:val="bottom"/>
          </w:tcPr>
          <w:p>
            <w:pPr>
              <w:spacing w:after="0"/>
              <w:rPr>
                <w:sz w:val="17"/>
                <w:szCs w:val="17"/>
                <w:color w:val="auto"/>
              </w:rPr>
            </w:pPr>
          </w:p>
        </w:tc>
        <w:tc>
          <w:tcPr>
            <w:tcW w:w="78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$7.60</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6/6/2028</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6/12/2019</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w w:val="93"/>
              </w:rPr>
              <w:t>10,000</w:t>
            </w:r>
          </w:p>
        </w:tc>
        <w:tc>
          <w:tcPr>
            <w:tcW w:w="460" w:type="dxa"/>
            <w:vAlign w:val="bottom"/>
          </w:tcPr>
          <w:p>
            <w:pPr>
              <w:spacing w:after="0"/>
              <w:rPr>
                <w:sz w:val="17"/>
                <w:szCs w:val="17"/>
                <w:color w:val="auto"/>
              </w:rPr>
            </w:pPr>
          </w:p>
        </w:tc>
        <w:tc>
          <w:tcPr>
            <w:tcW w:w="78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$27.01</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6/11/2029</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3/3/2022</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3"/>
              </w:rPr>
              <w:t>37,773</w:t>
            </w:r>
          </w:p>
        </w:tc>
        <w:tc>
          <w:tcPr>
            <w:tcW w:w="5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$26.02</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3/3/2032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56,546</w:t>
            </w:r>
          </w:p>
        </w:tc>
        <w:tc>
          <w:tcPr>
            <w:tcW w:w="900" w:type="dxa"/>
            <w:vAlign w:val="bottom"/>
          </w:tcPr>
          <w:p>
            <w:pPr>
              <w:jc w:val="center"/>
              <w:ind w:left="68"/>
              <w:spacing w:after="0"/>
              <w:rPr>
                <w:sz w:val="20"/>
                <w:szCs w:val="20"/>
                <w:color w:val="auto"/>
              </w:rPr>
            </w:pPr>
            <w:r>
              <w:rPr>
                <w:rFonts w:ascii="Arial" w:cs="Arial" w:eastAsia="Arial" w:hAnsi="Arial"/>
                <w:sz w:val="14"/>
                <w:szCs w:val="14"/>
                <w:color w:val="auto"/>
                <w:w w:val="91"/>
              </w:rPr>
              <w:t>$1,341,837</w:t>
            </w:r>
          </w:p>
        </w:tc>
        <w:tc>
          <w:tcPr>
            <w:tcW w:w="580" w:type="dxa"/>
            <w:vAlign w:val="bottom"/>
          </w:tcPr>
          <w:p>
            <w:pPr>
              <w:spacing w:after="0"/>
              <w:rPr>
                <w:sz w:val="17"/>
                <w:szCs w:val="17"/>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color w:val="auto"/>
                <w:w w:val="93"/>
              </w:rPr>
              <w:t>28,273</w:t>
            </w:r>
          </w:p>
        </w:tc>
        <w:tc>
          <w:tcPr>
            <w:tcW w:w="1400" w:type="dxa"/>
            <w:vAlign w:val="bottom"/>
          </w:tcPr>
          <w:p>
            <w:pPr>
              <w:jc w:val="center"/>
              <w:ind w:right="268"/>
              <w:spacing w:after="0"/>
              <w:rPr>
                <w:sz w:val="20"/>
                <w:szCs w:val="20"/>
                <w:color w:val="auto"/>
              </w:rPr>
            </w:pPr>
            <w:r>
              <w:rPr>
                <w:rFonts w:ascii="Arial" w:cs="Arial" w:eastAsia="Arial" w:hAnsi="Arial"/>
                <w:sz w:val="14"/>
                <w:szCs w:val="14"/>
                <w:color w:val="auto"/>
                <w:w w:val="92"/>
              </w:rPr>
              <w:t>$670,918</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left="820" w:right="40" w:hanging="491"/>
        <w:spacing w:after="0" w:line="228" w:lineRule="auto"/>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Except as otherwise noted, options become exercisable as to 25% of the shares on the first anniversary of the vesting commencement date, and the remaining shares vest at a rate of 1/48th of the total number of shares subject to the options each month thereafter. The options have a term of ten years, subject to earlier termination upon termination of employment. The options are subject to acceleration upon certain specified events; for more information, see “—Potential Payments upon Termination or Change in Control” below.</w:t>
      </w:r>
    </w:p>
    <w:p>
      <w:pPr>
        <w:spacing w:after="0" w:line="117" w:lineRule="exact"/>
        <w:rPr>
          <w:rFonts w:ascii="Arial" w:cs="Arial" w:eastAsia="Arial" w:hAnsi="Arial"/>
          <w:sz w:val="14"/>
          <w:szCs w:val="14"/>
          <w:color w:val="auto"/>
        </w:rPr>
      </w:pPr>
    </w:p>
    <w:p>
      <w:pPr>
        <w:jc w:val="both"/>
        <w:ind w:left="820" w:right="40" w:hanging="491"/>
        <w:spacing w:after="0" w:line="231" w:lineRule="auto"/>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stock option vests at a rate of 1/3rd of the total number of shares of common stock underlying the stock option on the one-year anniversary of the vesting commencement date, and vests at a rate of 1/36th of the total number of shares of common stock underlying the stock option each month following such one-year anniversary. The stock option is subject to acceleration upon certain events as described in “—Potential Payments upon Termination or Change in Control” below.</w:t>
      </w:r>
    </w:p>
    <w:p>
      <w:pPr>
        <w:spacing w:after="0" w:line="115" w:lineRule="exact"/>
        <w:rPr>
          <w:rFonts w:ascii="Arial" w:cs="Arial" w:eastAsia="Arial" w:hAnsi="Arial"/>
          <w:sz w:val="14"/>
          <w:szCs w:val="14"/>
          <w:color w:val="auto"/>
        </w:rPr>
      </w:pPr>
    </w:p>
    <w:p>
      <w:pPr>
        <w:jc w:val="both"/>
        <w:ind w:left="820" w:right="40" w:hanging="491"/>
        <w:spacing w:after="0" w:line="228" w:lineRule="auto"/>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a price of $23.73 per share, which was the closing price per share of our common stock as reported by The Nasdaq Global Market on December 30, 2022. Except as otherwise noted, RSUs vest and settle as to 25% of the units on the first anniversary of the vesting commencement date, and the remaining RSUs vest and settle at a rate of 1/16th of the total number of shares subject to the units each quarter thereafter. The RSUs are subject to acceleration upon certain specified events; for more information, see “—Potential Payments upon Termination or Change in Control”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56" w:name="page57"/>
    <w:bookmarkEnd w:id="56"/>
    <w:p>
      <w:pPr>
        <w:jc w:val="both"/>
        <w:ind w:left="820" w:right="40" w:hanging="491"/>
        <w:spacing w:after="0" w:line="220" w:lineRule="auto"/>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a price of $23.73 per share, which was the closing price per share of our common stock as reported by The Nasdaq Global Market on December 30, 2022 and assuming the PSU awards' performance conditions are achieved at 100% of target. For the 2022 PSUs, 1/3 of the total number of PSUs will vest subject to and upon certification of achievement of the performance metric for the performance period ending December 31, 2023 and 2/3 of the total number of PSUs will vest subject to and upon the certification of achievement of the performance metric for the performance period ending December 31, 2024 and the continued service of the applicable executive. The 2022 PSUs vest between 75% and 125% of the total grant based on the achievement of the performance metrics. If the 2022 PSUs were instead valued based on the maximum outcome of the applicable performance condition (i.e., based on maximum level performance), the total amount for the 2022 PSU awards reported in this column as of December 31, 2022 would increase as follows: Mr. Stapley from $670,800 to $838,500, Ms. Chambers from $245,938 to $307,422, and Ms. Nova from $670,918 to $838,648. The 2021 PSUs do not have staggered levels of achievement. The PSUs are subject to acceleration upon certain specified events; for more information, see “—Potential Payments upon Termination or Change in Control” below.</w:t>
      </w:r>
    </w:p>
    <w:p>
      <w:pPr>
        <w:spacing w:after="0" w:line="116" w:lineRule="exact"/>
        <w:rPr>
          <w:rFonts w:ascii="Arial" w:cs="Arial" w:eastAsia="Arial" w:hAnsi="Arial"/>
          <w:sz w:val="14"/>
          <w:szCs w:val="14"/>
          <w:color w:val="auto"/>
        </w:rPr>
      </w:pPr>
    </w:p>
    <w:p>
      <w:pPr>
        <w:ind w:left="820" w:right="40" w:hanging="491"/>
        <w:spacing w:after="0" w:line="269" w:lineRule="auto"/>
        <w:tabs>
          <w:tab w:leader="none" w:pos="8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RSUs vest at a rate of 1/3rd of the total number of RSUs on the one-year anniversary of the vesting commencement date, and vest at a rate of 1/12th of the total number of RSUs on each quarter thereafter. The RSUs are subject to acceleration upon certain events as described in “—Potential Payments upon Termination or Change in Control” below.</w:t>
      </w:r>
    </w:p>
    <w:p>
      <w:pPr>
        <w:spacing w:after="0" w:line="96" w:lineRule="exact"/>
        <w:rPr>
          <w:rFonts w:ascii="Arial" w:cs="Arial" w:eastAsia="Arial" w:hAnsi="Arial"/>
          <w:sz w:val="13"/>
          <w:szCs w:val="13"/>
          <w:color w:val="auto"/>
        </w:rPr>
      </w:pPr>
    </w:p>
    <w:p>
      <w:pPr>
        <w:ind w:left="820" w:right="40" w:hanging="491"/>
        <w:spacing w:after="0" w:line="236" w:lineRule="auto"/>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Ms. Kennedy departed from the company effective December 31, 2022. Pursuant to the terms of the stock option awards, the outstanding vested options expire three months after the termination of her service.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Exercises and Stock Vested Table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presents, for each of our named executive officers, the number of shares of our common stock acquired upon the exercise of stock options or vesting and settlement of RSUs and PSUs during 2022 and the aggregate value realized upon the exercise of stock options and the vesting and settlement of RSUs and PSUs.</w:t>
      </w:r>
    </w:p>
    <w:p>
      <w:pPr>
        <w:spacing w:after="0" w:line="351"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3560" w:type="dxa"/>
            <w:vAlign w:val="bottom"/>
            <w:gridSpan w:val="3"/>
          </w:tcPr>
          <w:p>
            <w:pPr>
              <w:ind w:left="1180"/>
              <w:spacing w:after="0"/>
              <w:rPr>
                <w:sz w:val="20"/>
                <w:szCs w:val="20"/>
                <w:color w:val="auto"/>
              </w:rPr>
            </w:pPr>
            <w:r>
              <w:rPr>
                <w:rFonts w:ascii="Arial" w:cs="Arial" w:eastAsia="Arial" w:hAnsi="Arial"/>
                <w:sz w:val="14"/>
                <w:szCs w:val="14"/>
                <w:b w:val="1"/>
                <w:bCs w:val="1"/>
                <w:color w:val="auto"/>
              </w:rPr>
              <w:t>Option Awards</w:t>
            </w:r>
          </w:p>
        </w:tc>
        <w:tc>
          <w:tcPr>
            <w:tcW w:w="3420" w:type="dxa"/>
            <w:vAlign w:val="bottom"/>
            <w:gridSpan w:val="2"/>
          </w:tcPr>
          <w:p>
            <w:pPr>
              <w:jc w:val="right"/>
              <w:ind w:right="120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jc w:val="right"/>
              <w:ind w:right="322"/>
              <w:spacing w:after="0" w:line="133" w:lineRule="exact"/>
              <w:rPr>
                <w:sz w:val="20"/>
                <w:szCs w:val="20"/>
                <w:color w:val="auto"/>
              </w:rPr>
            </w:pPr>
            <w:r>
              <w:rPr>
                <w:rFonts w:ascii="Arial" w:cs="Arial" w:eastAsia="Arial" w:hAnsi="Arial"/>
                <w:sz w:val="14"/>
                <w:szCs w:val="14"/>
                <w:b w:val="1"/>
                <w:bCs w:val="1"/>
                <w:color w:val="auto"/>
              </w:rPr>
              <w:t>Number of Shares</w:t>
            </w:r>
          </w:p>
        </w:tc>
        <w:tc>
          <w:tcPr>
            <w:tcW w:w="1480" w:type="dxa"/>
            <w:vAlign w:val="bottom"/>
          </w:tcPr>
          <w:p>
            <w:pPr>
              <w:jc w:val="center"/>
              <w:ind w:right="22"/>
              <w:spacing w:after="0" w:line="133" w:lineRule="exact"/>
              <w:rPr>
                <w:sz w:val="20"/>
                <w:szCs w:val="20"/>
                <w:color w:val="auto"/>
              </w:rPr>
            </w:pPr>
            <w:r>
              <w:rPr>
                <w:rFonts w:ascii="Arial" w:cs="Arial" w:eastAsia="Arial" w:hAnsi="Arial"/>
                <w:sz w:val="14"/>
                <w:szCs w:val="14"/>
                <w:b w:val="1"/>
                <w:bCs w:val="1"/>
                <w:color w:val="auto"/>
                <w:w w:val="92"/>
              </w:rPr>
              <w:t>Value Realized on</w:t>
            </w:r>
          </w:p>
        </w:tc>
        <w:tc>
          <w:tcPr>
            <w:tcW w:w="240" w:type="dxa"/>
            <w:vAlign w:val="bottom"/>
          </w:tcPr>
          <w:p>
            <w:pPr>
              <w:spacing w:after="0"/>
              <w:rPr>
                <w:sz w:val="11"/>
                <w:szCs w:val="11"/>
                <w:color w:val="auto"/>
              </w:rPr>
            </w:pPr>
          </w:p>
        </w:tc>
        <w:tc>
          <w:tcPr>
            <w:tcW w:w="1700" w:type="dxa"/>
            <w:vAlign w:val="bottom"/>
          </w:tcPr>
          <w:p>
            <w:pPr>
              <w:jc w:val="right"/>
              <w:ind w:right="202"/>
              <w:spacing w:after="0" w:line="133" w:lineRule="exact"/>
              <w:rPr>
                <w:sz w:val="20"/>
                <w:szCs w:val="20"/>
                <w:color w:val="auto"/>
              </w:rPr>
            </w:pPr>
            <w:r>
              <w:rPr>
                <w:rFonts w:ascii="Arial" w:cs="Arial" w:eastAsia="Arial" w:hAnsi="Arial"/>
                <w:sz w:val="14"/>
                <w:szCs w:val="14"/>
                <w:b w:val="1"/>
                <w:bCs w:val="1"/>
                <w:color w:val="auto"/>
              </w:rPr>
              <w:t>Number of Shares</w:t>
            </w:r>
          </w:p>
        </w:tc>
        <w:tc>
          <w:tcPr>
            <w:tcW w:w="17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4"/>
              </w:rPr>
              <w:t>Value Realized on Vesting</w:t>
            </w:r>
          </w:p>
        </w:tc>
        <w:tc>
          <w:tcPr>
            <w:tcW w:w="0" w:type="dxa"/>
            <w:vAlign w:val="bottom"/>
          </w:tcPr>
          <w:p>
            <w:pPr>
              <w:spacing w:after="0"/>
              <w:rPr>
                <w:sz w:val="1"/>
                <w:szCs w:val="1"/>
                <w:color w:val="auto"/>
              </w:rPr>
            </w:pPr>
          </w:p>
        </w:tc>
      </w:tr>
      <w:tr>
        <w:trPr>
          <w:trHeight w:val="92"/>
        </w:trPr>
        <w:tc>
          <w:tcPr>
            <w:tcW w:w="2380" w:type="dxa"/>
            <w:vAlign w:val="bottom"/>
            <w:vMerge w:val="continue"/>
          </w:tcPr>
          <w:p>
            <w:pPr>
              <w:spacing w:after="0"/>
              <w:rPr>
                <w:sz w:val="7"/>
                <w:szCs w:val="7"/>
                <w:color w:val="auto"/>
              </w:rPr>
            </w:pPr>
          </w:p>
        </w:tc>
        <w:tc>
          <w:tcPr>
            <w:tcW w:w="18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Acquired on Exercise (#)</w:t>
            </w: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Exercise ($) (1)</w:t>
            </w:r>
          </w:p>
        </w:tc>
        <w:tc>
          <w:tcPr>
            <w:tcW w:w="17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9"/>
              </w:rPr>
              <w:t>Acquired on Vesting (#)</w:t>
            </w:r>
          </w:p>
        </w:tc>
        <w:tc>
          <w:tcPr>
            <w:tcW w:w="172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 (2)</w:t>
            </w:r>
          </w:p>
        </w:tc>
        <w:tc>
          <w:tcPr>
            <w:tcW w:w="0" w:type="dxa"/>
            <w:vAlign w:val="bottom"/>
          </w:tcPr>
          <w:p>
            <w:pPr>
              <w:spacing w:after="0"/>
              <w:rPr>
                <w:sz w:val="1"/>
                <w:szCs w:val="1"/>
                <w:color w:val="auto"/>
              </w:rPr>
            </w:pPr>
          </w:p>
        </w:tc>
      </w:tr>
      <w:tr>
        <w:trPr>
          <w:trHeight w:val="95"/>
        </w:trPr>
        <w:tc>
          <w:tcPr>
            <w:tcW w:w="238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80" w:type="dxa"/>
            <w:vAlign w:val="bottom"/>
          </w:tcPr>
          <w:p>
            <w:pPr>
              <w:spacing w:after="0"/>
              <w:rPr>
                <w:sz w:val="20"/>
                <w:szCs w:val="20"/>
                <w:color w:val="auto"/>
              </w:rPr>
            </w:pPr>
            <w:r>
              <w:rPr>
                <w:rFonts w:ascii="Arial" w:cs="Arial" w:eastAsia="Arial" w:hAnsi="Arial"/>
                <w:sz w:val="16"/>
                <w:szCs w:val="16"/>
                <w:color w:val="auto"/>
              </w:rPr>
              <w:t>Marc Stapley</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17,552</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354,674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Rebecca Chambers</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10,625</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224,952</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Giulia Kennedy(3)</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4,414</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84,358</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35,056</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941,493</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Annie McGuire</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Tina Nova</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30,000</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835,200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320" w:right="200" w:hanging="477"/>
        <w:spacing w:after="0"/>
        <w:tabs>
          <w:tab w:leader="none" w:pos="1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value realized on exercise is calculated as the difference between the fair market value of our common stock on the date of exercise and the applicable exercise price of those options.</w:t>
      </w:r>
    </w:p>
    <w:p>
      <w:pPr>
        <w:spacing w:after="0" w:line="104" w:lineRule="exact"/>
        <w:rPr>
          <w:rFonts w:ascii="Arial" w:cs="Arial" w:eastAsia="Arial" w:hAnsi="Arial"/>
          <w:sz w:val="16"/>
          <w:szCs w:val="16"/>
          <w:color w:val="auto"/>
        </w:rPr>
      </w:pPr>
    </w:p>
    <w:p>
      <w:pPr>
        <w:ind w:left="1320" w:right="180" w:hanging="477"/>
        <w:spacing w:after="0"/>
        <w:tabs>
          <w:tab w:leader="none" w:pos="1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aggregate value realized upon the vesting and settlement of an RSU or PSU is based on the closing price on the Nasdaq Global Market of a share of common stock on the date prior to the day of vesting.</w:t>
      </w:r>
    </w:p>
    <w:p>
      <w:pPr>
        <w:spacing w:after="0" w:line="104" w:lineRule="exact"/>
        <w:rPr>
          <w:rFonts w:ascii="Arial" w:cs="Arial" w:eastAsia="Arial" w:hAnsi="Arial"/>
          <w:sz w:val="16"/>
          <w:szCs w:val="16"/>
          <w:color w:val="auto"/>
        </w:rPr>
      </w:pPr>
    </w:p>
    <w:p>
      <w:pPr>
        <w:ind w:left="1320" w:hanging="477"/>
        <w:spacing w:after="0"/>
        <w:tabs>
          <w:tab w:leader="none" w:pos="1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Ms. Kennedy departed from the company effective December 31, 2022.</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Letter Agreements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 Stapley</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entered into an employment agreement with Mr. Stapley, our Chief Executive Officer, on May 7, 2021. The agreement provides for base salary, subject to periodic review. Under the employment agreement, Mr. Stapley is also eligible to earn a bonus based on criteria and terms and conditions as may be established by our Board of Directors as well as a grant of restricted stock, stock options and performance-based stock units. We have also entered into a change of control and severance agreement with Mr. Stapley that provides for certain payments and benefits upon a qualifying termination of employment. See “—Potential Payments upon Termination or Change in Control” below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Rebecca Chambers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entered into an amended and restated offer letter with Ms. Chambers, our Chief Financial Officer, on August 15, 2021. The letter provides for base salary, subject to periodic review. Under the employment agreement, Ms. Chambers is also eligible to earn a bonus based on criteria and terms and conditions as may be established by our Board of Directors, as well as a grant of restricted stock units, stock options and performance-based stock units. We have also entered into a change of control and severance agreement with Ms. Chambers that provides for certain payments and benefits upon a qualifying termination of employment. See “—Potential Payments upon Termination or Change in Control” below for more information.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Giulia C. Kennedy</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Ms Kennedy, departed the company December 31, 2022 after a long and successful career of leading the company as its Global Chief Scientific Officer and Chief Medical Officer whereby she was instrumental in developing our innovative products. As part of her departure, the company and Ms. Kennedy signed a separation agreement (“Kennedy Separation Agreement”) that included a release of claims against the company provided Ms. Kennedy with (i) six months’ salary (as required by Ms. Kennedy’s change of control and severance agreement), (ii) continuation of coverage under the Consolidated Omnibus Budget Reconciliation Act of 1985, as amended, through the earlier of 24 months following Ms. Kennedy’s date of departure and the date on which Ms. Kennedy becomes eligible for coverage from an employer or Medicare; (iii) payment of Ms. Kennedy’s annual performance bonus for the year ended December 31, 2022 at the corporate achievement level determined by the Compensation Committee for all participants; and (iv) a cash bonus of $100,000 in appreciation for all of Ms. Kennedy’s contributions as one of the first employees of the Company. All of Ms. Kennedy’s outstanding equity awards ceased vesting on December 31, 2022, and any then-unvested equity awards were forfeited. See “Potential Payments upon Termination or Change in Control” below for more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Annie McGuire</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entered into an offer letter with Ms. McGuire, our General Counsel and Chief People Officer, on January 9, 2023. The letter provides for base salary, subject to periodic review. Pursuant to the offer letter, Ms. McGuire is also eligible to earn a bonus based on criteria and terms and conditions as may be established by our Board of Directors, as well as equity grants subject to approval by our Board of Directors. We have also entered into a change of control and severance agreement with Ms. McGuire that provides for certain payments and benefits upon a qualifying termination of employment. See “— Potential Payments upon Termination or Change in Control” below for more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Tina Nova</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entered into an offer letter with Ms. Nova, our General Manager, Decipher Urologic Cancers, on February 2, 2021. The letter provides for base salary, subject to periodic review. Pursuant to the offer letter, Ms. Nova is also eligible to earn a bonus based on criteria and terms and conditions as may be established by our Board of Directors, as well as equity grants subject to approval by our Board of Directors. We have also entered into a change of control and severance agreement with Ms. Nova that provides for certain payments and benefits upon a qualifying termination of employment.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entered into change of control and severance agreements with each of our named executive officers.</w:t>
      </w:r>
    </w:p>
    <w:p>
      <w:pPr>
        <w:spacing w:after="0" w:line="11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Each of these agreements has an initial term of four years, which term automatically renews for additional one</w:t>
      </w:r>
      <w:r>
        <w:rPr>
          <w:rFonts w:ascii="MS PGothic" w:cs="MS PGothic" w:eastAsia="MS PGothic" w:hAnsi="MS PGothic"/>
          <w:sz w:val="18"/>
          <w:szCs w:val="18"/>
          <w:color w:val="auto"/>
        </w:rPr>
        <w:t>‑</w:t>
      </w:r>
      <w:r>
        <w:rPr>
          <w:rFonts w:ascii="Arial" w:cs="Arial" w:eastAsia="Arial" w:hAnsi="Arial"/>
          <w:sz w:val="18"/>
          <w:szCs w:val="18"/>
          <w:color w:val="auto"/>
        </w:rPr>
        <w:t>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of a Change in Control</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each of the agreements, if the named executive officer is terminated by us without “cause” (as defined in 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spacing w:after="0" w:line="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Stapley: (i) 12 months of salary continuation from the termination date, (ii) a lump sum payment equal to his prorated annual bonus for the applicable performance period based on actual corporate performance and (iii) up to 12 months continuation coverage under the Consolidated Omnibus Budget Reconciliation Act of 1985, as amended (“COBRA”).</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Ms. McGuire, Ms. Chambers and Ms. Nova: (i) 6 months of salary continuation from the termination date and (ii) up to 6 months continuation coverage under COBRA.</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Ms. Kennedy’s departure from the company and pursuant to the Kennedy Separation Agreement (as described above under “Employment or Letter Agreements”), Ms. Kennedy ceased to be eligible for any benefits under her change of control and severance agreement. Please see the description of the Kennedy Separation Agreement above for the details of the payments provided in exchange for a release of claims.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During Change in Control Period</w:t>
      </w:r>
    </w:p>
    <w:p>
      <w:pPr>
        <w:spacing w:after="0" w:line="117"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Pursuant to each of these agreements, if the named executive officer is terminated by us without cause, or terminates his or her employment for good reason each during the change of control period, he or she is entitled to the following benefits:</w:t>
      </w:r>
    </w:p>
    <w:p>
      <w:pPr>
        <w:spacing w:after="0" w:line="62"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16"/>
          <w:szCs w:val="16"/>
          <w:color w:val="auto"/>
        </w:rPr>
        <w:t>Mr. Stapley: (i) a lump sum severance payment equal to 24 months of salary, (ii) a lump sum payment equal to 200% of the highest of his (A) annual target bonus for the year in which the change of control occurs, (B) annual target bonus for the year in which the termination occurs, or (C) actual bonus for the year prior to the year in which the termination occurs, (iii) accelerated vesting equal to 100% of any outstanding equity awards (and with respect to equity awards subject to performance, assuming “target” level performance) and (iv) up to 24 months continuation coverage under COBRA.</w:t>
      </w:r>
    </w:p>
    <w:p>
      <w:pPr>
        <w:spacing w:after="0" w:line="49"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Ms. Chambers, Ms. Nova and Ms. McGuire: (i) a lump sum severance payment equal to 18 months of salary from the termination date, (ii) a lump sum payment equal to 150%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 and (iv) up to 18 months continuation coverage under COBRA.</w:t>
      </w:r>
    </w:p>
    <w:p>
      <w:pPr>
        <w:spacing w:after="0" w:line="8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Upon a change in control of the Company, the named executive officer may be subject to a reduction in compensation as a result of excise tax calculations under the best net after-tax severance approach pursuant to Section 4999 of the Code.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receipt of the above-described benefits is subject to the named executive officer executing a release of certain claims against us.</w:t>
      </w:r>
    </w:p>
    <w:p>
      <w:pPr>
        <w:spacing w:after="0" w:line="117" w:lineRule="exact"/>
        <w:rPr>
          <w:sz w:val="20"/>
          <w:szCs w:val="20"/>
          <w:color w:val="auto"/>
        </w:rPr>
      </w:pPr>
    </w:p>
    <w:p>
      <w:pPr>
        <w:jc w:val="both"/>
        <w:ind w:right="60" w:firstLine="648"/>
        <w:spacing w:after="0" w:line="290" w:lineRule="auto"/>
        <w:rPr>
          <w:sz w:val="20"/>
          <w:szCs w:val="20"/>
          <w:color w:val="auto"/>
        </w:rPr>
      </w:pPr>
      <w:r>
        <w:rPr>
          <w:rFonts w:ascii="Arial" w:cs="Arial" w:eastAsia="Arial" w:hAnsi="Arial"/>
          <w:sz w:val="16"/>
          <w:szCs w:val="16"/>
          <w:color w:val="auto"/>
        </w:rPr>
        <w:t>The following table illustrates the potential payments and benefits our NEOs would be entitled to upon termination of employment or a Change in Control ("CIC”) under each situation listed below. The potential payments assume that the termination and/or termination resulting from a CIC occurred on December 30, 2022, the final trading day of the year, and, where applicable, use the closing price of our Common Stock of $23.73 on December 30, 2022. The table is merely an illustrative example of the impact of a hypothetical termination of employment or change in control and qualifying termination. The amounts that would actually be paid upon a termination of employment can only be determined at the time of such termination, based on the facts and circumstances then prevailing. In the case of Ms. Kennedy, this table reflects amounts actually paid upon her termination of service. Please see the description of the Kennedy Separation Agreement above for the details of the payments provided in exchange for a release of claims. The receipt of the above-described benefits is subject to the named executive officer executing a release of certain claims against us.</w:t>
      </w:r>
    </w:p>
    <w:p>
      <w:pPr>
        <w:spacing w:after="0" w:line="99" w:lineRule="exact"/>
        <w:rPr>
          <w:sz w:val="20"/>
          <w:szCs w:val="20"/>
          <w:color w:val="auto"/>
        </w:rPr>
      </w:pPr>
    </w:p>
    <w:tbl>
      <w:tblPr>
        <w:tblLayout w:type="fixed"/>
        <w:tblInd w:w="470" w:type="dxa"/>
        <w:tblCellMar>
          <w:top w:w="0" w:type="dxa"/>
          <w:left w:w="0" w:type="dxa"/>
          <w:bottom w:w="0" w:type="dxa"/>
          <w:right w:w="0" w:type="dxa"/>
        </w:tblCellMar>
      </w:tblPr>
      <w:tr>
        <w:trPr>
          <w:trHeight w:val="203"/>
        </w:trPr>
        <w:tc>
          <w:tcPr>
            <w:tcW w:w="1180" w:type="dxa"/>
            <w:vAlign w:val="bottom"/>
            <w:tcBorders>
              <w:bottom w:val="single" w:sz="8" w:color="auto"/>
            </w:tcBorders>
          </w:tcPr>
          <w:p>
            <w:pPr>
              <w:spacing w:after="0"/>
              <w:rPr>
                <w:sz w:val="17"/>
                <w:szCs w:val="17"/>
                <w:color w:val="auto"/>
              </w:rPr>
            </w:pPr>
          </w:p>
        </w:tc>
        <w:tc>
          <w:tcPr>
            <w:tcW w:w="4680" w:type="dxa"/>
            <w:vAlign w:val="bottom"/>
            <w:tcBorders>
              <w:bottom w:val="single" w:sz="8" w:color="auto"/>
              <w:right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Upon Qualifying Termination - No Change in Control</w:t>
            </w:r>
          </w:p>
        </w:tc>
        <w:tc>
          <w:tcPr>
            <w:tcW w:w="404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w w:val="94"/>
              </w:rPr>
              <w:t>Upon Qualifying Termination - Change in Control</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18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Name</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2"/>
              </w:rPr>
              <w:t>Cash Severance</w:t>
            </w:r>
          </w:p>
        </w:tc>
        <w:tc>
          <w:tcPr>
            <w:tcW w:w="12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Continuation of</w:t>
            </w:r>
          </w:p>
        </w:tc>
        <w:tc>
          <w:tcPr>
            <w:tcW w:w="13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Value of</w:t>
            </w:r>
          </w:p>
        </w:tc>
        <w:tc>
          <w:tcPr>
            <w:tcW w:w="106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Total ($)</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Cash Severance ($)</w:t>
            </w:r>
          </w:p>
        </w:tc>
        <w:tc>
          <w:tcPr>
            <w:tcW w:w="11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Continuation of</w:t>
            </w:r>
          </w:p>
        </w:tc>
        <w:tc>
          <w:tcPr>
            <w:tcW w:w="12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Value of</w:t>
            </w:r>
          </w:p>
        </w:tc>
        <w:tc>
          <w:tcPr>
            <w:tcW w:w="360" w:type="dxa"/>
            <w:vAlign w:val="bottom"/>
          </w:tcPr>
          <w:p>
            <w:pPr>
              <w:spacing w:after="0"/>
              <w:rPr>
                <w:sz w:val="11"/>
                <w:szCs w:val="11"/>
                <w:color w:val="auto"/>
              </w:rPr>
            </w:pPr>
          </w:p>
        </w:tc>
        <w:tc>
          <w:tcPr>
            <w:tcW w:w="940" w:type="dxa"/>
            <w:vAlign w:val="bottom"/>
            <w:tcBorders>
              <w:right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44"/>
        </w:trPr>
        <w:tc>
          <w:tcPr>
            <w:tcW w:w="1180" w:type="dxa"/>
            <w:vAlign w:val="bottom"/>
            <w:tcBorders>
              <w:left w:val="single" w:sz="8" w:color="auto"/>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Medical Benefits</w:t>
            </w:r>
          </w:p>
        </w:tc>
        <w:tc>
          <w:tcPr>
            <w:tcW w:w="13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Accelerated Vesting</w:t>
            </w:r>
          </w:p>
        </w:tc>
        <w:tc>
          <w:tcPr>
            <w:tcW w:w="106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Medical Benefits</w:t>
            </w:r>
          </w:p>
        </w:tc>
        <w:tc>
          <w:tcPr>
            <w:tcW w:w="12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Accelerated Vesting</w:t>
            </w:r>
          </w:p>
        </w:tc>
        <w:tc>
          <w:tcPr>
            <w:tcW w:w="360" w:type="dxa"/>
            <w:vAlign w:val="bottom"/>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jc w:val="right"/>
              <w:ind w:right="308"/>
              <w:spacing w:after="0" w:line="135" w:lineRule="exact"/>
              <w:rPr>
                <w:sz w:val="20"/>
                <w:szCs w:val="20"/>
                <w:color w:val="auto"/>
              </w:rPr>
            </w:pPr>
            <w:r>
              <w:rPr>
                <w:rFonts w:ascii="Arial" w:cs="Arial" w:eastAsia="Arial" w:hAnsi="Arial"/>
                <w:sz w:val="14"/>
                <w:szCs w:val="14"/>
                <w:b w:val="1"/>
                <w:bCs w:val="1"/>
                <w:color w:val="auto"/>
              </w:rPr>
              <w:t>($)(1)</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06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right"/>
              <w:ind w:right="468"/>
              <w:spacing w:after="0" w:line="135" w:lineRule="exact"/>
              <w:rPr>
                <w:sz w:val="20"/>
                <w:szCs w:val="20"/>
                <w:color w:val="auto"/>
              </w:rPr>
            </w:pPr>
            <w:r>
              <w:rPr>
                <w:rFonts w:ascii="Arial" w:cs="Arial" w:eastAsia="Arial" w:hAnsi="Arial"/>
                <w:sz w:val="14"/>
                <w:szCs w:val="14"/>
                <w:b w:val="1"/>
                <w:bCs w:val="1"/>
                <w:color w:val="auto"/>
              </w:rPr>
              <w:t>(1)</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($)(2)</w:t>
            </w:r>
          </w:p>
        </w:tc>
        <w:tc>
          <w:tcPr>
            <w:tcW w:w="36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vMerge w:val="continue"/>
          </w:tcPr>
          <w:p>
            <w:pPr>
              <w:spacing w:after="0"/>
              <w:rPr>
                <w:sz w:val="5"/>
                <w:szCs w:val="5"/>
                <w:color w:val="auto"/>
              </w:rPr>
            </w:pPr>
          </w:p>
        </w:tc>
        <w:tc>
          <w:tcPr>
            <w:tcW w:w="1300" w:type="dxa"/>
            <w:vAlign w:val="bottom"/>
            <w:tcBorders>
              <w:bottom w:val="single" w:sz="8" w:color="auto"/>
              <w:right w:val="single" w:sz="8" w:color="auto"/>
            </w:tcBorders>
            <w:vMerge w:val="continue"/>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vMerge w:val="continue"/>
          </w:tcPr>
          <w:p>
            <w:pPr>
              <w:spacing w:after="0"/>
              <w:rPr>
                <w:sz w:val="5"/>
                <w:szCs w:val="5"/>
                <w:color w:val="auto"/>
              </w:rPr>
            </w:pPr>
          </w:p>
        </w:tc>
        <w:tc>
          <w:tcPr>
            <w:tcW w:w="12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180" w:type="dxa"/>
            <w:vAlign w:val="bottom"/>
          </w:tcPr>
          <w:p>
            <w:pPr>
              <w:ind w:left="20"/>
              <w:spacing w:after="0"/>
              <w:rPr>
                <w:sz w:val="20"/>
                <w:szCs w:val="20"/>
                <w:color w:val="auto"/>
              </w:rPr>
            </w:pPr>
            <w:r>
              <w:rPr>
                <w:rFonts w:ascii="Arial" w:cs="Arial" w:eastAsia="Arial" w:hAnsi="Arial"/>
                <w:sz w:val="14"/>
                <w:szCs w:val="14"/>
                <w:color w:val="auto"/>
              </w:rPr>
              <w:t>Marc Stapley</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1,250,000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36,503</w:t>
            </w: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1,286,503</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2,500,000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73,007</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3,262,021</w:t>
            </w:r>
          </w:p>
        </w:tc>
        <w:tc>
          <w:tcPr>
            <w:tcW w:w="3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5,835,028</w:t>
            </w:r>
          </w:p>
        </w:tc>
        <w:tc>
          <w:tcPr>
            <w:tcW w:w="0" w:type="dxa"/>
            <w:vAlign w:val="bottom"/>
          </w:tcPr>
          <w:p>
            <w:pPr>
              <w:spacing w:after="0"/>
              <w:rPr>
                <w:sz w:val="1"/>
                <w:szCs w:val="1"/>
                <w:color w:val="auto"/>
              </w:rPr>
            </w:pPr>
          </w:p>
        </w:tc>
      </w:tr>
      <w:tr>
        <w:trPr>
          <w:trHeight w:val="359"/>
        </w:trPr>
        <w:tc>
          <w:tcPr>
            <w:tcW w:w="1180" w:type="dxa"/>
            <w:vAlign w:val="bottom"/>
          </w:tcPr>
          <w:p>
            <w:pPr>
              <w:ind w:left="20"/>
              <w:spacing w:after="0"/>
              <w:rPr>
                <w:sz w:val="20"/>
                <w:szCs w:val="20"/>
                <w:color w:val="auto"/>
              </w:rPr>
            </w:pPr>
            <w:r>
              <w:rPr>
                <w:rFonts w:ascii="Arial" w:cs="Arial" w:eastAsia="Arial" w:hAnsi="Arial"/>
                <w:sz w:val="14"/>
                <w:szCs w:val="14"/>
                <w:color w:val="auto"/>
                <w:w w:val="90"/>
              </w:rPr>
              <w:t>Rebecca Chambers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231,750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18,252</w:t>
            </w: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250,002</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1,077,638</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54,755</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2,123,147</w:t>
            </w:r>
          </w:p>
        </w:tc>
        <w:tc>
          <w:tcPr>
            <w:tcW w:w="3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3,255,540</w:t>
            </w:r>
          </w:p>
        </w:tc>
        <w:tc>
          <w:tcPr>
            <w:tcW w:w="0" w:type="dxa"/>
            <w:vAlign w:val="bottom"/>
          </w:tcPr>
          <w:p>
            <w:pPr>
              <w:spacing w:after="0"/>
              <w:rPr>
                <w:sz w:val="1"/>
                <w:szCs w:val="1"/>
                <w:color w:val="auto"/>
              </w:rPr>
            </w:pPr>
          </w:p>
        </w:tc>
      </w:tr>
      <w:tr>
        <w:trPr>
          <w:trHeight w:val="331"/>
        </w:trPr>
        <w:tc>
          <w:tcPr>
            <w:tcW w:w="1180" w:type="dxa"/>
            <w:vAlign w:val="bottom"/>
          </w:tcPr>
          <w:p>
            <w:pPr>
              <w:ind w:left="20"/>
              <w:spacing w:after="0"/>
              <w:rPr>
                <w:sz w:val="20"/>
                <w:szCs w:val="20"/>
                <w:color w:val="auto"/>
              </w:rPr>
            </w:pPr>
            <w:r>
              <w:rPr>
                <w:rFonts w:ascii="Arial" w:cs="Arial" w:eastAsia="Arial" w:hAnsi="Arial"/>
                <w:sz w:val="14"/>
                <w:szCs w:val="14"/>
                <w:color w:val="auto"/>
              </w:rPr>
              <w:t>Giulia C.</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625,000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42,998</w:t>
            </w: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667,998</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180" w:type="dxa"/>
            <w:vAlign w:val="bottom"/>
          </w:tcPr>
          <w:p>
            <w:pPr>
              <w:ind w:left="20"/>
              <w:spacing w:after="0"/>
              <w:rPr>
                <w:sz w:val="20"/>
                <w:szCs w:val="20"/>
                <w:color w:val="auto"/>
              </w:rPr>
            </w:pPr>
            <w:r>
              <w:rPr>
                <w:rFonts w:ascii="Arial" w:cs="Arial" w:eastAsia="Arial" w:hAnsi="Arial"/>
                <w:sz w:val="14"/>
                <w:szCs w:val="14"/>
                <w:color w:val="auto"/>
              </w:rPr>
              <w:t>Kennedy(3)</w:t>
            </w: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1180" w:type="dxa"/>
            <w:vAlign w:val="bottom"/>
          </w:tcPr>
          <w:p>
            <w:pPr>
              <w:ind w:left="20"/>
              <w:spacing w:after="0"/>
              <w:rPr>
                <w:sz w:val="20"/>
                <w:szCs w:val="20"/>
                <w:color w:val="auto"/>
              </w:rPr>
            </w:pPr>
            <w:r>
              <w:rPr>
                <w:rFonts w:ascii="Arial" w:cs="Arial" w:eastAsia="Arial" w:hAnsi="Arial"/>
                <w:sz w:val="14"/>
                <w:szCs w:val="14"/>
                <w:color w:val="auto"/>
              </w:rPr>
              <w:t>Annie McGuire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200,000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18,252</w:t>
            </w: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218,252</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560,000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36,503</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796,308</w:t>
            </w:r>
          </w:p>
        </w:tc>
        <w:tc>
          <w:tcPr>
            <w:tcW w:w="3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1,392,811</w:t>
            </w:r>
          </w:p>
        </w:tc>
        <w:tc>
          <w:tcPr>
            <w:tcW w:w="0" w:type="dxa"/>
            <w:vAlign w:val="bottom"/>
          </w:tcPr>
          <w:p>
            <w:pPr>
              <w:spacing w:after="0"/>
              <w:rPr>
                <w:sz w:val="1"/>
                <w:szCs w:val="1"/>
                <w:color w:val="auto"/>
              </w:rPr>
            </w:pPr>
          </w:p>
        </w:tc>
      </w:tr>
      <w:tr>
        <w:trPr>
          <w:trHeight w:val="364"/>
        </w:trPr>
        <w:tc>
          <w:tcPr>
            <w:tcW w:w="1180" w:type="dxa"/>
            <w:vAlign w:val="bottom"/>
          </w:tcPr>
          <w:p>
            <w:pPr>
              <w:ind w:left="20"/>
              <w:spacing w:after="0"/>
              <w:rPr>
                <w:sz w:val="20"/>
                <w:szCs w:val="20"/>
                <w:color w:val="auto"/>
              </w:rPr>
            </w:pPr>
            <w:r>
              <w:rPr>
                <w:rFonts w:ascii="Arial" w:cs="Arial" w:eastAsia="Arial" w:hAnsi="Arial"/>
                <w:sz w:val="14"/>
                <w:szCs w:val="14"/>
                <w:color w:val="auto"/>
              </w:rPr>
              <w:t>Tina Nova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250,000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5,901</w:t>
            </w: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255,901</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1,312,500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17,702</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2,012,755</w:t>
            </w:r>
          </w:p>
        </w:tc>
        <w:tc>
          <w:tcPr>
            <w:tcW w:w="3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3,342,957</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640" w:right="40" w:hanging="211"/>
        <w:spacing w:after="0" w:line="251" w:lineRule="auto"/>
        <w:tabs>
          <w:tab w:leader="none" w:pos="1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cash severance amount related to base salary was determined based on the base salaries in effect on December 31, 2022. The cash severance amount related to annual case bonus assumed that the bonus was achieved at target.</w:t>
      </w:r>
    </w:p>
    <w:p>
      <w:pPr>
        <w:jc w:val="both"/>
        <w:ind w:left="1640" w:right="40" w:hanging="211"/>
        <w:spacing w:after="0" w:line="231" w:lineRule="auto"/>
        <w:tabs>
          <w:tab w:leader="none" w:pos="1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value of accelerated vesting is calculated based on the per share closing price of our common stock on The Nasdaq Stock Market as of December 30, 2022, the final trading day of the year ($23.73) less, if applicable, the exercise price of each outstanding stock option. In addition, the value of the accelerated vesting of any outstanding PSUs is based upon “at target” achievement.</w:t>
      </w:r>
    </w:p>
    <w:p>
      <w:pPr>
        <w:spacing w:after="0" w:line="21" w:lineRule="exact"/>
        <w:rPr>
          <w:rFonts w:ascii="Arial" w:cs="Arial" w:eastAsia="Arial" w:hAnsi="Arial"/>
          <w:sz w:val="14"/>
          <w:szCs w:val="14"/>
          <w:color w:val="auto"/>
        </w:rPr>
      </w:pPr>
    </w:p>
    <w:p>
      <w:pPr>
        <w:ind w:left="1640" w:hanging="211"/>
        <w:spacing w:after="0"/>
        <w:tabs>
          <w:tab w:leader="none" w:pos="1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Kennedy departed from the company effective December 31, 2022.</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w:t>
      </w:r>
    </w:p>
    <w:p>
      <w:pPr>
        <w:spacing w:after="0" w:line="3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11" w:right="279" w:bottom="1440" w:gutter="0" w:footer="0" w:header="0"/>
        </w:sectPr>
      </w:pPr>
    </w:p>
    <w:bookmarkStart w:id="59" w:name="page60"/>
    <w:bookmarkEnd w:id="59"/>
    <w:p>
      <w:pPr>
        <w:ind w:right="20"/>
        <w:spacing w:after="0" w:line="277" w:lineRule="auto"/>
        <w:rPr>
          <w:sz w:val="20"/>
          <w:szCs w:val="20"/>
          <w:color w:val="auto"/>
        </w:rPr>
      </w:pPr>
      <w:r>
        <w:rPr>
          <w:rFonts w:ascii="Arial" w:cs="Arial" w:eastAsia="Arial" w:hAnsi="Arial"/>
          <w:sz w:val="18"/>
          <w:szCs w:val="18"/>
          <w:color w:val="auto"/>
        </w:rPr>
        <w:t>principal executive officers (“PEOs”) and Non-PEO NEOs and Company performance for the fiscal years listed below. The Compensation Committee did not consider the pay versus performance disclosure below in making its pay decisions for any of the years shown.</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332"/>
        </w:trPr>
        <w:tc>
          <w:tcPr>
            <w:tcW w:w="500" w:type="dxa"/>
            <w:vAlign w:val="bottom"/>
            <w:tcBorders>
              <w:top w:val="single" w:sz="8" w:color="auto"/>
              <w:left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Summary</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Summary</w:t>
            </w:r>
          </w:p>
        </w:tc>
        <w:tc>
          <w:tcPr>
            <w:tcW w:w="114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Compensation</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Average Summary</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Average</w:t>
            </w:r>
          </w:p>
        </w:tc>
        <w:tc>
          <w:tcPr>
            <w:tcW w:w="202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6"/>
              </w:rPr>
              <w:t>Value of Initial Fixed $100</w:t>
            </w:r>
          </w:p>
        </w:tc>
        <w:tc>
          <w:tcPr>
            <w:tcW w:w="98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500" w:type="dxa"/>
            <w:vAlign w:val="bottom"/>
            <w:tcBorders>
              <w:left w:val="single" w:sz="8" w:color="auto"/>
              <w:right w:val="single" w:sz="8" w:color="auto"/>
            </w:tcBorders>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Compensation</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Compensation</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Compensation</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Actually Paid to</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Compensation</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Compensation</w:t>
            </w:r>
          </w:p>
        </w:tc>
        <w:tc>
          <w:tcPr>
            <w:tcW w:w="2020" w:type="dxa"/>
            <w:vAlign w:val="bottom"/>
            <w:tcBorders>
              <w:right w:val="single" w:sz="8" w:color="auto"/>
            </w:tcBorders>
            <w:gridSpan w:val="2"/>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50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1"/>
              </w:rPr>
              <w:t>Investment based on:</w:t>
            </w:r>
            <w:r>
              <w:rPr>
                <w:rFonts w:ascii="Arial" w:cs="Arial" w:eastAsia="Arial" w:hAnsi="Arial"/>
                <w:sz w:val="18"/>
                <w:szCs w:val="18"/>
                <w:color w:val="auto"/>
                <w:w w:val="91"/>
                <w:vertAlign w:val="superscript"/>
              </w:rPr>
              <w:t>4</w:t>
            </w:r>
          </w:p>
        </w:tc>
        <w:tc>
          <w:tcPr>
            <w:tcW w:w="98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5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5"/>
              </w:rPr>
              <w:t>Table Total for</w:t>
            </w:r>
          </w:p>
        </w:tc>
        <w:tc>
          <w:tcPr>
            <w:tcW w:w="11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5"/>
              </w:rPr>
              <w:t>Table Total for</w:t>
            </w:r>
          </w:p>
        </w:tc>
        <w:tc>
          <w:tcPr>
            <w:tcW w:w="11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7"/>
              </w:rPr>
              <w:t>Actually Paid to</w:t>
            </w:r>
          </w:p>
        </w:tc>
        <w:tc>
          <w:tcPr>
            <w:tcW w:w="11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6"/>
              </w:rPr>
              <w:t>Bonnie</w:t>
            </w:r>
          </w:p>
        </w:tc>
        <w:tc>
          <w:tcPr>
            <w:tcW w:w="11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3"/>
              </w:rPr>
              <w:t>Table Total for</w:t>
            </w:r>
          </w:p>
        </w:tc>
        <w:tc>
          <w:tcPr>
            <w:tcW w:w="11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7"/>
              </w:rPr>
              <w:t>Actually Paid to</w:t>
            </w:r>
          </w:p>
        </w:tc>
        <w:tc>
          <w:tcPr>
            <w:tcW w:w="2020" w:type="dxa"/>
            <w:vAlign w:val="bottom"/>
            <w:tcBorders>
              <w:bottom w:val="single" w:sz="8" w:color="auto"/>
              <w:right w:val="single" w:sz="8" w:color="auto"/>
            </w:tcBorders>
            <w:gridSpan w:val="2"/>
            <w:vMerge w:val="continue"/>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2"/>
              </w:rPr>
              <w:t>Total Revenue</w:t>
            </w:r>
          </w:p>
        </w:tc>
        <w:tc>
          <w:tcPr>
            <w:tcW w:w="0" w:type="dxa"/>
            <w:vAlign w:val="bottom"/>
          </w:tcPr>
          <w:p>
            <w:pPr>
              <w:spacing w:after="0"/>
              <w:rPr>
                <w:sz w:val="1"/>
                <w:szCs w:val="1"/>
                <w:color w:val="auto"/>
              </w:rPr>
            </w:pPr>
          </w:p>
        </w:tc>
      </w:tr>
      <w:tr>
        <w:trPr>
          <w:trHeight w:val="128"/>
        </w:trPr>
        <w:tc>
          <w:tcPr>
            <w:tcW w:w="50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4"/>
              </w:rPr>
              <w:t>Marc Stapley¹</w:t>
            </w:r>
          </w:p>
        </w:tc>
        <w:tc>
          <w:tcPr>
            <w:tcW w:w="11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4"/>
              </w:rPr>
              <w:t>Bonnie Anderson¹</w:t>
            </w:r>
          </w:p>
        </w:tc>
        <w:tc>
          <w:tcPr>
            <w:tcW w:w="11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1"/>
                <w:szCs w:val="11"/>
                <w:color w:val="auto"/>
              </w:rPr>
              <w:t>Marc Stapley</w:t>
            </w:r>
            <w:r>
              <w:rPr>
                <w:rFonts w:ascii="Arial" w:cs="Arial" w:eastAsia="Arial" w:hAnsi="Arial"/>
                <w:sz w:val="14"/>
                <w:szCs w:val="14"/>
                <w:color w:val="auto"/>
                <w:vertAlign w:val="superscript"/>
              </w:rPr>
              <w:t>1,2,3</w:t>
            </w:r>
          </w:p>
        </w:tc>
        <w:tc>
          <w:tcPr>
            <w:tcW w:w="11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1"/>
                <w:szCs w:val="11"/>
                <w:color w:val="auto"/>
              </w:rPr>
              <w:t>Anderson</w:t>
            </w:r>
            <w:r>
              <w:rPr>
                <w:rFonts w:ascii="Arial" w:cs="Arial" w:eastAsia="Arial" w:hAnsi="Arial"/>
                <w:sz w:val="14"/>
                <w:szCs w:val="14"/>
                <w:color w:val="auto"/>
                <w:vertAlign w:val="superscript"/>
              </w:rPr>
              <w:t>1,2,3</w:t>
            </w:r>
          </w:p>
        </w:tc>
        <w:tc>
          <w:tcPr>
            <w:tcW w:w="11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1"/>
                <w:szCs w:val="11"/>
                <w:color w:val="auto"/>
              </w:rPr>
              <w:t>Non-PEO NEOs</w:t>
            </w:r>
            <w:r>
              <w:rPr>
                <w:rFonts w:ascii="Arial" w:cs="Arial" w:eastAsia="Arial" w:hAnsi="Arial"/>
                <w:sz w:val="14"/>
                <w:szCs w:val="14"/>
                <w:color w:val="auto"/>
                <w:vertAlign w:val="superscript"/>
              </w:rPr>
              <w:t>1</w:t>
            </w:r>
          </w:p>
        </w:tc>
        <w:tc>
          <w:tcPr>
            <w:tcW w:w="11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Non-PEO</w:t>
            </w:r>
          </w:p>
        </w:tc>
        <w:tc>
          <w:tcPr>
            <w:tcW w:w="10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2"/>
              </w:rPr>
              <w:t>Peer Group TSR</w:t>
            </w:r>
          </w:p>
        </w:tc>
        <w:tc>
          <w:tcPr>
            <w:tcW w:w="9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5"/>
              </w:rPr>
              <w:t>Net Income ($</w:t>
            </w:r>
          </w:p>
        </w:tc>
        <w:tc>
          <w:tcPr>
            <w:tcW w:w="9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 millions)</w:t>
            </w:r>
          </w:p>
        </w:tc>
        <w:tc>
          <w:tcPr>
            <w:tcW w:w="0" w:type="dxa"/>
            <w:vAlign w:val="bottom"/>
          </w:tcPr>
          <w:p>
            <w:pPr>
              <w:spacing w:after="0"/>
              <w:rPr>
                <w:sz w:val="1"/>
                <w:szCs w:val="1"/>
                <w:color w:val="auto"/>
              </w:rPr>
            </w:pPr>
          </w:p>
        </w:tc>
      </w:tr>
      <w:tr>
        <w:trPr>
          <w:trHeight w:val="229"/>
        </w:trPr>
        <w:tc>
          <w:tcPr>
            <w:tcW w:w="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Year</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NEOs</w:t>
            </w:r>
            <w:r>
              <w:rPr>
                <w:rFonts w:ascii="Arial" w:cs="Arial" w:eastAsia="Arial" w:hAnsi="Arial"/>
                <w:sz w:val="18"/>
                <w:szCs w:val="18"/>
                <w:color w:val="auto"/>
                <w:w w:val="86"/>
                <w:vertAlign w:val="superscript"/>
              </w:rPr>
              <w:t>1,2,3</w:t>
            </w:r>
            <w:r>
              <w:rPr>
                <w:rFonts w:ascii="Arial" w:cs="Arial" w:eastAsia="Arial" w:hAnsi="Arial"/>
                <w:sz w:val="14"/>
                <w:szCs w:val="14"/>
                <w:color w:val="auto"/>
                <w:w w:val="86"/>
              </w:rPr>
              <w:t xml:space="preserve"> ($)</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TSR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millions)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⁵</w:t>
            </w:r>
          </w:p>
        </w:tc>
        <w:tc>
          <w:tcPr>
            <w:tcW w:w="0" w:type="dxa"/>
            <w:vAlign w:val="bottom"/>
          </w:tcPr>
          <w:p>
            <w:pPr>
              <w:spacing w:after="0"/>
              <w:rPr>
                <w:sz w:val="1"/>
                <w:szCs w:val="1"/>
                <w:color w:val="auto"/>
              </w:rPr>
            </w:pPr>
          </w:p>
        </w:tc>
      </w:tr>
      <w:tr>
        <w:trPr>
          <w:trHeight w:val="184"/>
        </w:trPr>
        <w:tc>
          <w:tcPr>
            <w:tcW w:w="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(b)</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(b)</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(c)</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(c)</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(g)</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(h)</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(i)</w:t>
            </w:r>
          </w:p>
        </w:tc>
        <w:tc>
          <w:tcPr>
            <w:tcW w:w="0" w:type="dxa"/>
            <w:vAlign w:val="bottom"/>
          </w:tcPr>
          <w:p>
            <w:pPr>
              <w:spacing w:after="0"/>
              <w:rPr>
                <w:sz w:val="1"/>
                <w:szCs w:val="1"/>
                <w:color w:val="auto"/>
              </w:rPr>
            </w:pPr>
          </w:p>
        </w:tc>
      </w:tr>
      <w:tr>
        <w:trPr>
          <w:trHeight w:val="26"/>
        </w:trPr>
        <w:tc>
          <w:tcPr>
            <w:tcW w:w="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2022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4,935,422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1,622,674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3,725,476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1,450,011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84.99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113.65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(36.6)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296.5</w:t>
            </w:r>
          </w:p>
        </w:tc>
        <w:tc>
          <w:tcPr>
            <w:tcW w:w="0" w:type="dxa"/>
            <w:vAlign w:val="bottom"/>
          </w:tcPr>
          <w:p>
            <w:pPr>
              <w:spacing w:after="0"/>
              <w:rPr>
                <w:sz w:val="1"/>
                <w:szCs w:val="1"/>
                <w:color w:val="auto"/>
              </w:rPr>
            </w:pPr>
          </w:p>
        </w:tc>
      </w:tr>
      <w:tr>
        <w:trPr>
          <w:trHeight w:val="26"/>
        </w:trPr>
        <w:tc>
          <w:tcPr>
            <w:tcW w:w="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5,741,940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4,518,093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5,700,065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2,876,781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2,235,504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(434,017)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147.56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126.45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(75.6)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219.5</w:t>
            </w:r>
          </w:p>
        </w:tc>
        <w:tc>
          <w:tcPr>
            <w:tcW w:w="0" w:type="dxa"/>
            <w:vAlign w:val="bottom"/>
          </w:tcPr>
          <w:p>
            <w:pPr>
              <w:spacing w:after="0"/>
              <w:rPr>
                <w:sz w:val="1"/>
                <w:szCs w:val="1"/>
                <w:color w:val="auto"/>
              </w:rPr>
            </w:pPr>
          </w:p>
        </w:tc>
      </w:tr>
      <w:tr>
        <w:trPr>
          <w:trHeight w:val="26"/>
        </w:trPr>
        <w:tc>
          <w:tcPr>
            <w:tcW w:w="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4,571,345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15,466,734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2,200,189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5,837,075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175.29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126.42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(34.9)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117.5</w:t>
            </w:r>
          </w:p>
        </w:tc>
        <w:tc>
          <w:tcPr>
            <w:tcW w:w="0" w:type="dxa"/>
            <w:vAlign w:val="bottom"/>
          </w:tcPr>
          <w:p>
            <w:pPr>
              <w:spacing w:after="0"/>
              <w:rPr>
                <w:sz w:val="1"/>
                <w:szCs w:val="1"/>
                <w:color w:val="auto"/>
              </w:rPr>
            </w:pPr>
          </w:p>
        </w:tc>
      </w:tr>
      <w:tr>
        <w:trPr>
          <w:trHeight w:val="26"/>
        </w:trPr>
        <w:tc>
          <w:tcPr>
            <w:tcW w:w="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60" w:right="40" w:hanging="252"/>
        <w:spacing w:after="0" w:line="277" w:lineRule="auto"/>
        <w:tabs>
          <w:tab w:leader="none" w:pos="399"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Bonnie Anderson was our PEO until June 2021. Marc Stapley was our PEO from June 2021 to present. The individuals comprising the Non-PEO NEOs for each year presented are listed below.</w:t>
      </w:r>
    </w:p>
    <w:p>
      <w:pPr>
        <w:spacing w:after="0" w:line="84" w:lineRule="exact"/>
        <w:rPr>
          <w:sz w:val="20"/>
          <w:szCs w:val="20"/>
          <w:color w:val="auto"/>
        </w:rPr>
      </w:pPr>
    </w:p>
    <w:tbl>
      <w:tblPr>
        <w:tblLayout w:type="fixed"/>
        <w:tblInd w:w="670" w:type="dxa"/>
        <w:tblCellMar>
          <w:top w:w="0" w:type="dxa"/>
          <w:left w:w="0" w:type="dxa"/>
          <w:bottom w:w="0" w:type="dxa"/>
          <w:right w:w="0" w:type="dxa"/>
        </w:tblCellMar>
      </w:tblPr>
      <w:tr>
        <w:trPr>
          <w:trHeight w:val="244"/>
        </w:trPr>
        <w:tc>
          <w:tcPr>
            <w:tcW w:w="33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3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3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r>
      <w:tr>
        <w:trPr>
          <w:trHeight w:val="26"/>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r>
      <w:tr>
        <w:trPr>
          <w:trHeight w:val="224"/>
        </w:trPr>
        <w:tc>
          <w:tcPr>
            <w:tcW w:w="3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Keith Kennedy</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Keith Kennedy</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Giulia Kennedy</w:t>
            </w:r>
          </w:p>
        </w:tc>
      </w:tr>
      <w:tr>
        <w:trPr>
          <w:trHeight w:val="256"/>
        </w:trPr>
        <w:tc>
          <w:tcPr>
            <w:tcW w:w="3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Giulia Kennedy</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Giulia Kennedy</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Rebecca Chambers</w:t>
            </w:r>
          </w:p>
        </w:tc>
      </w:tr>
      <w:tr>
        <w:trPr>
          <w:trHeight w:val="257"/>
        </w:trPr>
        <w:tc>
          <w:tcPr>
            <w:tcW w:w="3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John Hanna</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James Erlinger III</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Tina Nova</w:t>
            </w:r>
          </w:p>
        </w:tc>
      </w:tr>
      <w:tr>
        <w:trPr>
          <w:trHeight w:val="257"/>
        </w:trPr>
        <w:tc>
          <w:tcPr>
            <w:tcW w:w="3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James Erlinger III</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Beverly Jane Alley</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Annie McGuire</w:t>
            </w:r>
          </w:p>
        </w:tc>
      </w:tr>
      <w:tr>
        <w:trPr>
          <w:trHeight w:val="257"/>
        </w:trPr>
        <w:tc>
          <w:tcPr>
            <w:tcW w:w="3320" w:type="dxa"/>
            <w:vAlign w:val="bottom"/>
            <w:tcBorders>
              <w:left w:val="single" w:sz="8" w:color="auto"/>
              <w:right w:val="single" w:sz="8" w:color="auto"/>
            </w:tcBorders>
          </w:tcPr>
          <w:p>
            <w:pPr>
              <w:spacing w:after="0"/>
              <w:rPr>
                <w:sz w:val="22"/>
                <w:szCs w:val="22"/>
                <w:color w:val="auto"/>
              </w:rPr>
            </w:pP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Rebecca Chambers</w:t>
            </w:r>
          </w:p>
        </w:tc>
        <w:tc>
          <w:tcPr>
            <w:tcW w:w="3320" w:type="dxa"/>
            <w:vAlign w:val="bottom"/>
            <w:tcBorders>
              <w:right w:val="single" w:sz="8" w:color="auto"/>
            </w:tcBorders>
          </w:tcPr>
          <w:p>
            <w:pPr>
              <w:spacing w:after="0"/>
              <w:rPr>
                <w:sz w:val="22"/>
                <w:szCs w:val="22"/>
                <w:color w:val="auto"/>
              </w:rPr>
            </w:pPr>
          </w:p>
        </w:tc>
      </w:tr>
      <w:tr>
        <w:trPr>
          <w:trHeight w:val="27"/>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260" w:right="20" w:hanging="252"/>
        <w:spacing w:after="0" w:line="263" w:lineRule="auto"/>
        <w:tabs>
          <w:tab w:leader="none" w:pos="4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75" w:lineRule="exact"/>
        <w:rPr>
          <w:rFonts w:ascii="Arial" w:cs="Arial" w:eastAsia="Arial" w:hAnsi="Arial"/>
          <w:sz w:val="18"/>
          <w:szCs w:val="18"/>
          <w:color w:val="auto"/>
        </w:rPr>
      </w:pPr>
    </w:p>
    <w:p>
      <w:pPr>
        <w:jc w:val="both"/>
        <w:ind w:left="260" w:right="40" w:hanging="252"/>
        <w:spacing w:after="0" w:line="263" w:lineRule="auto"/>
        <w:tabs>
          <w:tab w:leader="none" w:pos="3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Compensation Actually Paid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240" w:type="dxa"/>
            <w:vAlign w:val="bottom"/>
            <w:tcBorders>
              <w:top w:val="single" w:sz="8" w:color="auto"/>
              <w:left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Summary Compensation</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Exclusion of Stock Awards</w:t>
            </w:r>
          </w:p>
        </w:tc>
        <w:tc>
          <w:tcPr>
            <w:tcW w:w="224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2240" w:type="dxa"/>
            <w:vAlign w:val="bottom"/>
            <w:tcBorders>
              <w:left w:val="single" w:sz="8" w:color="auto"/>
              <w:right w:val="single" w:sz="8" w:color="auto"/>
            </w:tcBorders>
          </w:tcPr>
          <w:p>
            <w:pPr>
              <w:spacing w:after="0"/>
              <w:rPr>
                <w:sz w:val="17"/>
                <w:szCs w:val="17"/>
                <w:color w:val="auto"/>
              </w:rPr>
            </w:pPr>
          </w:p>
        </w:tc>
        <w:tc>
          <w:tcPr>
            <w:tcW w:w="2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Table Total for Marc Stapley</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and Option Awards for Marc</w:t>
            </w:r>
          </w:p>
        </w:tc>
        <w:tc>
          <w:tcPr>
            <w:tcW w:w="2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3"/>
              </w:rPr>
              <w:t>Inclusion of Equity Values for</w:t>
            </w:r>
          </w:p>
        </w:tc>
        <w:tc>
          <w:tcPr>
            <w:tcW w:w="2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Compensation Actually Paid</w:t>
            </w:r>
          </w:p>
        </w:tc>
        <w:tc>
          <w:tcPr>
            <w:tcW w:w="40" w:type="dxa"/>
            <w:vAlign w:val="bottom"/>
          </w:tcPr>
          <w:p>
            <w:pPr>
              <w:spacing w:after="0"/>
              <w:rPr>
                <w:sz w:val="17"/>
                <w:szCs w:val="17"/>
                <w:color w:val="auto"/>
              </w:rPr>
            </w:pPr>
          </w:p>
        </w:tc>
      </w:tr>
      <w:tr>
        <w:trPr>
          <w:trHeight w:val="230"/>
        </w:trPr>
        <w:tc>
          <w:tcPr>
            <w:tcW w:w="2240" w:type="dxa"/>
            <w:vAlign w:val="bottom"/>
            <w:tcBorders>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Year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Stapley ($)</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Marc Stapley ($)</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 Marc Stapley ($)</w:t>
            </w:r>
          </w:p>
        </w:tc>
        <w:tc>
          <w:tcPr>
            <w:tcW w:w="40" w:type="dxa"/>
            <w:vAlign w:val="bottom"/>
          </w:tcPr>
          <w:p>
            <w:pPr>
              <w:spacing w:after="0"/>
              <w:rPr>
                <w:sz w:val="20"/>
                <w:szCs w:val="20"/>
                <w:color w:val="auto"/>
              </w:rPr>
            </w:pP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4"/>
        </w:trPr>
        <w:tc>
          <w:tcPr>
            <w:tcW w:w="2240" w:type="dxa"/>
            <w:vAlign w:val="bottom"/>
            <w:tcBorders>
              <w:left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2022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4,935,422</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(3,682,422)</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369,674</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1,622,674</w:t>
            </w:r>
          </w:p>
        </w:tc>
        <w:tc>
          <w:tcPr>
            <w:tcW w:w="40" w:type="dxa"/>
            <w:vAlign w:val="bottom"/>
          </w:tcPr>
          <w:p>
            <w:pPr>
              <w:spacing w:after="0"/>
              <w:rPr>
                <w:sz w:val="19"/>
                <w:szCs w:val="19"/>
                <w:color w:val="auto"/>
              </w:rPr>
            </w:pPr>
          </w:p>
        </w:tc>
      </w:tr>
      <w:tr>
        <w:trPr>
          <w:trHeight w:val="26"/>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4"/>
        </w:trPr>
        <w:tc>
          <w:tcPr>
            <w:tcW w:w="2240" w:type="dxa"/>
            <w:vAlign w:val="bottom"/>
            <w:tcBorders>
              <w:left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2021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5,741,940</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(5,091,440)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5,049,565</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5,700,065</w:t>
            </w:r>
          </w:p>
        </w:tc>
        <w:tc>
          <w:tcPr>
            <w:tcW w:w="40" w:type="dxa"/>
            <w:vAlign w:val="bottom"/>
          </w:tcPr>
          <w:p>
            <w:pPr>
              <w:spacing w:after="0"/>
              <w:rPr>
                <w:sz w:val="19"/>
                <w:szCs w:val="19"/>
                <w:color w:val="auto"/>
              </w:rPr>
            </w:pPr>
          </w:p>
        </w:tc>
      </w:tr>
      <w:tr>
        <w:trPr>
          <w:trHeight w:val="26"/>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95"/>
        </w:trPr>
        <w:tc>
          <w:tcPr>
            <w:tcW w:w="2240" w:type="dxa"/>
            <w:vAlign w:val="bottom"/>
            <w:tcBorders>
              <w:left w:val="single" w:sz="8" w:color="auto"/>
              <w:right w:val="single" w:sz="8" w:color="auto"/>
            </w:tcBorders>
          </w:tcPr>
          <w:p>
            <w:pPr>
              <w:spacing w:after="0"/>
              <w:rPr>
                <w:sz w:val="16"/>
                <w:szCs w:val="16"/>
                <w:color w:val="auto"/>
              </w:rPr>
            </w:pPr>
          </w:p>
        </w:tc>
        <w:tc>
          <w:tcPr>
            <w:tcW w:w="2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Summary Compensation</w:t>
            </w:r>
          </w:p>
        </w:tc>
        <w:tc>
          <w:tcPr>
            <w:tcW w:w="2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Exclusion of Stock Awards</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2240" w:type="dxa"/>
            <w:vAlign w:val="bottom"/>
            <w:tcBorders>
              <w:left w:val="single" w:sz="8" w:color="auto"/>
              <w:right w:val="single" w:sz="8" w:color="auto"/>
            </w:tcBorders>
          </w:tcPr>
          <w:p>
            <w:pPr>
              <w:spacing w:after="0"/>
              <w:rPr>
                <w:sz w:val="17"/>
                <w:szCs w:val="17"/>
                <w:color w:val="auto"/>
              </w:rPr>
            </w:pPr>
          </w:p>
        </w:tc>
        <w:tc>
          <w:tcPr>
            <w:tcW w:w="2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Table Total for Bonnie</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and Option Awards for</w:t>
            </w:r>
          </w:p>
        </w:tc>
        <w:tc>
          <w:tcPr>
            <w:tcW w:w="2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3"/>
              </w:rPr>
              <w:t>Inclusion of Equity Values for</w:t>
            </w:r>
          </w:p>
        </w:tc>
        <w:tc>
          <w:tcPr>
            <w:tcW w:w="2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Compensation Actually Paid</w:t>
            </w:r>
          </w:p>
        </w:tc>
        <w:tc>
          <w:tcPr>
            <w:tcW w:w="40" w:type="dxa"/>
            <w:vAlign w:val="bottom"/>
          </w:tcPr>
          <w:p>
            <w:pPr>
              <w:spacing w:after="0"/>
              <w:rPr>
                <w:sz w:val="17"/>
                <w:szCs w:val="17"/>
                <w:color w:val="auto"/>
              </w:rPr>
            </w:pPr>
          </w:p>
        </w:tc>
      </w:tr>
      <w:tr>
        <w:trPr>
          <w:trHeight w:val="230"/>
        </w:trPr>
        <w:tc>
          <w:tcPr>
            <w:tcW w:w="2240" w:type="dxa"/>
            <w:vAlign w:val="bottom"/>
            <w:tcBorders>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Year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Anderson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Bonnie Anderson ($)</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Bonnie Anderson ($)</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 Bonnie Anderson ($)</w:t>
            </w:r>
          </w:p>
        </w:tc>
        <w:tc>
          <w:tcPr>
            <w:tcW w:w="40" w:type="dxa"/>
            <w:vAlign w:val="bottom"/>
          </w:tcPr>
          <w:p>
            <w:pPr>
              <w:spacing w:after="0"/>
              <w:rPr>
                <w:sz w:val="20"/>
                <w:szCs w:val="20"/>
                <w:color w:val="auto"/>
              </w:rPr>
            </w:pP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4"/>
        </w:trPr>
        <w:tc>
          <w:tcPr>
            <w:tcW w:w="2240" w:type="dxa"/>
            <w:vAlign w:val="bottom"/>
            <w:tcBorders>
              <w:left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2021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4,518,093</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(3,312,593)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1,671,281</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2,876,781</w:t>
            </w:r>
          </w:p>
        </w:tc>
        <w:tc>
          <w:tcPr>
            <w:tcW w:w="40" w:type="dxa"/>
            <w:vAlign w:val="bottom"/>
          </w:tcPr>
          <w:p>
            <w:pPr>
              <w:spacing w:after="0"/>
              <w:rPr>
                <w:sz w:val="19"/>
                <w:szCs w:val="19"/>
                <w:color w:val="auto"/>
              </w:rPr>
            </w:pPr>
          </w:p>
        </w:tc>
      </w:tr>
      <w:tr>
        <w:trPr>
          <w:trHeight w:val="26"/>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4"/>
        </w:trPr>
        <w:tc>
          <w:tcPr>
            <w:tcW w:w="2240" w:type="dxa"/>
            <w:vAlign w:val="bottom"/>
            <w:tcBorders>
              <w:left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2020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4,571,345</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(3,319,345)</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14,214,734</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15,466,734</w:t>
            </w:r>
          </w:p>
        </w:tc>
        <w:tc>
          <w:tcPr>
            <w:tcW w:w="40" w:type="dxa"/>
            <w:vAlign w:val="bottom"/>
          </w:tcPr>
          <w:p>
            <w:pPr>
              <w:spacing w:after="0"/>
              <w:rPr>
                <w:sz w:val="19"/>
                <w:szCs w:val="19"/>
                <w:color w:val="auto"/>
              </w:rPr>
            </w:pPr>
          </w:p>
        </w:tc>
      </w:tr>
      <w:tr>
        <w:trPr>
          <w:trHeight w:val="26"/>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15"/>
        </w:trPr>
        <w:tc>
          <w:tcPr>
            <w:tcW w:w="22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80" w:type="dxa"/>
            <w:vAlign w:val="bottom"/>
            <w:gridSpan w:val="2"/>
          </w:tcPr>
          <w:p>
            <w:pPr>
              <w:spacing w:after="0"/>
              <w:rPr>
                <w:sz w:val="10"/>
                <w:szCs w:val="10"/>
                <w:color w:val="auto"/>
              </w:rPr>
            </w:pPr>
          </w:p>
        </w:tc>
      </w:tr>
      <w:tr>
        <w:trPr>
          <w:trHeight w:val="195"/>
        </w:trPr>
        <w:tc>
          <w:tcPr>
            <w:tcW w:w="2240" w:type="dxa"/>
            <w:vAlign w:val="bottom"/>
            <w:tcBorders>
              <w:top w:val="single" w:sz="8" w:color="auto"/>
              <w:left w:val="single" w:sz="8" w:color="auto"/>
              <w:right w:val="single" w:sz="8" w:color="auto"/>
            </w:tcBorders>
          </w:tcPr>
          <w:p>
            <w:pPr>
              <w:spacing w:after="0"/>
              <w:rPr>
                <w:sz w:val="16"/>
                <w:szCs w:val="16"/>
                <w:color w:val="auto"/>
              </w:rPr>
            </w:pPr>
          </w:p>
        </w:tc>
        <w:tc>
          <w:tcPr>
            <w:tcW w:w="222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Average Summary</w:t>
            </w:r>
          </w:p>
        </w:tc>
        <w:tc>
          <w:tcPr>
            <w:tcW w:w="22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Average Exclusion of Stock</w:t>
            </w:r>
          </w:p>
        </w:tc>
        <w:tc>
          <w:tcPr>
            <w:tcW w:w="224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Average Inclusion of Equity</w:t>
            </w:r>
          </w:p>
        </w:tc>
        <w:tc>
          <w:tcPr>
            <w:tcW w:w="224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Average Compensation</w:t>
            </w:r>
          </w:p>
        </w:tc>
        <w:tc>
          <w:tcPr>
            <w:tcW w:w="40" w:type="dxa"/>
            <w:vAlign w:val="bottom"/>
          </w:tcPr>
          <w:p>
            <w:pPr>
              <w:spacing w:after="0"/>
              <w:rPr>
                <w:sz w:val="16"/>
                <w:szCs w:val="16"/>
                <w:color w:val="auto"/>
              </w:rPr>
            </w:pPr>
          </w:p>
        </w:tc>
      </w:tr>
      <w:tr>
        <w:trPr>
          <w:trHeight w:val="189"/>
        </w:trPr>
        <w:tc>
          <w:tcPr>
            <w:tcW w:w="2240" w:type="dxa"/>
            <w:vAlign w:val="bottom"/>
            <w:tcBorders>
              <w:left w:val="single" w:sz="8" w:color="auto"/>
              <w:right w:val="single" w:sz="8" w:color="auto"/>
            </w:tcBorders>
          </w:tcPr>
          <w:p>
            <w:pPr>
              <w:spacing w:after="0"/>
              <w:rPr>
                <w:sz w:val="16"/>
                <w:szCs w:val="16"/>
                <w:color w:val="auto"/>
              </w:rPr>
            </w:pPr>
          </w:p>
        </w:tc>
        <w:tc>
          <w:tcPr>
            <w:tcW w:w="2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Compensation Table Total for</w:t>
            </w:r>
          </w:p>
        </w:tc>
        <w:tc>
          <w:tcPr>
            <w:tcW w:w="22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Awards and Option Awards</w:t>
            </w:r>
          </w:p>
        </w:tc>
        <w:tc>
          <w:tcPr>
            <w:tcW w:w="22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Values for Non-PEO NEOs</w:t>
            </w:r>
          </w:p>
        </w:tc>
        <w:tc>
          <w:tcPr>
            <w:tcW w:w="22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Actually Paid to Non-PEO</w:t>
            </w:r>
          </w:p>
        </w:tc>
        <w:tc>
          <w:tcPr>
            <w:tcW w:w="40" w:type="dxa"/>
            <w:vAlign w:val="bottom"/>
          </w:tcPr>
          <w:p>
            <w:pPr>
              <w:spacing w:after="0"/>
              <w:rPr>
                <w:sz w:val="16"/>
                <w:szCs w:val="16"/>
                <w:color w:val="auto"/>
              </w:rPr>
            </w:pPr>
          </w:p>
        </w:tc>
      </w:tr>
      <w:tr>
        <w:trPr>
          <w:trHeight w:val="244"/>
        </w:trPr>
        <w:tc>
          <w:tcPr>
            <w:tcW w:w="2240" w:type="dxa"/>
            <w:vAlign w:val="bottom"/>
            <w:tcBorders>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Year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Non-PEO NEOs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for Non-PEO NEOs ($)</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NEOs ($)</w:t>
            </w:r>
          </w:p>
        </w:tc>
        <w:tc>
          <w:tcPr>
            <w:tcW w:w="40" w:type="dxa"/>
            <w:vAlign w:val="bottom"/>
          </w:tcPr>
          <w:p>
            <w:pPr>
              <w:spacing w:after="0"/>
              <w:rPr>
                <w:sz w:val="21"/>
                <w:szCs w:val="21"/>
                <w:color w:val="auto"/>
              </w:rPr>
            </w:pP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4"/>
        </w:trPr>
        <w:tc>
          <w:tcPr>
            <w:tcW w:w="2240" w:type="dxa"/>
            <w:vAlign w:val="bottom"/>
            <w:tcBorders>
              <w:left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2022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3,725,476</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(2,869,079)</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593,614</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1,450,011</w:t>
            </w:r>
          </w:p>
        </w:tc>
        <w:tc>
          <w:tcPr>
            <w:tcW w:w="40" w:type="dxa"/>
            <w:vAlign w:val="bottom"/>
          </w:tcPr>
          <w:p>
            <w:pPr>
              <w:spacing w:after="0"/>
              <w:rPr>
                <w:sz w:val="19"/>
                <w:szCs w:val="19"/>
                <w:color w:val="auto"/>
              </w:rPr>
            </w:pPr>
          </w:p>
        </w:tc>
      </w:tr>
      <w:tr>
        <w:trPr>
          <w:trHeight w:val="26"/>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4"/>
        </w:trPr>
        <w:tc>
          <w:tcPr>
            <w:tcW w:w="2240" w:type="dxa"/>
            <w:vAlign w:val="bottom"/>
            <w:tcBorders>
              <w:left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2021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2,235,504</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(1,783,283)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(886,237)</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(434,017)</w:t>
            </w:r>
          </w:p>
        </w:tc>
        <w:tc>
          <w:tcPr>
            <w:tcW w:w="40" w:type="dxa"/>
            <w:vAlign w:val="bottom"/>
          </w:tcPr>
          <w:p>
            <w:pPr>
              <w:spacing w:after="0"/>
              <w:rPr>
                <w:sz w:val="19"/>
                <w:szCs w:val="19"/>
                <w:color w:val="auto"/>
              </w:rPr>
            </w:pPr>
          </w:p>
        </w:tc>
      </w:tr>
      <w:tr>
        <w:trPr>
          <w:trHeight w:val="26"/>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4"/>
        </w:trPr>
        <w:tc>
          <w:tcPr>
            <w:tcW w:w="2240" w:type="dxa"/>
            <w:vAlign w:val="bottom"/>
            <w:tcBorders>
              <w:left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2020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2,200,189</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(1,530,600)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5,167,485</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5,837,075</w:t>
            </w:r>
          </w:p>
        </w:tc>
        <w:tc>
          <w:tcPr>
            <w:tcW w:w="40" w:type="dxa"/>
            <w:vAlign w:val="bottom"/>
          </w:tcPr>
          <w:p>
            <w:pPr>
              <w:spacing w:after="0"/>
              <w:rPr>
                <w:sz w:val="19"/>
                <w:szCs w:val="19"/>
                <w:color w:val="auto"/>
              </w:rPr>
            </w:pPr>
          </w:p>
        </w:tc>
      </w:tr>
      <w:tr>
        <w:trPr>
          <w:trHeight w:val="26"/>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844"/>
        </w:trPr>
        <w:tc>
          <w:tcPr>
            <w:tcW w:w="2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jc w:val="right"/>
              <w:ind w:right="910"/>
              <w:spacing w:after="0"/>
              <w:rPr>
                <w:sz w:val="20"/>
                <w:szCs w:val="20"/>
                <w:color w:val="auto"/>
              </w:rPr>
            </w:pPr>
            <w:r>
              <w:rPr>
                <w:rFonts w:ascii="Arial" w:cs="Arial" w:eastAsia="Arial" w:hAnsi="Arial"/>
                <w:sz w:val="18"/>
                <w:szCs w:val="18"/>
                <w:color w:val="auto"/>
              </w:rPr>
              <w:t>56</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03" w:right="31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color w:val="auto"/>
        </w:rPr>
        <w:t>The amounts in the Inclusion of Equity Values in the tables above are derived from the amounts set forth in the following tables: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420" w:type="dxa"/>
            <w:vAlign w:val="bottom"/>
            <w:tcBorders>
              <w:top w:val="single" w:sz="8" w:color="auto"/>
              <w:left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Year-End Fair Value of</w:t>
            </w:r>
          </w:p>
        </w:tc>
        <w:tc>
          <w:tcPr>
            <w:tcW w:w="1380" w:type="dxa"/>
            <w:vAlign w:val="bottom"/>
            <w:tcBorders>
              <w:top w:val="single" w:sz="8" w:color="auto"/>
              <w:right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Change in Fair Value</w:t>
            </w:r>
          </w:p>
        </w:tc>
        <w:tc>
          <w:tcPr>
            <w:tcW w:w="1400" w:type="dxa"/>
            <w:vAlign w:val="bottom"/>
            <w:tcBorders>
              <w:top w:val="single" w:sz="8" w:color="auto"/>
              <w:right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spacing w:after="0"/>
              <w:rPr>
                <w:sz w:val="15"/>
                <w:szCs w:val="15"/>
                <w:color w:val="auto"/>
              </w:rPr>
            </w:pPr>
          </w:p>
        </w:tc>
        <w:tc>
          <w:tcPr>
            <w:tcW w:w="1420" w:type="dxa"/>
            <w:vAlign w:val="bottom"/>
            <w:tcBorders>
              <w:top w:val="single" w:sz="8" w:color="auto"/>
              <w:right w:val="single" w:sz="8" w:color="auto"/>
            </w:tcBorders>
          </w:tcPr>
          <w:p>
            <w:pPr>
              <w:spacing w:after="0"/>
              <w:rPr>
                <w:sz w:val="15"/>
                <w:szCs w:val="15"/>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6"/>
              </w:rPr>
              <w:t>Equity Awards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Change in Fair Value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Vesting-Date Fair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from Last Day of Prior</w:t>
            </w: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4"/>
              </w:rPr>
              <w:t>Granted During Year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from Last Day of Prior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Value of Equity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Year to Vesting Date of</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Fair Value at Last Day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Value of Dividends or</w:t>
            </w:r>
          </w:p>
        </w:tc>
        <w:tc>
          <w:tcPr>
            <w:tcW w:w="1420" w:type="dxa"/>
            <w:vAlign w:val="bottom"/>
            <w:tcBorders>
              <w:right w:val="single" w:sz="8" w:color="auto"/>
            </w:tcBorders>
          </w:tcPr>
          <w:p>
            <w:pPr>
              <w:spacing w:after="0"/>
              <w:rPr>
                <w:sz w:val="14"/>
                <w:szCs w:val="14"/>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That Remained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Year to Last Day of</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Awards Granted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Unvested Equity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 Prior Year of Equity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Other Earnings Paid on</w:t>
            </w:r>
          </w:p>
        </w:tc>
        <w:tc>
          <w:tcPr>
            <w:tcW w:w="1420" w:type="dxa"/>
            <w:vAlign w:val="bottom"/>
            <w:tcBorders>
              <w:right w:val="single" w:sz="8" w:color="auto"/>
            </w:tcBorders>
          </w:tcPr>
          <w:p>
            <w:pPr>
              <w:spacing w:after="0"/>
              <w:rPr>
                <w:sz w:val="14"/>
                <w:szCs w:val="14"/>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2"/>
              </w:rPr>
              <w:t>Unvested as of Last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Year of Unvested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During Year that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Awards that Vested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Awards Forfeited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Equity Awards Not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Total - Inclusion of</w:t>
            </w: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Day of Year for Marc</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Equity Awards for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Vested During Year for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During Year for Marc</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During Year for Marc</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Otherwise Included for</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Equity Values for Marc</w:t>
            </w:r>
          </w:p>
        </w:tc>
      </w:tr>
      <w:tr>
        <w:trPr>
          <w:trHeight w:val="182"/>
        </w:trPr>
        <w:tc>
          <w:tcPr>
            <w:tcW w:w="1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Year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Stapley ($)</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Marc Stapley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Marc Stapley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Stapley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Stapley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Marc Stapley ($)</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Stapley ($)</w:t>
            </w: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84"/>
        </w:trPr>
        <w:tc>
          <w:tcPr>
            <w:tcW w:w="1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2022</w:t>
            </w: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3"/>
              </w:rPr>
              <w:t>2,787,260</w:t>
            </w:r>
          </w:p>
        </w:tc>
        <w:tc>
          <w:tcPr>
            <w:tcW w:w="1380" w:type="dxa"/>
            <w:vAlign w:val="bottom"/>
            <w:tcBorders>
              <w:right w:val="single" w:sz="8" w:color="auto"/>
            </w:tcBorders>
          </w:tcPr>
          <w:p>
            <w:pPr>
              <w:jc w:val="right"/>
              <w:ind w:right="308"/>
              <w:spacing w:after="0"/>
              <w:rPr>
                <w:sz w:val="20"/>
                <w:szCs w:val="20"/>
                <w:color w:val="auto"/>
              </w:rPr>
            </w:pPr>
            <w:r>
              <w:rPr>
                <w:rFonts w:ascii="Arial" w:cs="Arial" w:eastAsia="Arial" w:hAnsi="Arial"/>
                <w:sz w:val="14"/>
                <w:szCs w:val="14"/>
                <w:color w:val="auto"/>
              </w:rPr>
              <w:t>(1,356,025)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(1,061,561)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369,674</w:t>
            </w: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84"/>
        </w:trPr>
        <w:tc>
          <w:tcPr>
            <w:tcW w:w="1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2021</w:t>
            </w: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3"/>
              </w:rPr>
              <w:t>5,049,565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5,049,565</w:t>
            </w: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15"/>
        </w:trPr>
        <w:tc>
          <w:tcPr>
            <w:tcW w:w="14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r>
        <w:trPr>
          <w:trHeight w:val="164"/>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Year-End Fair Value of</w:t>
            </w:r>
          </w:p>
        </w:tc>
        <w:tc>
          <w:tcPr>
            <w:tcW w:w="13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Change in Fair Value</w:t>
            </w: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6"/>
              </w:rPr>
              <w:t>Equity Awards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Change in Fair Value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Vesting-Date Fair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from Last Day of Prior</w:t>
            </w: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148"/>
        </w:trPr>
        <w:tc>
          <w:tcPr>
            <w:tcW w:w="142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4"/>
              </w:rPr>
              <w:t>Granted During Year</w:t>
            </w: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from Last Day of Prior</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Value of Equity</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Year to Vesting Date of</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Fair Value at Last Day</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Value of Dividends or</w:t>
            </w:r>
          </w:p>
        </w:tc>
        <w:tc>
          <w:tcPr>
            <w:tcW w:w="1420" w:type="dxa"/>
            <w:vAlign w:val="bottom"/>
            <w:tcBorders>
              <w:right w:val="single" w:sz="8" w:color="auto"/>
            </w:tcBorders>
          </w:tcPr>
          <w:p>
            <w:pPr>
              <w:spacing w:after="0"/>
              <w:rPr>
                <w:sz w:val="12"/>
                <w:szCs w:val="12"/>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That Remained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Year to Last Day of</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Awards Granted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Unvested Equity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 Prior Year of Equity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Other Earnings Paid on</w:t>
            </w:r>
          </w:p>
        </w:tc>
        <w:tc>
          <w:tcPr>
            <w:tcW w:w="1420" w:type="dxa"/>
            <w:vAlign w:val="bottom"/>
            <w:tcBorders>
              <w:right w:val="single" w:sz="8" w:color="auto"/>
            </w:tcBorders>
          </w:tcPr>
          <w:p>
            <w:pPr>
              <w:spacing w:after="0"/>
              <w:rPr>
                <w:sz w:val="14"/>
                <w:szCs w:val="14"/>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2"/>
              </w:rPr>
              <w:t>Unvested as of Last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Year of Unvested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During Year that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Awards that Vested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Awards Forfeited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Equity Awards Not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Total - Inclusion of</w:t>
            </w: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5"/>
              </w:rPr>
              <w:t>Day of Year for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Equity Awards for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Vested During Year for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During Year for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During Year for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Otherwise Included for</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Equity Values for</w:t>
            </w:r>
          </w:p>
        </w:tc>
      </w:tr>
      <w:tr>
        <w:trPr>
          <w:trHeight w:val="196"/>
        </w:trPr>
        <w:tc>
          <w:tcPr>
            <w:tcW w:w="1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Year</w:t>
            </w: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4"/>
              </w:rPr>
              <w:t>Bonnie Anderson ($)</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Bonnie Anderson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Bonnie Anderson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Bonnie Anderson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Bonnie Anderson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Bonnie Anderson ($)</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Bonnie Anderson ($)</w:t>
            </w: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84"/>
        </w:trPr>
        <w:tc>
          <w:tcPr>
            <w:tcW w:w="1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2021</w:t>
            </w: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3"/>
              </w:rPr>
              <w:t>1,596,229</w:t>
            </w:r>
          </w:p>
        </w:tc>
        <w:tc>
          <w:tcPr>
            <w:tcW w:w="1380" w:type="dxa"/>
            <w:vAlign w:val="bottom"/>
            <w:tcBorders>
              <w:right w:val="single" w:sz="8" w:color="auto"/>
            </w:tcBorders>
          </w:tcPr>
          <w:p>
            <w:pPr>
              <w:jc w:val="right"/>
              <w:ind w:right="308"/>
              <w:spacing w:after="0"/>
              <w:rPr>
                <w:sz w:val="20"/>
                <w:szCs w:val="20"/>
                <w:color w:val="auto"/>
              </w:rPr>
            </w:pPr>
            <w:r>
              <w:rPr>
                <w:rFonts w:ascii="Arial" w:cs="Arial" w:eastAsia="Arial" w:hAnsi="Arial"/>
                <w:sz w:val="14"/>
                <w:szCs w:val="14"/>
                <w:color w:val="auto"/>
              </w:rPr>
              <w:t>(1,383,966)</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1,459,018</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1,671,281</w:t>
            </w: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84"/>
        </w:trPr>
        <w:tc>
          <w:tcPr>
            <w:tcW w:w="1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2020</w:t>
            </w:r>
          </w:p>
        </w:tc>
        <w:tc>
          <w:tcPr>
            <w:tcW w:w="13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3"/>
              </w:rPr>
              <w:t>8,016,613</w:t>
            </w:r>
          </w:p>
        </w:tc>
        <w:tc>
          <w:tcPr>
            <w:tcW w:w="13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6,118,439</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79,682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14,214,734</w:t>
            </w: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02"/>
        </w:trPr>
        <w:tc>
          <w:tcPr>
            <w:tcW w:w="14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r>
        <w:trPr>
          <w:trHeight w:val="164"/>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Average Change in</w:t>
            </w: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Average Year-End Fair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Average Change in</w:t>
            </w: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Fair Value from Last</w:t>
            </w: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Value of Equity</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Fair Value from Last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Average Vesting-Date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Day of Prior Year to</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Average Fair Value at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Average Value of</w:t>
            </w:r>
          </w:p>
        </w:tc>
        <w:tc>
          <w:tcPr>
            <w:tcW w:w="1420" w:type="dxa"/>
            <w:vAlign w:val="bottom"/>
            <w:tcBorders>
              <w:right w:val="single" w:sz="8" w:color="auto"/>
            </w:tcBorders>
          </w:tcPr>
          <w:p>
            <w:pPr>
              <w:spacing w:after="0"/>
              <w:rPr>
                <w:sz w:val="14"/>
                <w:szCs w:val="14"/>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Awards Granted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Day of Prior Year to</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Fair Value of Equity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Vesting Date of</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Last Day of Prior Year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Dividends or Other</w:t>
            </w:r>
          </w:p>
        </w:tc>
        <w:tc>
          <w:tcPr>
            <w:tcW w:w="1420" w:type="dxa"/>
            <w:vAlign w:val="bottom"/>
            <w:tcBorders>
              <w:right w:val="single" w:sz="8" w:color="auto"/>
            </w:tcBorders>
          </w:tcPr>
          <w:p>
            <w:pPr>
              <w:spacing w:after="0"/>
              <w:rPr>
                <w:sz w:val="14"/>
                <w:szCs w:val="14"/>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During Year That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Last Day of Year of</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Awards Granted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Unvested Equity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of Equity Awards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Earnings Paid on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Total - Average</w:t>
            </w: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Remained Unvested as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Unvested Equity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During Year that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Awards that Vested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Forfeited During Year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Equity Awards Not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Inclusion of Equity</w:t>
            </w: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of Last Day of Year for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Awards for Non-PEO</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Vested During Year for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During Year for Non-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for Non-PEO NEOs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Otherwise Included for</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Values for Non-PEO</w:t>
            </w:r>
          </w:p>
        </w:tc>
      </w:tr>
      <w:tr>
        <w:trPr>
          <w:trHeight w:val="182"/>
        </w:trPr>
        <w:tc>
          <w:tcPr>
            <w:tcW w:w="142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14"/>
                <w:szCs w:val="14"/>
                <w:color w:val="auto"/>
              </w:rPr>
              <w:t>Year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Non-PEO NEOs ($)</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NEOs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Non-PEO NEOs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PEO NEOs ($)</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Non-PEO NEOs ($)</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NEOs ($)</w:t>
            </w: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84"/>
        </w:trPr>
        <w:tc>
          <w:tcPr>
            <w:tcW w:w="1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2022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1,618,867</w:t>
            </w:r>
          </w:p>
        </w:tc>
        <w:tc>
          <w:tcPr>
            <w:tcW w:w="13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(208,991)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(485,287)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(330,975)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593,614</w:t>
            </w: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84"/>
        </w:trPr>
        <w:tc>
          <w:tcPr>
            <w:tcW w:w="1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2021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911,561</w:t>
            </w:r>
          </w:p>
        </w:tc>
        <w:tc>
          <w:tcPr>
            <w:tcW w:w="13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(122,234)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201,918</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(1,877,482)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(886,237)</w:t>
            </w:r>
          </w:p>
        </w:tc>
      </w:tr>
      <w:tr>
        <w:trPr>
          <w:trHeight w:val="25"/>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84"/>
        </w:trPr>
        <w:tc>
          <w:tcPr>
            <w:tcW w:w="1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2020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3,385,743</w:t>
            </w:r>
          </w:p>
        </w:tc>
        <w:tc>
          <w:tcPr>
            <w:tcW w:w="13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1,733,077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48,665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5,167,485</w:t>
            </w:r>
          </w:p>
        </w:tc>
      </w:tr>
      <w:tr>
        <w:trPr>
          <w:trHeight w:val="25"/>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260" w:hanging="252"/>
        <w:spacing w:after="0" w:line="259" w:lineRule="auto"/>
        <w:tabs>
          <w:tab w:leader="none" w:pos="3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Peer Group TSR set forth in this table utilizes the NASDAQ Biotechnology Index, which we also utilize in the stock performance graph required by Item 201(e) of Regulation S-K included in our Annual Report for the year ended December 31, 2022. The comparison assumes $100 was invested for the period starting December 31, 2019, through the end of the listed year in the Company and in the NASDAQ Biotechnology Index, respectively. Historical stock performance is not necessarily indicative of future stock performance.</w:t>
      </w:r>
    </w:p>
    <w:p>
      <w:pPr>
        <w:spacing w:after="0" w:line="78" w:lineRule="exact"/>
        <w:rPr>
          <w:rFonts w:ascii="Arial" w:cs="Arial" w:eastAsia="Arial" w:hAnsi="Arial"/>
          <w:sz w:val="18"/>
          <w:szCs w:val="18"/>
          <w:color w:val="auto"/>
        </w:rPr>
      </w:pPr>
    </w:p>
    <w:p>
      <w:pPr>
        <w:jc w:val="both"/>
        <w:ind w:left="260" w:hanging="252"/>
        <w:spacing w:after="0" w:line="259" w:lineRule="auto"/>
        <w:tabs>
          <w:tab w:leader="none" w:pos="3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determined Total Revenue to be the most important financial performance measure used to link Company performance to Compensation Actually Paid to our PEOs and Non-PEO NEOs in 2022. This performance measure may not have been the most important financial performance measure for years 2021 and 2020 and we may determine a different financial performance measure to be the most important financial performance measure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Relationship Between Compensation Actually Paid and Performance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charts show the relationship between Compensation Actually Paid, Total Shareholder Return, total revenue and net loss for 2020,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203200</wp:posOffset>
            </wp:positionV>
            <wp:extent cx="5863590" cy="6884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63590" cy="688403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62" w:name="page63"/>
    <w:bookmarkEnd w:id="62"/>
    <w:p>
      <w:pPr>
        <w:ind w:left="460"/>
        <w:spacing w:after="0"/>
        <w:rPr>
          <w:sz w:val="20"/>
          <w:szCs w:val="20"/>
          <w:color w:val="auto"/>
        </w:rPr>
      </w:pPr>
      <w:r>
        <w:rPr>
          <w:rFonts w:ascii="Arial" w:cs="Arial" w:eastAsia="Arial" w:hAnsi="Arial"/>
          <w:sz w:val="18"/>
          <w:szCs w:val="18"/>
          <w:b w:val="1"/>
          <w:bCs w:val="1"/>
          <w:i w:val="1"/>
          <w:iCs w:val="1"/>
          <w:color w:val="auto"/>
        </w:rPr>
        <w:t>Tabular List of Most Important Financial and Non-Financial Performance Measures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 presents the financial and non-financial performance measures that the Company considers to have been the most important in linking Compensation Actually Paid to our PEO and other NEOs for 2022 to Company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36195</wp:posOffset>
            </wp:positionV>
            <wp:extent cx="3248660" cy="677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48660" cy="677545"/>
                    </a:xfrm>
                    <a:prstGeom prst="rect">
                      <a:avLst/>
                    </a:prstGeom>
                    <a:noFill/>
                  </pic:spPr>
                </pic:pic>
              </a:graphicData>
            </a:graphic>
          </wp:anchor>
        </w:drawing>
      </w:r>
    </w:p>
    <w:p>
      <w:pPr>
        <w:spacing w:after="0" w:line="50"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Total Revenue</w:t>
      </w:r>
    </w:p>
    <w:p>
      <w:pPr>
        <w:spacing w:after="0" w:line="50"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Ending Cash Balance</w:t>
      </w:r>
    </w:p>
    <w:p>
      <w:pPr>
        <w:spacing w:after="0" w:line="50"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Gross Margin on Testing Revenue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There have been no changes in our employee population or employee compensation arrangements that we believe would significantly impact the calculations of this pay ratio and require us to identify a new median employee. However, the median employee used in 2021 is no longer employed with us, and consistent with SEC rules, for 2022, we chose to use a substitute employee who had substantially similar compensation to that of the initial median employee and who was viewed as representative of our median employee.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paragraphs that follow describe our methodology and the resulting CEO Pay Ratio.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Date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identified the median employee using our employee population on December 31, 2021 (including all employees, whether employed on a full-time, part-time, seasonal or temporary basis). We did not include any contractors or other non-employee workers in our employee population.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Consistently Applied Compensation Measure (“CACM”)</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relevant rules, we are required to identify the median employee by use of a “consistently applied compensation measure,” or CACM. We chose a CACM that closely approximates the annual target total direct compensation of our employees. Specifically, we identified the median employee by aggregating, for each employee: a) annual base pay for 2021, b) annual target cash incentive opportunity for 2021, and c) the grant date fair value for equity awards granted in 2021. Cash compensation for new hire employees that commenced employment in 2021 was annualized to reflect a full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 and Pay Ratio</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31, 2022, the determination date, our principal executive officer was Mr. Marc Stapley, our Chief Executive Officer. For 2022, the total annual compensation for Mr. Stapley was $4,935,422. The total annual compensation of our median employee in 2022 was $129,449. The ratio of these two amounts is approximately 38:1.</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restated certificate of incorporation contains provisions that eliminate the personal liability of our directors to the corporation or our stockholders for monetary damages for breach of fiduciary duty to the fullest extent permitted by the Delaware General Corporation Law (“DGCL”). Consequently, our directors are not personally liable to us or our stockholders for monetary damages for any breach of fiduciary duties as directors, except liability for: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3" w:name="page64"/>
    <w:bookmarkEnd w:id="63"/>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3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if the Officer Exculpation Amendment described in Proposal No. 6 is adopted by our stockholders (and is not abandoned by our Board of Directors prior to the effectiveness thereof), our restated certificate of incorporation will contain provisions that eliminate the personal liability of certain of our officers to the corporation or our stockholders for monetary damages for breach of fiduciary duty to the fullest extent permitted by the DGCL. Consequently, assuming the Officer Exculpation Amendment becomes effective, certain of our officers will not be personally liable to us or our stockholders for monetary damages for any breach of fiduciary duties as officers, except liability for:</w:t>
      </w:r>
    </w:p>
    <w:p>
      <w:pPr>
        <w:spacing w:after="0" w:line="21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breach of the officer’s duty of loyalty to us or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transaction from which the officer derived an improper personal benefit;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claim brought by or in the right of the corporation, such as a derivative claim.</w:t>
      </w:r>
    </w:p>
    <w:p>
      <w:pPr>
        <w:spacing w:after="0" w:line="3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The officers whose personal liability would be eliminated as described above consist of (i) a corporation’s president, chief executive officer, chief operating officer, chief financial officer, chief legal officer, controller, treasurer or chief accounting officer; (ii) an individual identified in public filings as one of the most highly compensated officers of the corporation; and (iii) an individual who, by written agreement with the corporation, has consented to be identified as an officer for purposes of Delaware’s long-arm jurisdiction statute.</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restated certificate of incorporation and our amended and restated bylaws require us to indemnify our directors and officers to the maximum extent not prohibited by the DGCL and allow us to indemnify other employees and agents as authorized by the Board of Directors or by the action of a committee of the Board of Directors or designated officers established by or designated in resolutions approved by the Board of Directors. Subject to certain limitations, our amended and restated bylaws also require us to advance expenses incurred by our directors and officers for the defense of any action for which indemnification is required or permitted.</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other employees, in addition to the indemnification provided for in our restated certificate of incorporation and amended and restated bylaws. These agreements, among other things, require us to indemnify our directors, officers and certain other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certain other employees for the defense of any action for which indemnification is required or permitted.</w:t>
      </w:r>
    </w:p>
    <w:p>
      <w:pPr>
        <w:spacing w:after="0" w:line="22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provisions of our restated certificate of incorporation, amended and restated bylaws and indemnification agreements are necessary to attract and retain qualified directors, officers and employees. We also maintain directors’ and officers’ liability insurance.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amended and restated bylaws or in these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Rule 10b5-1 Sales Plans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 We recently amended our Insider Trading Policy to reflect the SEC’s new rules regarding Rule 10b5-1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intend to adopt a general compensation recovery policy (or modify our existing Clawback Policy) covering our short-term and long-term incentive award plans and arrangements once The Nasdaq Stock Market LLC has adopted an SEC-approved listing standard that complies with Exchange Act Rule 10D-1.</w:t>
      </w:r>
    </w:p>
    <w:p>
      <w:pPr>
        <w:spacing w:after="0" w:line="200" w:lineRule="exact"/>
        <w:rPr>
          <w:sz w:val="20"/>
          <w:szCs w:val="20"/>
          <w:color w:val="auto"/>
        </w:rPr>
      </w:pPr>
    </w:p>
    <w:p>
      <w:pPr>
        <w:spacing w:after="0" w:line="250"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discussion under the section titled “Proposal No. 4 Approval of the Veracyte, Inc. 2023 Equity Incentive Plan —Equity Compensation Plan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acts pursuant to a written charter that was adopted by the Board of Directors. Each member of the audit committee qualifies as “independent” under the current listing requirements of The Nasdaq Stock Market.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performing its functions, the audit committee acts in an oversight capacity and necessarily relies on the work and assurances of Veracyte’s management, which has the primary responsibility for financial statements and reports, and of the independent registered public accounting firm, who, in their report, express an opinion on the conformity of Veracyte’s annual financial statements with accounting principles generally accepted in the United States. It is not the duty of the audit committee to plan or conduct audits, to determine that Veracyte’s financial statements are complete and accurate and are in accordance with generally accepted accounting principles, or to assess or determine the effectiveness of Veracyte’s internal control over financial reporting.</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Within this framework, the audit committee has reviewed and discussed with management our audited financial statements as of and for the year ended December 31, 2022. The audit committee has also discussed Auditing Standard No. 1301 adopted by the Public Company Accounting Oversight Board (United States) regarding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these reviews and discussions, the audit committee recommended to the Board of Directors that the audited financial statements be included in our Annual Report on Form 10-K for the year ended December 31, 2022.</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Karin Eastham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Jens Holstein (Chair)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Evan Jones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addition to the compensation arrangements of our directors and named executive officers discussed elsewhere in this Proxy Statement, the following is a description of transactions since January 1, 2022,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Approval</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 formal policy that our executive officers, directors, director nominees, holders of more than 5% of any class of our voting securities, and any member of the immediate family of and any entity affiliated with any of the foregoing persons, are not permitted to enter into a transaction in which we are or will be a party and in which the amount involved exceeds $120,000 without the prior consent of our audit committee. Any request for us to enter into such a transaction must first be presented to our audit committee, or if a member of our audit committee is involved in the transaction,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2024 Annual Meeting</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stockholder wishes to present a proposal to be considered for inclusion in our proxy statement for the 2024 Annual Meeting of Stockholders, the proponent and the proposal must comply with the proxy proposal submission rules of the SEC as set forth in Rule 14a-8. One of the requirements is that the proposal be received by our Secretary no later than December 29, 2023. Proposals we receive after that date will not be included in the proxy statement. We urge stockholders to submit proposals by Certified Mail - Return Receipt Requested.</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 stockholder proposal not included in our proxy statement for the 2024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no earlier than 5:00 p.m. Eastern Time on February 9, 2024 and no later than 5:00 p.m. Eastern Time on March 10, 2024, or no earlier than 5:00 p.m. Eastern Time on the 120th day nor later than 5:00 p.m. Eastern Time on the 90th day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5:00 p.m. Eastern Time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including notices with respect to director nominations made in accordance with the SEC’s universal proxy rules, must set forth, as to each proposed matter, the information required by our Bylaws and must be made in the time periods set forth above. The presiding officer of the meeting may refuse to acknowledge any matter not made in compliance with the foregoing procedure.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 Stockholders Sharing the Same Last Name and Address</w:t>
      </w:r>
    </w:p>
    <w:p>
      <w:pPr>
        <w:spacing w:after="0" w:line="2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stockholder has provided contrary instructions. This procedure reduces printing costs and postage fees, and helps protect the environment as well.</w:t>
      </w:r>
    </w:p>
    <w:p>
      <w:pPr>
        <w:spacing w:after="0" w:line="2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by calling (866) 540-7095 or writing to Broadridge, Householding Department, 51 Mercedes Way, Edgewood, New York, 11717.</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 AND AVAILABLE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5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financial statements for the year ended December 31, 2022 are included in our Annual Report, which we provide to our stockholders at the same time as this Proxy Statement. We will furnish without charge, upon written request of any person who was a stockholder or beneficial owner of our common stock on the close of business on the Record Date, copies of exhibits to our Annual Report, but will charge a reasonable per page fee. Written requests should be sent to: Investor Relations, Veracyte, Inc., 6000 Shoreline Court, Suite 300, South San Francisco, California 94080. The Annual Report is also available under “SEC Filings” in the “Investors” section of our website at https://investor.veracyte.com/sec-filings.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EQUITY INCENTIVE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THE BOARD OF DIRECTORS ON APRIL 12, 2023)</w:t>
      </w:r>
    </w:p>
    <w:p>
      <w:pPr>
        <w:spacing w:after="0" w:line="117" w:lineRule="exact"/>
        <w:rPr>
          <w:sz w:val="20"/>
          <w:szCs w:val="20"/>
          <w:color w:val="auto"/>
        </w:rPr>
      </w:pPr>
    </w:p>
    <w:p>
      <w:pPr>
        <w:jc w:val="both"/>
        <w:ind w:firstLine="8"/>
        <w:spacing w:after="0" w:line="314" w:lineRule="auto"/>
        <w:tabs>
          <w:tab w:leader="none" w:pos="315"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w:t>
      </w:r>
      <w:r>
        <w:rPr>
          <w:rFonts w:ascii="Arial" w:cs="Arial" w:eastAsia="Arial" w:hAnsi="Arial"/>
          <w:sz w:val="16"/>
          <w:szCs w:val="16"/>
          <w:color w:val="auto"/>
        </w:rPr>
        <w:t>. The purpose of this Plan is to provide incentives to attract, retain, and motivate eligible persons whose present and potential contributions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33" w:lineRule="exact"/>
        <w:rPr>
          <w:rFonts w:ascii="Arial" w:cs="Arial" w:eastAsia="Arial" w:hAnsi="Arial"/>
          <w:sz w:val="16"/>
          <w:szCs w:val="16"/>
          <w:b w:val="1"/>
          <w:bCs w:val="1"/>
          <w:color w:val="auto"/>
        </w:rPr>
      </w:pPr>
    </w:p>
    <w:p>
      <w:pPr>
        <w:ind w:left="320" w:hanging="312"/>
        <w:spacing w:after="0"/>
        <w:tabs>
          <w:tab w:leader="none" w:pos="3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THIS PLAN</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Number of Shares Available</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2.5 and 21</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other applicable provisions hereof, the total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reserved and available for grant and issuance pursuant to this Plan is the number of reserved Shares not issued or subject to outstanding grants under the Prior Plan on the Effective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(a) Shares that are subject to awards granted under the Prior Plan that cease to be subject to such awards by forfeiture or otherwise after the Effective Date, (b) Shares issued under the Prior Plan, including Shares issued pursuant to the exercise of stock options, that are forfeited after the Effective Date, (c) Shares issued under the Prior Plan that are repurchased by the Company at the original issue price after the Effective Date, (d) Shares that are subject to awards granted under the Prior Plan that are settled in cash after the Effective Date and (e) Shares that are subject to awards under the Prior Plan that are used to pay the Exercise Price of an award or withheld to satisfy the tax withholding obligations related to an award after the Effective Date. As of the Effective Date, no further awards can be granted under the Prior Plan.</w:t>
      </w:r>
    </w:p>
    <w:p>
      <w:pPr>
        <w:spacing w:after="0" w:line="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this Plan under any Award, will again be available for grant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(d) are surrendered pursuant to an Exchange Program, (e) are subject to Awards granted under this Plan that are settled in cash and (f) are subject to Awards granted under this Plan and are used to pay the Exercise Price of an Award or withheld to satisfy the tax withholding obligations related to an Award. For the avoidance of doubt, Shares that otherwise become available for grant and issuance because of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will not include Shares subject to Awards that initially became available because of the substitution clause in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hereof.</w:t>
      </w:r>
    </w:p>
    <w:p>
      <w:pPr>
        <w:spacing w:after="0" w:line="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will reserve and keep available a sufficient number of Shares as will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the requirements of all outstanding Awards granted under this Plan.</w:t>
      </w:r>
    </w:p>
    <w:p>
      <w:pPr>
        <w:spacing w:after="0" w:line="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15,000,000 Shares will be issued pursuant to the exercise of ISOs granted under this Plan.</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u w:val="single" w:color="auto"/>
          <w:color w:val="auto"/>
        </w:rPr>
        <w:t>Adjustment of Shares</w:t>
      </w:r>
      <w:r>
        <w:rPr>
          <w:rFonts w:ascii="Arial" w:cs="Arial" w:eastAsia="Arial" w:hAnsi="Arial"/>
          <w:sz w:val="16"/>
          <w:szCs w:val="16"/>
          <w:color w:val="auto"/>
        </w:rPr>
        <w:t>. If the number or class of outstanding Shares is changed by a stock dividend, extraordinary dividend or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this Plan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(b) the Exercise Prices of and number and class of Shares subject to outstanding Options and SARs, (c) the number and class of Shares subject to other outstanding Awards, and (d) the maximum number and class of Shares that may be issued as ISOs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will be proportionately adjusted, subject to any required action by the Board or the stockholders of the Company and in compliance with applicable securities laws, provided that fractions of a Share will not be issued.</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by reason of an adjustment pursuant to this </w:t>
      </w:r>
      <w:r>
        <w:rPr>
          <w:rFonts w:ascii="Arial" w:cs="Arial" w:eastAsia="Arial" w:hAnsi="Arial"/>
          <w:sz w:val="18"/>
          <w:szCs w:val="18"/>
          <w:u w:val="single" w:color="auto"/>
          <w:color w:val="auto"/>
        </w:rPr>
        <w:t>Section 2.5</w:t>
      </w:r>
      <w:r>
        <w:rPr>
          <w:rFonts w:ascii="Arial" w:cs="Arial" w:eastAsia="Arial" w:hAnsi="Arial"/>
          <w:sz w:val="18"/>
          <w:szCs w:val="18"/>
          <w:color w:val="auto"/>
        </w:rPr>
        <w:t>,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spacing w:after="0" w:line="75" w:lineRule="exact"/>
        <w:rPr>
          <w:sz w:val="20"/>
          <w:szCs w:val="20"/>
          <w:color w:val="auto"/>
        </w:rPr>
      </w:pPr>
    </w:p>
    <w:p>
      <w:pPr>
        <w:jc w:val="both"/>
        <w:ind w:firstLine="8"/>
        <w:spacing w:after="0" w:line="266" w:lineRule="auto"/>
        <w:tabs>
          <w:tab w:leader="none" w:pos="31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ISOs may be granted only to Employees. All other Awards may be granted to Employees, Consultants, Directors, and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provided that such Consultants, Directors, and Non-Employee Directors render bona fide services not in connection with the offer and sale of securities in a capital-raising transaction.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8" w:name="page69"/>
    <w:bookmarkEnd w:id="68"/>
    <w:p>
      <w:pPr>
        <w:ind w:left="320" w:hanging="312"/>
        <w:spacing w:after="0"/>
        <w:tabs>
          <w:tab w:leader="none" w:pos="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Committee Composition; Authority</w:t>
      </w:r>
      <w:r>
        <w:rPr>
          <w:rFonts w:ascii="Arial" w:cs="Arial" w:eastAsia="Arial" w:hAnsi="Arial"/>
          <w:sz w:val="18"/>
          <w:szCs w:val="18"/>
          <w:color w:val="auto"/>
        </w:rPr>
        <w:t>. This Plan will be administered by the Committee or by the Board acting as the Committee.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spacing w:after="0" w:line="76" w:lineRule="exact"/>
        <w:rPr>
          <w:sz w:val="20"/>
          <w:szCs w:val="20"/>
          <w:color w:val="auto"/>
        </w:rPr>
      </w:pPr>
    </w:p>
    <w:p>
      <w:pPr>
        <w:ind w:left="1680" w:hanging="376"/>
        <w:spacing w:after="0"/>
        <w:tabs>
          <w:tab w:leader="none" w:pos="16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construe and interpret this Plan, any Award Agreement, and any other agreement or document executed pursuant to this Plan;</w:t>
      </w:r>
    </w:p>
    <w:p>
      <w:pPr>
        <w:spacing w:after="0" w:line="128" w:lineRule="exact"/>
        <w:rPr>
          <w:rFonts w:ascii="Arial" w:cs="Arial" w:eastAsia="Arial" w:hAnsi="Arial"/>
          <w:sz w:val="17"/>
          <w:szCs w:val="17"/>
          <w:color w:val="auto"/>
        </w:rPr>
      </w:pPr>
    </w:p>
    <w:p>
      <w:pPr>
        <w:ind w:left="1700" w:hanging="396"/>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117" w:lineRule="exact"/>
        <w:rPr>
          <w:rFonts w:ascii="Arial" w:cs="Arial" w:eastAsia="Arial" w:hAnsi="Arial"/>
          <w:sz w:val="18"/>
          <w:szCs w:val="18"/>
          <w:color w:val="auto"/>
        </w:rPr>
      </w:pPr>
    </w:p>
    <w:p>
      <w:pPr>
        <w:ind w:left="1680" w:hanging="376"/>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117" w:lineRule="exact"/>
        <w:rPr>
          <w:rFonts w:ascii="Arial" w:cs="Arial" w:eastAsia="Arial" w:hAnsi="Arial"/>
          <w:sz w:val="18"/>
          <w:szCs w:val="18"/>
          <w:color w:val="auto"/>
        </w:rPr>
      </w:pPr>
    </w:p>
    <w:p>
      <w:pPr>
        <w:jc w:val="both"/>
        <w:ind w:firstLine="1304"/>
        <w:spacing w:after="0" w:line="257" w:lineRule="auto"/>
        <w:tabs>
          <w:tab w:leader="none" w:pos="17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this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79" w:lineRule="exact"/>
        <w:rPr>
          <w:rFonts w:ascii="Arial" w:cs="Arial" w:eastAsia="Arial" w:hAnsi="Arial"/>
          <w:sz w:val="18"/>
          <w:szCs w:val="18"/>
          <w:color w:val="auto"/>
        </w:rPr>
      </w:pPr>
    </w:p>
    <w:p>
      <w:pPr>
        <w:ind w:left="1680" w:hanging="376"/>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17" w:lineRule="exact"/>
        <w:rPr>
          <w:rFonts w:ascii="Arial" w:cs="Arial" w:eastAsia="Arial" w:hAnsi="Arial"/>
          <w:sz w:val="18"/>
          <w:szCs w:val="18"/>
          <w:color w:val="auto"/>
        </w:rPr>
      </w:pPr>
    </w:p>
    <w:p>
      <w:pPr>
        <w:ind w:firstLine="1304"/>
        <w:spacing w:after="0" w:line="277" w:lineRule="auto"/>
        <w:tabs>
          <w:tab w:leader="none" w:pos="16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62" w:lineRule="exact"/>
        <w:rPr>
          <w:rFonts w:ascii="Arial" w:cs="Arial" w:eastAsia="Arial" w:hAnsi="Arial"/>
          <w:sz w:val="18"/>
          <w:szCs w:val="18"/>
          <w:color w:val="auto"/>
        </w:rPr>
      </w:pPr>
    </w:p>
    <w:p>
      <w:pPr>
        <w:ind w:firstLine="1304"/>
        <w:spacing w:after="0" w:line="308" w:lineRule="auto"/>
        <w:tabs>
          <w:tab w:leader="none" w:pos="1686"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38" w:lineRule="exact"/>
        <w:rPr>
          <w:rFonts w:ascii="Arial" w:cs="Arial" w:eastAsia="Arial" w:hAnsi="Arial"/>
          <w:sz w:val="17"/>
          <w:szCs w:val="17"/>
          <w:color w:val="auto"/>
        </w:rPr>
      </w:pPr>
    </w:p>
    <w:p>
      <w:pPr>
        <w:ind w:left="1700" w:hanging="396"/>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117" w:lineRule="exact"/>
        <w:rPr>
          <w:rFonts w:ascii="Arial" w:cs="Arial" w:eastAsia="Arial" w:hAnsi="Arial"/>
          <w:sz w:val="18"/>
          <w:szCs w:val="18"/>
          <w:color w:val="auto"/>
        </w:rPr>
      </w:pPr>
    </w:p>
    <w:p>
      <w:pPr>
        <w:ind w:left="1660" w:hanging="356"/>
        <w:spacing w:after="0"/>
        <w:tabs>
          <w:tab w:leader="none" w:pos="1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117" w:lineRule="exact"/>
        <w:rPr>
          <w:rFonts w:ascii="Arial" w:cs="Arial" w:eastAsia="Arial" w:hAnsi="Arial"/>
          <w:sz w:val="18"/>
          <w:szCs w:val="18"/>
          <w:color w:val="auto"/>
        </w:rPr>
      </w:pPr>
    </w:p>
    <w:p>
      <w:pPr>
        <w:ind w:left="1660" w:hanging="356"/>
        <w:spacing w:after="0"/>
        <w:tabs>
          <w:tab w:leader="none" w:pos="1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spacing w:after="0" w:line="117" w:lineRule="exact"/>
        <w:rPr>
          <w:rFonts w:ascii="Arial" w:cs="Arial" w:eastAsia="Arial" w:hAnsi="Arial"/>
          <w:sz w:val="18"/>
          <w:szCs w:val="18"/>
          <w:color w:val="auto"/>
        </w:rPr>
      </w:pPr>
    </w:p>
    <w:p>
      <w:pPr>
        <w:ind w:left="1700" w:hanging="396"/>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 whether an Award has been vested and/or earned;</w:t>
      </w:r>
    </w:p>
    <w:p>
      <w:pPr>
        <w:spacing w:after="0" w:line="117" w:lineRule="exact"/>
        <w:rPr>
          <w:rFonts w:ascii="Arial" w:cs="Arial" w:eastAsia="Arial" w:hAnsi="Arial"/>
          <w:sz w:val="18"/>
          <w:szCs w:val="18"/>
          <w:color w:val="auto"/>
        </w:rPr>
      </w:pPr>
    </w:p>
    <w:p>
      <w:pPr>
        <w:ind w:left="1660" w:hanging="356"/>
        <w:spacing w:after="0"/>
        <w:tabs>
          <w:tab w:leader="none" w:pos="1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117" w:lineRule="exact"/>
        <w:rPr>
          <w:rFonts w:ascii="Arial" w:cs="Arial" w:eastAsia="Arial" w:hAnsi="Arial"/>
          <w:sz w:val="18"/>
          <w:szCs w:val="18"/>
          <w:color w:val="auto"/>
        </w:rPr>
      </w:pPr>
    </w:p>
    <w:p>
      <w:pPr>
        <w:ind w:left="1740" w:hanging="436"/>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117" w:lineRule="exact"/>
        <w:rPr>
          <w:rFonts w:ascii="Arial" w:cs="Arial" w:eastAsia="Arial" w:hAnsi="Arial"/>
          <w:sz w:val="18"/>
          <w:szCs w:val="18"/>
          <w:color w:val="auto"/>
        </w:rPr>
      </w:pPr>
    </w:p>
    <w:p>
      <w:pPr>
        <w:ind w:firstLine="1304"/>
        <w:spacing w:after="0" w:line="308" w:lineRule="auto"/>
        <w:tabs>
          <w:tab w:leader="none" w:pos="1728"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adjust Performance Factors to take into account changes in law and accounting or tax rules as the Committee deems necessary or appropriate to reflect the impact of extraordinary or unusual items, events, or circumstances to avoid windfalls or inequitable results;</w:t>
      </w:r>
    </w:p>
    <w:p>
      <w:pPr>
        <w:spacing w:after="0" w:line="38" w:lineRule="exact"/>
        <w:rPr>
          <w:rFonts w:ascii="Arial" w:cs="Arial" w:eastAsia="Arial" w:hAnsi="Arial"/>
          <w:sz w:val="17"/>
          <w:szCs w:val="17"/>
          <w:color w:val="auto"/>
        </w:rPr>
      </w:pPr>
    </w:p>
    <w:p>
      <w:pPr>
        <w:jc w:val="both"/>
        <w:ind w:firstLine="1304"/>
        <w:spacing w:after="0" w:line="263" w:lineRule="auto"/>
        <w:tabs>
          <w:tab w:leader="none" w:pos="18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adopt terms and conditions, rules, and/or procedures (including the adoption of any subplan under this Plan) relating to the operation and administration of this Plan to accommodate requirements of local law and procedures outside of the United States or to qualify Awards for special tax treatment under laws of jurisdictions other than the United States;</w:t>
      </w:r>
    </w:p>
    <w:p>
      <w:pPr>
        <w:spacing w:after="0" w:line="75" w:lineRule="exact"/>
        <w:rPr>
          <w:rFonts w:ascii="Arial" w:cs="Arial" w:eastAsia="Arial" w:hAnsi="Arial"/>
          <w:sz w:val="18"/>
          <w:szCs w:val="18"/>
          <w:color w:val="auto"/>
        </w:rPr>
      </w:pPr>
    </w:p>
    <w:p>
      <w:pPr>
        <w:ind w:left="1700" w:hanging="396"/>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117" w:lineRule="exact"/>
        <w:rPr>
          <w:rFonts w:ascii="Arial" w:cs="Arial" w:eastAsia="Arial" w:hAnsi="Arial"/>
          <w:sz w:val="18"/>
          <w:szCs w:val="18"/>
          <w:color w:val="auto"/>
        </w:rPr>
      </w:pPr>
    </w:p>
    <w:p>
      <w:pPr>
        <w:ind w:left="1700" w:hanging="396"/>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117" w:lineRule="exact"/>
        <w:rPr>
          <w:rFonts w:ascii="Arial" w:cs="Arial" w:eastAsia="Arial" w:hAnsi="Arial"/>
          <w:sz w:val="18"/>
          <w:szCs w:val="18"/>
          <w:color w:val="auto"/>
        </w:rPr>
      </w:pPr>
    </w:p>
    <w:p>
      <w:pPr>
        <w:ind w:firstLine="1304"/>
        <w:spacing w:after="0" w:line="277" w:lineRule="auto"/>
        <w:tabs>
          <w:tab w:leader="none" w:pos="16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executive officers pursuant to a specific delegation as permitted by applicable law, including but not limited to Section 157(c) of the Delaware General Corporation Law.</w:t>
      </w:r>
    </w:p>
    <w:p>
      <w:pPr>
        <w:spacing w:after="0" w:line="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will be made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at the time of grant of the Award or, unless in contravention of any express term of this Plan or Award, at any later time, and such determination will be final and binding on the Company and all persons having an interest in any Award under this Plan. Any dispute regarding the interpretation of this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 by two</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“non-employee directors” (as defined in the regulations promulgated under Section 16 of the Exchange Act).</w:t>
      </w:r>
    </w:p>
    <w:p>
      <w:pPr>
        <w:spacing w:after="0" w:line="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u w:val="single" w:color="auto"/>
          <w:color w:val="auto"/>
        </w:rPr>
        <w:t>Documentation</w:t>
      </w:r>
      <w:r>
        <w:rPr>
          <w:rFonts w:ascii="Arial" w:cs="Arial" w:eastAsia="Arial" w:hAnsi="Arial"/>
          <w:sz w:val="17"/>
          <w:szCs w:val="17"/>
          <w:color w:val="auto"/>
        </w:rPr>
        <w:t>. The Award Agreement for a given Award, this Plan, and any other documents may be delivered to, and accepted by,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or any other person in any manner (including electronic distribution or posting) that meets applicable legal requirements.</w:t>
      </w:r>
    </w:p>
    <w:p>
      <w:pPr>
        <w:spacing w:after="0" w:line="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this Plan to the contrary, in order to comply with the laws and practices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countries in which the Company, its Subsidiaries, and Affiliates operate or have Employees or other individuals eligible for Awards, the Committee, in its sole discretion, will have the power and authority to: (a) determine which Subsidiaries and Affiliates will be covered by this Plan; (b) determine which individuals outside the United States are eligible to participate in this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will increase the Share limitations contained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spacing w:after="0" w:line="60" w:lineRule="exact"/>
        <w:rPr>
          <w:sz w:val="20"/>
          <w:szCs w:val="20"/>
          <w:color w:val="auto"/>
        </w:rPr>
      </w:pPr>
    </w:p>
    <w:p>
      <w:pPr>
        <w:jc w:val="both"/>
        <w:ind w:firstLine="8"/>
        <w:spacing w:after="0" w:line="303" w:lineRule="auto"/>
        <w:tabs>
          <w:tab w:leader="none" w:pos="355"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OPTIONS</w:t>
      </w:r>
      <w:r>
        <w:rPr>
          <w:rFonts w:ascii="Arial" w:cs="Arial" w:eastAsia="Arial" w:hAnsi="Arial"/>
          <w:sz w:val="16"/>
          <w:szCs w:val="16"/>
          <w:color w:val="auto"/>
        </w:rPr>
        <w:t>. An Option is the right but not the obligation to purchase a Share, subject to certain conditions, if applicable. The Committee may grant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to eligible Employees, Consultants, and Directors and will determine whether such Options will be “incentive stock options” within the meaning of the Code (“</w:t>
      </w:r>
      <w:r>
        <w:rPr>
          <w:rFonts w:ascii="Arial" w:cs="Arial" w:eastAsia="Arial" w:hAnsi="Arial"/>
          <w:sz w:val="16"/>
          <w:szCs w:val="16"/>
          <w:b w:val="1"/>
          <w:bCs w:val="1"/>
          <w:i w:val="1"/>
          <w:iCs w:val="1"/>
          <w:color w:val="auto"/>
        </w:rPr>
        <w:t>ISOs</w:t>
      </w:r>
      <w:r>
        <w:rPr>
          <w:rFonts w:ascii="Arial" w:cs="Arial" w:eastAsia="Arial" w:hAnsi="Arial"/>
          <w:sz w:val="16"/>
          <w:szCs w:val="16"/>
          <w:color w:val="auto"/>
        </w:rPr>
        <w:t>”) or Nonqualified Stock Options (“</w:t>
      </w:r>
      <w:r>
        <w:rPr>
          <w:rFonts w:ascii="Arial" w:cs="Arial" w:eastAsia="Arial" w:hAnsi="Arial"/>
          <w:sz w:val="16"/>
          <w:szCs w:val="16"/>
          <w:b w:val="1"/>
          <w:bCs w:val="1"/>
          <w:i w:val="1"/>
          <w:iCs w:val="1"/>
          <w:color w:val="auto"/>
        </w:rPr>
        <w:t>NQSOs</w:t>
      </w:r>
      <w:r>
        <w:rPr>
          <w:rFonts w:ascii="Arial" w:cs="Arial" w:eastAsia="Arial" w:hAnsi="Arial"/>
          <w:sz w:val="16"/>
          <w:szCs w:val="16"/>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NQSO. An Option may be, but need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7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 a</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future date. The Award Agreement will be delivered to the Participant within a reasonable time after the granting of the Option.</w:t>
      </w:r>
    </w:p>
    <w:p>
      <w:pPr>
        <w:spacing w:after="0" w:line="3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Exercise Period</w:t>
      </w:r>
      <w:r>
        <w:rPr>
          <w:rFonts w:ascii="Arial" w:cs="Arial" w:eastAsia="Arial" w:hAnsi="Arial"/>
          <w:sz w:val="17"/>
          <w:szCs w:val="17"/>
          <w:color w:val="auto"/>
        </w:rPr>
        <w:t>. Options may be vested and exercisable within the times or upon the conditions as set forth in the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governing such Option, provided, however, that no Option will be exercisable after the expiration of ten (10) years from the date the Option is granted and provided further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-452120</wp:posOffset>
            </wp:positionV>
            <wp:extent cx="285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4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Option will be determined by the Committee when the Option is granted, provided that: (a)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the Award Agreement and in accordance with any procedures established by the Company.</w:t>
      </w:r>
    </w:p>
    <w:p>
      <w:pPr>
        <w:spacing w:after="0" w:line="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Method of Exercise</w:t>
      </w:r>
      <w:r>
        <w:rPr>
          <w:rFonts w:ascii="Arial" w:cs="Arial" w:eastAsia="Arial" w:hAnsi="Arial"/>
          <w:sz w:val="17"/>
          <w:szCs w:val="17"/>
          <w:color w:val="auto"/>
        </w:rPr>
        <w:t>. Any Option granted hereunder will be vested and exercisable according to the terms of this Plan and at such times and</w:t>
      </w:r>
      <w:r>
        <w:rPr>
          <w:rFonts w:ascii="Arial" w:cs="Arial" w:eastAsia="Arial" w:hAnsi="Arial"/>
          <w:sz w:val="17"/>
          <w:szCs w:val="17"/>
          <w:b w:val="1"/>
          <w:bCs w:val="1"/>
          <w:color w:val="auto"/>
        </w:rPr>
        <w:t xml:space="preserve"> </w:t>
      </w:r>
      <w:r>
        <w:rPr>
          <w:rFonts w:ascii="Arial" w:cs="Arial" w:eastAsia="Arial" w:hAnsi="Arial"/>
          <w:sz w:val="17"/>
          <w:szCs w:val="17"/>
          <w:color w:val="auto"/>
        </w:rPr>
        <w:t>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8"/>
          <w:szCs w:val="18"/>
          <w:color w:val="auto"/>
        </w:rPr>
        <w:t xml:space="preserve">consideration and method of payment authorized by the Committee and permitted by the Award Agreement and this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this Plan.</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5.6.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If the Participant’s Service terminates for any reason except for Cause or the Participant’s death or Disability, then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NQSO), but in any event no later than the expiration date of the Options.</w:t>
      </w:r>
    </w:p>
    <w:p>
      <w:pPr>
        <w:spacing w:after="0" w:line="64" w:lineRule="exact"/>
        <w:rPr>
          <w:sz w:val="20"/>
          <w:szCs w:val="20"/>
          <w:color w:val="auto"/>
        </w:rPr>
      </w:pPr>
    </w:p>
    <w:p>
      <w:pPr>
        <w:jc w:val="both"/>
        <w:ind w:firstLine="1304"/>
        <w:spacing w:after="0" w:line="296" w:lineRule="auto"/>
        <w:tabs>
          <w:tab w:leader="none" w:pos="1689"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spacing w:after="0" w:line="53" w:lineRule="exact"/>
        <w:rPr>
          <w:rFonts w:ascii="Arial" w:cs="Arial" w:eastAsia="Arial" w:hAnsi="Arial"/>
          <w:sz w:val="16"/>
          <w:szCs w:val="16"/>
          <w:color w:val="auto"/>
        </w:rPr>
      </w:pPr>
    </w:p>
    <w:p>
      <w:pPr>
        <w:jc w:val="both"/>
        <w:ind w:firstLine="1304"/>
        <w:spacing w:after="0" w:line="271" w:lineRule="auto"/>
        <w:tabs>
          <w:tab w:leader="none" w:pos="178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time period not less than six (6) months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NQSO), but in any event no later than the expiration date of the Options.</w:t>
      </w:r>
    </w:p>
    <w:p>
      <w:pPr>
        <w:spacing w:after="0" w:line="70" w:lineRule="exact"/>
        <w:rPr>
          <w:rFonts w:ascii="Arial" w:cs="Arial" w:eastAsia="Arial" w:hAnsi="Arial"/>
          <w:sz w:val="17"/>
          <w:szCs w:val="17"/>
          <w:color w:val="auto"/>
        </w:rPr>
      </w:pPr>
    </w:p>
    <w:p>
      <w:pPr>
        <w:jc w:val="both"/>
        <w:ind w:firstLine="1304"/>
        <w:spacing w:after="0" w:line="254" w:lineRule="auto"/>
        <w:tabs>
          <w:tab w:leader="none" w:pos="1729"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Unless otherwise determined by the Committee, if the Participant’s Service terminates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then Participant’s Options (whether or not vested) will expire on the date of termination of Participant’s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this Plan.</w:t>
      </w:r>
    </w:p>
    <w:p>
      <w:pPr>
        <w:spacing w:after="0" w:line="86" w:lineRule="exact"/>
        <w:rPr>
          <w:rFonts w:ascii="Arial" w:cs="Arial" w:eastAsia="Arial" w:hAnsi="Arial"/>
          <w:sz w:val="18"/>
          <w:szCs w:val="18"/>
          <w:color w:val="auto"/>
        </w:rPr>
      </w:pPr>
    </w:p>
    <w:p>
      <w:pPr>
        <w:jc w:val="both"/>
        <w:ind w:firstLine="1304"/>
        <w:spacing w:after="0" w:line="263" w:lineRule="auto"/>
        <w:tabs>
          <w:tab w:leader="none" w:pos="175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Unvested Options</w:t>
      </w:r>
      <w:r>
        <w:rPr>
          <w:rFonts w:ascii="Arial" w:cs="Arial" w:eastAsia="Arial" w:hAnsi="Arial"/>
          <w:sz w:val="18"/>
          <w:szCs w:val="18"/>
          <w:color w:val="auto"/>
        </w:rPr>
        <w:t>. Participant’s unvested Options shall expire on the date of Participant’s termination of Service for any reason (unless Participant’s unvested Options are accelerated upon such termination of Service or are required to remain outstanding for some period post-termination in order to remain eligible for acceleration pursuant to an agreement between Participant and the Company).</w:t>
      </w:r>
    </w:p>
    <w:p>
      <w:pPr>
        <w:spacing w:after="0" w:line="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Limitations on Exercise</w:t>
      </w:r>
      <w:r>
        <w:rPr>
          <w:rFonts w:ascii="Arial" w:cs="Arial" w:eastAsia="Arial" w:hAnsi="Arial"/>
          <w:sz w:val="18"/>
          <w:szCs w:val="18"/>
          <w:color w:val="auto"/>
        </w:rPr>
        <w:t>. The Committee may specify a minimum number of Shares that may be purchased on any exercise of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such minimum number will not prevent any Participant from exercising the Option for the full number of Shares for which it is then exercisable.</w:t>
      </w:r>
    </w:p>
    <w:p>
      <w:pPr>
        <w:spacing w:after="0" w:line="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5.8. </w:t>
      </w:r>
      <w:r>
        <w:rPr>
          <w:rFonts w:ascii="Arial" w:cs="Arial" w:eastAsia="Arial" w:hAnsi="Arial"/>
          <w:sz w:val="17"/>
          <w:szCs w:val="17"/>
          <w:u w:val="single" w:color="auto"/>
          <w:color w:val="auto"/>
        </w:rPr>
        <w:t>Limitations on ISOs</w:t>
      </w:r>
      <w:r>
        <w:rPr>
          <w:rFonts w:ascii="Arial" w:cs="Arial" w:eastAsia="Arial" w:hAnsi="Arial"/>
          <w:sz w:val="17"/>
          <w:szCs w:val="17"/>
          <w:color w:val="auto"/>
        </w:rPr>
        <w:t>. With respect to Awards granted as ISOs, to the extent that the aggregate Fair Market Value of the Shares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which such ISOs are exercisable for the first time by the Participant during any calendar year (under all plans of the Company and any Parent or Subsidiary) exceeds one hundred thousand dollars ($100,000), such Options will be treated as NQSOs. For purposes of this </w:t>
      </w:r>
      <w:r>
        <w:rPr>
          <w:rFonts w:ascii="Arial" w:cs="Arial" w:eastAsia="Arial" w:hAnsi="Arial"/>
          <w:sz w:val="17"/>
          <w:szCs w:val="17"/>
          <w:u w:val="single" w:color="auto"/>
          <w:color w:val="auto"/>
        </w:rPr>
        <w:t>Section 5.8</w:t>
      </w:r>
      <w:r>
        <w:rPr>
          <w:rFonts w:ascii="Arial" w:cs="Arial" w:eastAsia="Arial" w:hAnsi="Arial"/>
          <w:sz w:val="17"/>
          <w:szCs w:val="17"/>
          <w:color w:val="auto"/>
        </w:rPr>
        <w:t>,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 substitution therefor, provided that any such action may not, without the written consent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jc w:val="both"/>
        <w:spacing w:after="0" w:line="275" w:lineRule="auto"/>
        <w:rPr>
          <w:sz w:val="20"/>
          <w:szCs w:val="20"/>
          <w:color w:val="auto"/>
        </w:rPr>
      </w:pPr>
      <w:r>
        <w:rPr>
          <w:rFonts w:ascii="Arial" w:cs="Arial" w:eastAsia="Arial" w:hAnsi="Arial"/>
          <w:sz w:val="17"/>
          <w:szCs w:val="17"/>
          <w:color w:val="auto"/>
        </w:rPr>
        <w:t xml:space="preserve">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prior stockholder approval as is required by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spacing w:after="0" w:line="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68" w:lineRule="exact"/>
        <w:rPr>
          <w:sz w:val="20"/>
          <w:szCs w:val="20"/>
          <w:color w:val="auto"/>
        </w:rPr>
      </w:pPr>
    </w:p>
    <w:p>
      <w:pPr>
        <w:jc w:val="both"/>
        <w:ind w:firstLine="8"/>
        <w:spacing w:after="0" w:line="261" w:lineRule="auto"/>
        <w:tabs>
          <w:tab w:leader="none" w:pos="35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this Plan.</w:t>
      </w:r>
    </w:p>
    <w:p>
      <w:pPr>
        <w:spacing w:after="0" w:line="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a Restricted Stock Award will be determined by the Committee and may be less than Fair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Value on the date the Restricted Stock Award is granted. Payment of the Purchase Price must be made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Plan, and the Award Agreement and in accordance with any procedures established by the Company.</w:t>
      </w:r>
    </w:p>
    <w:p>
      <w:pPr>
        <w:spacing w:after="0" w:line="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54" w:lineRule="exact"/>
        <w:rPr>
          <w:sz w:val="20"/>
          <w:szCs w:val="20"/>
          <w:color w:val="auto"/>
        </w:rPr>
      </w:pPr>
    </w:p>
    <w:p>
      <w:pPr>
        <w:jc w:val="both"/>
        <w:ind w:firstLine="8"/>
        <w:spacing w:after="0" w:line="289" w:lineRule="auto"/>
        <w:tabs>
          <w:tab w:leader="none" w:pos="315"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BONUS AWARDS</w:t>
      </w:r>
      <w:r>
        <w:rPr>
          <w:rFonts w:ascii="Arial" w:cs="Arial" w:eastAsia="Arial" w:hAnsi="Arial"/>
          <w:sz w:val="17"/>
          <w:szCs w:val="17"/>
          <w:color w:val="auto"/>
        </w:rPr>
        <w:t>. A Stock Bonus Award is an award to an eligible Employee, Consultant, or Director of Shares for Services to be rendered</w:t>
      </w:r>
      <w:r>
        <w:rPr>
          <w:rFonts w:ascii="Arial" w:cs="Arial" w:eastAsia="Arial" w:hAnsi="Arial"/>
          <w:sz w:val="17"/>
          <w:szCs w:val="17"/>
          <w:b w:val="1"/>
          <w:bCs w:val="1"/>
          <w:color w:val="auto"/>
        </w:rPr>
        <w:t xml:space="preserve"> </w:t>
      </w:r>
      <w:r>
        <w:rPr>
          <w:rFonts w:ascii="Arial" w:cs="Arial" w:eastAsia="Arial" w:hAnsi="Arial"/>
          <w:sz w:val="17"/>
          <w:szCs w:val="17"/>
          <w:color w:val="auto"/>
        </w:rPr>
        <w:t>or for past Services already rendered to the Company or any Parent, Subsidiary, or Affiliate. All Stock Bonus Awards will be made pursuant to an Award Agreement. No payment from the Participant will be required for Shares awarded pursuant to a Stock Bonus Award.</w:t>
      </w:r>
    </w:p>
    <w:p>
      <w:pPr>
        <w:spacing w:after="0" w:line="5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u w:val="single" w:color="auto"/>
          <w:color w:val="auto"/>
        </w:rPr>
        <w:t>Terms of Stock Bonus Awards</w:t>
      </w:r>
      <w:r>
        <w:rPr>
          <w:rFonts w:ascii="Arial" w:cs="Arial" w:eastAsia="Arial" w:hAnsi="Arial"/>
          <w:sz w:val="16"/>
          <w:szCs w:val="16"/>
          <w:color w:val="auto"/>
        </w:rPr>
        <w:t>. The Committee will determine the number of Shares to be awarded to the Participant under a Stock Bonus</w:t>
      </w:r>
      <w:r>
        <w:rPr>
          <w:rFonts w:ascii="Arial" w:cs="Arial" w:eastAsia="Arial" w:hAnsi="Arial"/>
          <w:sz w:val="16"/>
          <w:szCs w:val="16"/>
          <w:b w:val="1"/>
          <w:bCs w:val="1"/>
          <w:color w:val="auto"/>
        </w:rPr>
        <w:t xml:space="preserve"> </w:t>
      </w:r>
      <w:r>
        <w:rPr>
          <w:rFonts w:ascii="Arial" w:cs="Arial" w:eastAsia="Arial" w:hAnsi="Arial"/>
          <w:sz w:val="16"/>
          <w:szCs w:val="16"/>
          <w:color w:val="auto"/>
        </w:rPr>
        <w:t>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of the Shares earned under a Stock Bonus Award on the date of payment, as determined in the sole discretion of the Committee.</w:t>
      </w:r>
    </w:p>
    <w:p>
      <w:pPr>
        <w:spacing w:after="0" w:line="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jc w:val="both"/>
        <w:ind w:firstLine="8"/>
        <w:spacing w:after="0" w:line="281" w:lineRule="auto"/>
        <w:tabs>
          <w:tab w:leader="none" w:pos="328"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color w:val="auto"/>
        </w:rPr>
        <w:t>. 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spacing w:after="0" w:line="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u w:val="single" w:color="auto"/>
          <w:color w:val="auto"/>
        </w:rPr>
        <w:t>Terms of SARs</w:t>
      </w:r>
      <w:r>
        <w:rPr>
          <w:rFonts w:ascii="Arial" w:cs="Arial" w:eastAsia="Arial" w:hAnsi="Arial"/>
          <w:sz w:val="16"/>
          <w:szCs w:val="16"/>
          <w:color w:val="auto"/>
        </w:rPr>
        <w:t>. The Committee will determine the terms of each SAR including, without limitation: (a) the number of Shares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u w:val="single" w:color="auto"/>
          <w:color w:val="auto"/>
        </w:rPr>
        <w:t>Exercise Period and Expiration Date</w:t>
      </w:r>
      <w:r>
        <w:rPr>
          <w:rFonts w:ascii="Arial" w:cs="Arial" w:eastAsia="Arial" w:hAnsi="Arial"/>
          <w:sz w:val="18"/>
          <w:szCs w:val="18"/>
          <w:color w:val="auto"/>
        </w:rPr>
        <w:t>. A SAR will be exercisable within the times or upon the occurrence of events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and set forth in the Award 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Notwithstanding the foregoing, the rules of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also will apply to SARs.</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terms of the SAR and any deferral satisfy the requirements of Section 409A of the Code to the extent applicable.</w:t>
      </w:r>
    </w:p>
    <w:p>
      <w:pPr>
        <w:spacing w:after="0" w:line="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54" w:lineRule="exact"/>
        <w:rPr>
          <w:sz w:val="20"/>
          <w:szCs w:val="20"/>
          <w:color w:val="auto"/>
        </w:rPr>
      </w:pPr>
    </w:p>
    <w:p>
      <w:pPr>
        <w:jc w:val="both"/>
        <w:ind w:firstLine="8"/>
        <w:spacing w:after="0" w:line="266" w:lineRule="auto"/>
        <w:tabs>
          <w:tab w:leader="none" w:pos="31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may be settled by issuance of those Shares (which may consist of Restricted Stock) or in cash. All RSUs will be made pursuant to an Award Agreement.</w:t>
      </w:r>
    </w:p>
    <w:p>
      <w:pPr>
        <w:spacing w:after="0" w:line="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u w:val="single" w:color="auto"/>
          <w:color w:val="auto"/>
        </w:rPr>
        <w:t>Terms of RSUs</w:t>
      </w:r>
      <w:r>
        <w:rPr>
          <w:rFonts w:ascii="Arial" w:cs="Arial" w:eastAsia="Arial" w:hAnsi="Arial"/>
          <w:sz w:val="17"/>
          <w:szCs w:val="17"/>
          <w:color w:val="auto"/>
        </w:rPr>
        <w:t>. The Committee will determine the terms of an RSU including, without limitation: (a) the number of Shares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RSU, (b) the time or times during 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will be made as soon as practicable after the date(s)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set forth in the Award Agreement. The Committee, in its sole discretion, may settle earned RSUs in cash, Shares, or a combination of both. The Committee may also permit a Participant to defer payment under a RSU to a date or dates after the RSU is earned,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terms of the RSU and any deferral satisfy the requirements of Section 409A of the Code to the extent applicable.</w:t>
      </w:r>
    </w:p>
    <w:p>
      <w:pPr>
        <w:spacing w:after="0" w:line="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54"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color w:val="auto"/>
        </w:rPr>
        <w: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Performance Award is an award to an eligible Employee, Consultant, or Director that is based upon the attainment of performance goals, as established by the Committee, and other terms and conditions specified by the Committee, and may be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settled in cash, Shares (which may consist of, without limitation, Restricted Stock), other property, or any combination thereof, and may be cash-based.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Grants of Performance Awards will be made pursuant to an Award Agreement.</w:t>
      </w:r>
    </w:p>
    <w:p>
      <w:pPr>
        <w:spacing w:after="0" w:line="9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cash-settled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as set forth in Sections 10.1(a), 10.1(b) and 10.1(c) below.</w:t>
      </w:r>
    </w:p>
    <w:p>
      <w:pPr>
        <w:spacing w:after="0" w:line="58" w:lineRule="exact"/>
        <w:rPr>
          <w:sz w:val="20"/>
          <w:szCs w:val="20"/>
          <w:color w:val="auto"/>
        </w:rPr>
      </w:pPr>
    </w:p>
    <w:p>
      <w:pPr>
        <w:ind w:firstLine="1304"/>
        <w:spacing w:after="0" w:line="308" w:lineRule="auto"/>
        <w:tabs>
          <w:tab w:leader="none" w:pos="1729"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38" w:lineRule="exact"/>
        <w:rPr>
          <w:rFonts w:ascii="Arial" w:cs="Arial" w:eastAsia="Arial" w:hAnsi="Arial"/>
          <w:sz w:val="17"/>
          <w:szCs w:val="17"/>
          <w:color w:val="auto"/>
        </w:rPr>
      </w:pPr>
    </w:p>
    <w:p>
      <w:pPr>
        <w:ind w:firstLine="1304"/>
        <w:spacing w:after="0" w:line="277" w:lineRule="auto"/>
        <w:tabs>
          <w:tab w:leader="none" w:pos="168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The Committee may grant Awards of Performance Units, designate the Participants to whom Performance Units are to be awarded and determine the number of Performance Units and the terms and conditions of each such Award.</w:t>
      </w:r>
    </w:p>
    <w:p>
      <w:pPr>
        <w:spacing w:after="0" w:line="62" w:lineRule="exact"/>
        <w:rPr>
          <w:rFonts w:ascii="Arial" w:cs="Arial" w:eastAsia="Arial" w:hAnsi="Arial"/>
          <w:sz w:val="18"/>
          <w:szCs w:val="18"/>
          <w:color w:val="auto"/>
        </w:rPr>
      </w:pPr>
    </w:p>
    <w:p>
      <w:pPr>
        <w:ind w:firstLine="1304"/>
        <w:spacing w:after="0" w:line="277" w:lineRule="auto"/>
        <w:tabs>
          <w:tab w:leader="none" w:pos="171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Cash-Settled Performance Awards</w:t>
      </w:r>
      <w:r>
        <w:rPr>
          <w:rFonts w:ascii="Arial" w:cs="Arial" w:eastAsia="Arial" w:hAnsi="Arial"/>
          <w:sz w:val="18"/>
          <w:szCs w:val="18"/>
          <w:color w:val="auto"/>
        </w:rPr>
        <w:t>. The Committee may also grant cash-settled Performance Awards, designate the Participants to whom cash-settled Performance Awards are to be awarded and determine the terms and conditions of each such Award.</w:t>
      </w:r>
    </w:p>
    <w:p>
      <w:pPr>
        <w:spacing w:after="0" w:line="62"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amount to be paid under any Performance Award may be adjusted on the basis of such further consideration as the Committee shall determine in its sole discretion.</w:t>
      </w:r>
    </w:p>
    <w:p>
      <w:pPr>
        <w:spacing w:after="0" w:line="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u w:val="single" w:color="auto"/>
          <w:color w:val="auto"/>
        </w:rPr>
        <w:t>Terms of Performance Awards</w:t>
      </w:r>
      <w:r>
        <w:rPr>
          <w:rFonts w:ascii="Arial" w:cs="Arial" w:eastAsia="Arial" w:hAnsi="Arial"/>
          <w:sz w:val="16"/>
          <w:szCs w:val="16"/>
          <w:color w:val="auto"/>
        </w:rPr>
        <w:t>. Performance Awards will be based on the attainment of performance goals using the Performance Factors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this Plan that are established by the Committee for the relevant Performance Period. The Committee will determine, and each Award Agreement will set forth, the terms of each Performance Award including, without limitation: (a) the amount of any cash bonus, (b) the number of Shares deemed subject to a Performance Award, (c) the Performance Factors and Performance Period that will determine the time and extent to which each Performance Award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(iii) 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5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54" w:lineRule="exact"/>
        <w:rPr>
          <w:sz w:val="20"/>
          <w:szCs w:val="20"/>
          <w:color w:val="auto"/>
        </w:rPr>
      </w:pPr>
    </w:p>
    <w:p>
      <w:pPr>
        <w:jc w:val="both"/>
        <w:ind w:firstLine="8"/>
        <w:spacing w:after="0" w:line="266" w:lineRule="auto"/>
        <w:tabs>
          <w:tab w:leader="none" w:pos="42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 Payment from a Participant for Shares purchased pursuant to this Plan may be made in cash or by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or, where expressly approved for the Participant by the Committee and where permitted by law (and to the extent not otherwise set forth in the applicable Award Agreement):</w:t>
      </w:r>
    </w:p>
    <w:p>
      <w:pPr>
        <w:spacing w:after="0" w:line="71" w:lineRule="exact"/>
        <w:rPr>
          <w:rFonts w:ascii="Arial" w:cs="Arial" w:eastAsia="Arial" w:hAnsi="Arial"/>
          <w:sz w:val="18"/>
          <w:szCs w:val="18"/>
          <w:b w:val="1"/>
          <w:bCs w:val="1"/>
          <w:color w:val="auto"/>
        </w:rPr>
      </w:pPr>
    </w:p>
    <w:p>
      <w:pPr>
        <w:ind w:left="1680" w:hanging="376"/>
        <w:spacing w:after="0"/>
        <w:tabs>
          <w:tab w:leader="none" w:pos="1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17" w:lineRule="exact"/>
        <w:rPr>
          <w:rFonts w:ascii="Arial" w:cs="Arial" w:eastAsia="Arial" w:hAnsi="Arial"/>
          <w:sz w:val="18"/>
          <w:szCs w:val="18"/>
          <w:color w:val="auto"/>
        </w:rPr>
      </w:pPr>
    </w:p>
    <w:p>
      <w:pPr>
        <w:ind w:firstLine="1304"/>
        <w:spacing w:after="0" w:line="277" w:lineRule="auto"/>
        <w:tabs>
          <w:tab w:leader="none" w:pos="1722" w:val="left"/>
        </w:tabs>
        <w:numPr>
          <w:ilvl w:val="1"/>
          <w:numId w:val="59"/>
        </w:numPr>
        <w:rPr>
          <w:rFonts w:ascii="Arial" w:cs="Arial" w:eastAsia="Arial" w:hAnsi="Arial"/>
          <w:sz w:val="18"/>
          <w:szCs w:val="18"/>
          <w:color w:val="auto"/>
        </w:rPr>
      </w:pPr>
      <w:r>
        <w:rPr>
          <w:rFonts w:ascii="Arial" w:cs="Arial" w:eastAsia="Arial" w:hAnsi="Arial"/>
          <w:sz w:val="18"/>
          <w:szCs w:val="18"/>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62" w:lineRule="exact"/>
        <w:rPr>
          <w:rFonts w:ascii="Arial" w:cs="Arial" w:eastAsia="Arial" w:hAnsi="Arial"/>
          <w:sz w:val="18"/>
          <w:szCs w:val="18"/>
          <w:color w:val="auto"/>
        </w:rPr>
      </w:pPr>
    </w:p>
    <w:p>
      <w:pPr>
        <w:ind w:left="1740" w:hanging="436"/>
        <w:spacing w:after="0"/>
        <w:tabs>
          <w:tab w:leader="none" w:pos="17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or Affiliate;</w:t>
      </w:r>
    </w:p>
    <w:p>
      <w:pPr>
        <w:spacing w:after="0" w:line="102" w:lineRule="exact"/>
        <w:rPr>
          <w:rFonts w:ascii="Arial" w:cs="Arial" w:eastAsia="Arial" w:hAnsi="Arial"/>
          <w:sz w:val="16"/>
          <w:szCs w:val="16"/>
          <w:color w:val="auto"/>
        </w:rPr>
      </w:pPr>
    </w:p>
    <w:p>
      <w:pPr>
        <w:ind w:right="20" w:firstLine="1304"/>
        <w:spacing w:after="0" w:line="277" w:lineRule="auto"/>
        <w:tabs>
          <w:tab w:leader="none" w:pos="16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this Plan;</w:t>
      </w:r>
    </w:p>
    <w:p>
      <w:pPr>
        <w:spacing w:after="0" w:line="62" w:lineRule="exact"/>
        <w:rPr>
          <w:rFonts w:ascii="Arial" w:cs="Arial" w:eastAsia="Arial" w:hAnsi="Arial"/>
          <w:sz w:val="18"/>
          <w:szCs w:val="18"/>
          <w:color w:val="auto"/>
        </w:rPr>
      </w:pPr>
    </w:p>
    <w:p>
      <w:pPr>
        <w:ind w:left="1680" w:hanging="376"/>
        <w:spacing w:after="0"/>
        <w:tabs>
          <w:tab w:leader="none" w:pos="1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117" w:lineRule="exact"/>
        <w:rPr>
          <w:rFonts w:ascii="Arial" w:cs="Arial" w:eastAsia="Arial" w:hAnsi="Arial"/>
          <w:sz w:val="18"/>
          <w:szCs w:val="18"/>
          <w:color w:val="auto"/>
        </w:rPr>
      </w:pPr>
    </w:p>
    <w:p>
      <w:pPr>
        <w:ind w:left="1660" w:hanging="356"/>
        <w:spacing w:after="0"/>
        <w:tabs>
          <w:tab w:leader="none" w:pos="1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such limitation is necessary or advisable to comply with applicable law or facilitate the administration of this Plan. Unless determined otherwise by the Committee, all payments under any of the methods indicated above shall be made in United States dollars.</w:t>
      </w:r>
    </w:p>
    <w:p>
      <w:pPr>
        <w:spacing w:after="0" w:line="72"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GRANTS TO NON-EMPLOYEE DIRECTORS</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Grants and Eligibility</w:t>
      </w:r>
      <w:r>
        <w:rPr>
          <w:rFonts w:ascii="Arial" w:cs="Arial" w:eastAsia="Arial" w:hAnsi="Arial"/>
          <w:sz w:val="18"/>
          <w:szCs w:val="18"/>
          <w:color w:val="auto"/>
        </w:rPr>
        <w:t>. Awards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granted only to Non-Employee Directors who are eligible to receive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type of Award offered under this Plan except ISOs. Awards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may be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automatically made pursuant to a policy adopted by the Board, or made from time to time as determined in the discretion of the Board.</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u w:val="single" w:color="auto"/>
          <w:color w:val="auto"/>
        </w:rPr>
        <w:t>Calendar Year Limitation</w:t>
      </w:r>
      <w:r>
        <w:rPr>
          <w:rFonts w:ascii="Arial" w:cs="Arial" w:eastAsia="Arial" w:hAnsi="Arial"/>
          <w:sz w:val="17"/>
          <w:szCs w:val="17"/>
          <w:color w:val="auto"/>
        </w:rPr>
        <w:t>. A Non-Employee Director may not receive Awards under this Plan that, when combined with cash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compensation received for service as a Non-Employee Director, exceed (x) $750,000 in value (as described below) in any calendar year, for continuing Non-Employee Directors, or (y) $1,500,000 in value (as described below) in the initial calendar year, for a new Non-Employee Director. The value of Awards for purposes of complying with this maximum will be determined as follows: (a) for Options and SARs, grant date fair value will be calculated using the Black-Scholes valuation methodology or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they were serving in the capacity as an Employee or while they were a Consultant but not a Non-Employee Director will not count for purposes of the limitations set forth in this </w:t>
      </w:r>
      <w:r>
        <w:rPr>
          <w:rFonts w:ascii="Arial" w:cs="Arial" w:eastAsia="Arial" w:hAnsi="Arial"/>
          <w:sz w:val="17"/>
          <w:szCs w:val="17"/>
          <w:u w:val="single" w:color="auto"/>
          <w:color w:val="auto"/>
        </w:rPr>
        <w:t>Section 12.2</w:t>
      </w:r>
      <w:r>
        <w:rPr>
          <w:rFonts w:ascii="Arial" w:cs="Arial" w:eastAsia="Arial" w:hAnsi="Arial"/>
          <w:sz w:val="17"/>
          <w:szCs w:val="17"/>
          <w:color w:val="auto"/>
        </w:rPr>
        <w:t>.</w:t>
      </w:r>
    </w:p>
    <w:p>
      <w:pPr>
        <w:spacing w:after="0" w:line="69"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color w:val="auto"/>
        </w:rPr>
        <w:t>, Awards will vest, become exercisable, and be settled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The Exercise Price of Options and SARs granted to Non-Employee Directors will not be less than the Fair Market Value of the Shares at the time that such Option or SAR is granted.</w:t>
      </w:r>
    </w:p>
    <w:p>
      <w:pPr>
        <w:spacing w:after="0" w:line="6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u w:val="single" w:color="auto"/>
          <w:color w:val="auto"/>
        </w:rPr>
        <w:t>Election to Receive Awards in Lieu of Cash</w:t>
      </w:r>
      <w:r>
        <w:rPr>
          <w:rFonts w:ascii="Arial" w:cs="Arial" w:eastAsia="Arial" w:hAnsi="Arial"/>
          <w:sz w:val="16"/>
          <w:szCs w:val="16"/>
          <w:color w:val="auto"/>
        </w:rPr>
        <w:t>. If permitted by the Committee, a Non-Employee Director may elect to receive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annual retainer payments and/or meeting fees from the Company in the form of cash or Awards or a combination thereof, as determined by the Committee. Such Awards will be issued under this Plan. An election under this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will be filed with the Company on the form prescribed by the Company.</w:t>
      </w:r>
    </w:p>
    <w:p>
      <w:pPr>
        <w:spacing w:after="0" w:line="34"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117"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Whenever Shares are to be issued in satisfaction of Awards granted under this Plan or a tax event occurs,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require the Participant to remit to the Company, or to the Parent, Subsidiary, or Affiliate, as applicable, employing the Participant an amount sufficient to satisfy applicable U.S. federal, state, local, and international income tax, social insurance, payroll tax, fringe benefits tax, payment on account or other tax</w:t>
      </w:r>
      <w:r>
        <w:rPr>
          <w:rFonts w:ascii="MS PGothic" w:cs="MS PGothic" w:eastAsia="MS PGothic" w:hAnsi="MS PGothic"/>
          <w:sz w:val="17"/>
          <w:szCs w:val="17"/>
          <w:color w:val="auto"/>
        </w:rPr>
        <w:t>‑</w:t>
      </w:r>
      <w:r>
        <w:rPr>
          <w:rFonts w:ascii="Arial" w:cs="Arial" w:eastAsia="Arial" w:hAnsi="Arial"/>
          <w:sz w:val="17"/>
          <w:szCs w:val="17"/>
          <w:color w:val="auto"/>
        </w:rPr>
        <w:t>related items (the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legally due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u w:val="single" w:color="auto"/>
          <w:color w:val="auto"/>
        </w:rPr>
        <w:t>Stock Withholding</w:t>
      </w:r>
      <w:r>
        <w:rPr>
          <w:rFonts w:ascii="Arial" w:cs="Arial" w:eastAsia="Arial" w:hAnsi="Arial"/>
          <w:sz w:val="17"/>
          <w:szCs w:val="17"/>
          <w:color w:val="auto"/>
        </w:rPr>
        <w:t>. The Committee, or its delegate(s), as permitted by applicable law, in its sole discretion and pursuant to such procedures</w:t>
      </w:r>
      <w:r>
        <w:rPr>
          <w:rFonts w:ascii="Arial" w:cs="Arial" w:eastAsia="Arial" w:hAnsi="Arial"/>
          <w:sz w:val="17"/>
          <w:szCs w:val="17"/>
          <w:b w:val="1"/>
          <w:bCs w:val="1"/>
          <w:color w:val="auto"/>
        </w:rPr>
        <w:t xml:space="preserve"> </w:t>
      </w:r>
      <w:r>
        <w:rPr>
          <w:rFonts w:ascii="Arial" w:cs="Arial" w:eastAsia="Arial" w:hAnsi="Arial"/>
          <w:sz w:val="17"/>
          <w:szCs w:val="17"/>
          <w:color w:val="auto"/>
        </w:rPr>
        <w:t>as it may specify from time to time and subject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w:t>
      </w:r>
    </w:p>
    <w:p>
      <w:pPr>
        <w:spacing w:after="0" w:line="64" w:lineRule="exact"/>
        <w:rPr>
          <w:sz w:val="20"/>
          <w:szCs w:val="20"/>
          <w:color w:val="auto"/>
        </w:rPr>
      </w:pPr>
    </w:p>
    <w:p>
      <w:pPr>
        <w:jc w:val="both"/>
        <w:ind w:firstLine="8"/>
        <w:spacing w:after="0" w:line="286" w:lineRule="auto"/>
        <w:tabs>
          <w:tab w:leader="none" w:pos="418"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TRANSFERABILITY</w:t>
      </w:r>
      <w:r>
        <w:rPr>
          <w:rFonts w:ascii="Arial" w:cs="Arial" w:eastAsia="Arial" w:hAnsi="Arial"/>
          <w:sz w:val="16"/>
          <w:szCs w:val="16"/>
          <w:color w:val="auto"/>
        </w:rPr>
        <w:t>. Unless determined otherwise by the Committee, an Award may not be sold, pledged, assigned, hypothecated, transferred, or</w:t>
      </w:r>
      <w:r>
        <w:rPr>
          <w:rFonts w:ascii="Arial" w:cs="Arial" w:eastAsia="Arial" w:hAnsi="Arial"/>
          <w:sz w:val="16"/>
          <w:szCs w:val="16"/>
          <w:b w:val="1"/>
          <w:bCs w:val="1"/>
          <w:color w:val="auto"/>
        </w:rPr>
        <w:t xml:space="preserve"> </w:t>
      </w:r>
      <w:r>
        <w:rPr>
          <w:rFonts w:ascii="Arial" w:cs="Arial" w:eastAsia="Arial" w:hAnsi="Arial"/>
          <w:sz w:val="16"/>
          <w:szCs w:val="16"/>
          <w:color w:val="auto"/>
        </w:rPr>
        <w:t>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w:t>
      </w:r>
    </w:p>
    <w:p>
      <w:pPr>
        <w:spacing w:after="0" w:line="2" w:lineRule="exact"/>
        <w:rPr>
          <w:rFonts w:ascii="Arial" w:cs="Arial" w:eastAsia="Arial" w:hAnsi="Arial"/>
          <w:sz w:val="16"/>
          <w:szCs w:val="16"/>
          <w:b w:val="1"/>
          <w:bCs w:val="1"/>
          <w:color w:val="auto"/>
        </w:rPr>
      </w:pPr>
    </w:p>
    <w:p>
      <w:pPr>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(b) after the Participant’s death, by the legal representative of the Participant’s heirs or legatees; and (c) in the case of all awards except ISOs, by a Permitted Transferee.</w:t>
      </w:r>
    </w:p>
    <w:p>
      <w:pPr>
        <w:spacing w:after="0" w:line="73" w:lineRule="exact"/>
        <w:rPr>
          <w:rFonts w:ascii="Arial" w:cs="Arial" w:eastAsia="Arial" w:hAnsi="Arial"/>
          <w:sz w:val="16"/>
          <w:szCs w:val="16"/>
          <w:b w:val="1"/>
          <w:bCs w:val="1"/>
          <w:color w:val="auto"/>
        </w:rPr>
      </w:pPr>
    </w:p>
    <w:p>
      <w:pPr>
        <w:ind w:left="420" w:hanging="412"/>
        <w:spacing w:after="0"/>
        <w:tabs>
          <w:tab w:leader="none" w:pos="4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1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u w:val="single" w:color="auto"/>
          <w:color w:val="auto"/>
        </w:rPr>
        <w:t>Voting and Dividends</w:t>
      </w:r>
      <w:r>
        <w:rPr>
          <w:rFonts w:ascii="Arial" w:cs="Arial" w:eastAsia="Arial" w:hAnsi="Arial"/>
          <w:sz w:val="18"/>
          <w:szCs w:val="18"/>
          <w:color w:val="auto"/>
        </w:rPr>
        <w:t>. No Participant will have any of the rights of a stockholder with respect to any Shares until the Shares are issued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except for any Dividend Equivalent Rights permitted by an applicable Award Agreement. Any Dividend Equivalent Rights will be subject to the same vesting or performance conditions as the underlying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jc w:val="both"/>
        <w:spacing w:after="0" w:line="268" w:lineRule="auto"/>
        <w:rPr>
          <w:sz w:val="20"/>
          <w:szCs w:val="20"/>
          <w:color w:val="auto"/>
        </w:rPr>
      </w:pPr>
      <w:r>
        <w:rPr>
          <w:rFonts w:ascii="Arial" w:cs="Arial" w:eastAsia="Arial" w:hAnsi="Arial"/>
          <w:sz w:val="17"/>
          <w:szCs w:val="17"/>
          <w:color w:val="auto"/>
        </w:rPr>
        <w:t xml:space="preserve">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Shares are Restricted Stock, then any new, additional or different securities, or cash dividends, the Participant may become entitled to receive with respect to such Shares by virtue of a stock dividend, cash dividend, stock split or any other change in the corporate or capital structure of the Company will be subject to the same restrictions as the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Participant will have no right to such stock dividends, cash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Arial" w:cs="Arial" w:eastAsia="Arial" w:hAnsi="Arial"/>
          <w:sz w:val="17"/>
          <w:szCs w:val="17"/>
          <w:u w:val="single" w:color="auto"/>
          <w:color w:val="auto"/>
        </w:rPr>
        <w:t>provided</w:t>
      </w:r>
      <w:r>
        <w:rPr>
          <w:rFonts w:ascii="Arial" w:cs="Arial" w:eastAsia="Arial" w:hAnsi="Arial"/>
          <w:sz w:val="17"/>
          <w:szCs w:val="17"/>
          <w:color w:val="auto"/>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w:t>
      </w:r>
    </w:p>
    <w:p>
      <w:pPr>
        <w:spacing w:after="0" w:line="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 repurchase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75" w:lineRule="exact"/>
        <w:rPr>
          <w:sz w:val="20"/>
          <w:szCs w:val="20"/>
          <w:color w:val="auto"/>
        </w:rPr>
      </w:pPr>
    </w:p>
    <w:p>
      <w:pPr>
        <w:jc w:val="both"/>
        <w:ind w:firstLine="8"/>
        <w:spacing w:after="0" w:line="281" w:lineRule="auto"/>
        <w:tabs>
          <w:tab w:leader="none" w:pos="445"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color w:val="auto"/>
        </w:rPr>
        <w:t>. All Shares or other securities whether or not certificated, delivered under this Plan will be subject to such stock transfer orders,</w:t>
      </w:r>
      <w:r>
        <w:rPr>
          <w:rFonts w:ascii="Arial" w:cs="Arial" w:eastAsia="Arial" w:hAnsi="Arial"/>
          <w:sz w:val="17"/>
          <w:szCs w:val="17"/>
          <w:b w:val="1"/>
          <w:bCs w:val="1"/>
          <w:color w:val="auto"/>
        </w:rPr>
        <w:t xml:space="preserve"> </w:t>
      </w:r>
      <w:r>
        <w:rPr>
          <w:rFonts w:ascii="Arial" w:cs="Arial" w:eastAsia="Arial" w:hAnsi="Arial"/>
          <w:sz w:val="17"/>
          <w:szCs w:val="17"/>
          <w:color w:val="auto"/>
        </w:rPr>
        <w:t>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56" w:lineRule="exact"/>
        <w:rPr>
          <w:rFonts w:ascii="Arial" w:cs="Arial" w:eastAsia="Arial" w:hAnsi="Arial"/>
          <w:sz w:val="17"/>
          <w:szCs w:val="17"/>
          <w:b w:val="1"/>
          <w:bCs w:val="1"/>
          <w:color w:val="auto"/>
        </w:rPr>
      </w:pPr>
    </w:p>
    <w:p>
      <w:pPr>
        <w:jc w:val="both"/>
        <w:ind w:firstLine="8"/>
        <w:spacing w:after="0" w:line="289" w:lineRule="auto"/>
        <w:tabs>
          <w:tab w:leader="none" w:pos="43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ESCROW; PLEDGE OF SHARES</w:t>
      </w:r>
      <w:r>
        <w:rPr>
          <w:rFonts w:ascii="Arial" w:cs="Arial" w:eastAsia="Arial" w:hAnsi="Arial"/>
          <w:sz w:val="16"/>
          <w:szCs w:val="16"/>
          <w:color w:val="auto"/>
        </w:rPr>
        <w:t>. To enforce any restrictions on a Participant’s Shares, the Committee may require the Participant to deposit all</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52" w:lineRule="exact"/>
        <w:rPr>
          <w:rFonts w:ascii="Arial" w:cs="Arial" w:eastAsia="Arial" w:hAnsi="Arial"/>
          <w:sz w:val="16"/>
          <w:szCs w:val="16"/>
          <w:b w:val="1"/>
          <w:bCs w:val="1"/>
          <w:color w:val="auto"/>
        </w:rPr>
      </w:pPr>
    </w:p>
    <w:p>
      <w:pPr>
        <w:ind w:firstLine="8"/>
        <w:spacing w:after="0" w:line="282" w:lineRule="auto"/>
        <w:tabs>
          <w:tab w:leader="none" w:pos="40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color w:val="auto"/>
        </w:rPr>
        <w:t>. The repricing of Options or SARs, including pursuant to an Exchange Program, is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without prior stockholder approval.</w:t>
      </w:r>
    </w:p>
    <w:p>
      <w:pPr>
        <w:spacing w:after="0" w:line="53" w:lineRule="exact"/>
        <w:rPr>
          <w:rFonts w:ascii="Arial" w:cs="Arial" w:eastAsia="Arial" w:hAnsi="Arial"/>
          <w:sz w:val="18"/>
          <w:szCs w:val="18"/>
          <w:b w:val="1"/>
          <w:bCs w:val="1"/>
          <w:color w:val="auto"/>
        </w:rPr>
      </w:pPr>
    </w:p>
    <w:p>
      <w:pPr>
        <w:jc w:val="both"/>
        <w:ind w:firstLine="8"/>
        <w:spacing w:after="0" w:line="289" w:lineRule="auto"/>
        <w:tabs>
          <w:tab w:leader="none" w:pos="405"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LAW AND OTHER REGULATORY COMPLIANCE</w:t>
      </w:r>
      <w:r>
        <w:rPr>
          <w:rFonts w:ascii="Arial" w:cs="Arial" w:eastAsia="Arial" w:hAnsi="Arial"/>
          <w:sz w:val="16"/>
          <w:szCs w:val="16"/>
          <w:color w:val="auto"/>
        </w:rPr>
        <w:t>. An Award will not be effective unless such Award is in compliance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58" w:lineRule="exact"/>
        <w:rPr>
          <w:rFonts w:ascii="Arial" w:cs="Arial" w:eastAsia="Arial" w:hAnsi="Arial"/>
          <w:sz w:val="16"/>
          <w:szCs w:val="16"/>
          <w:b w:val="1"/>
          <w:bCs w:val="1"/>
          <w:color w:val="auto"/>
        </w:rPr>
      </w:pPr>
    </w:p>
    <w:p>
      <w:pPr>
        <w:ind w:firstLine="8"/>
        <w:spacing w:after="0" w:line="282" w:lineRule="auto"/>
        <w:tabs>
          <w:tab w:leader="none" w:pos="40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EMPLOY</w:t>
      </w:r>
      <w:r>
        <w:rPr>
          <w:rFonts w:ascii="Arial" w:cs="Arial" w:eastAsia="Arial" w:hAnsi="Arial"/>
          <w:sz w:val="18"/>
          <w:szCs w:val="18"/>
          <w:color w:val="auto"/>
        </w:rPr>
        <w:t>. Nothing in this Plan or any Award granted under this Plan will confer or be deemed to confer on any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to continue in the employ of, or to continue any other relationship with,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spacing w:after="0" w:line="277" w:lineRule="auto"/>
        <w:rPr>
          <w:sz w:val="20"/>
          <w:szCs w:val="20"/>
          <w:color w:val="auto"/>
        </w:rPr>
      </w:pPr>
      <w:r>
        <w:rPr>
          <w:rFonts w:ascii="Arial" w:cs="Arial" w:eastAsia="Arial" w:hAnsi="Arial"/>
          <w:sz w:val="18"/>
          <w:szCs w:val="18"/>
          <w:color w:val="auto"/>
        </w:rPr>
        <w:t>Company or any Parent, Subsidiary, or Affiliate or limit in any way the right of the Company or any Parent, Subsidiary, or Affiliate to terminate Participant’s employment or other relationship at any time.</w:t>
      </w:r>
    </w:p>
    <w:p>
      <w:pPr>
        <w:spacing w:after="0" w:line="58"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21.1. </w:t>
      </w:r>
      <w:r>
        <w:rPr>
          <w:rFonts w:ascii="Arial" w:cs="Arial" w:eastAsia="Arial" w:hAnsi="Arial"/>
          <w:sz w:val="17"/>
          <w:szCs w:val="17"/>
          <w:u w:val="single" w:color="auto"/>
          <w:color w:val="auto"/>
        </w:rPr>
        <w:t>Treatment of Awards in the event of Corporate Transaction</w:t>
      </w:r>
      <w:r>
        <w:rPr>
          <w:rFonts w:ascii="Arial" w:cs="Arial" w:eastAsia="Arial" w:hAnsi="Arial"/>
          <w:sz w:val="17"/>
          <w:szCs w:val="17"/>
          <w:color w:val="auto"/>
        </w:rPr>
        <w:t>. In the event of a Corporate Transaction any or all outstanding Awards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definitive agreement related thereto, and may be (a) continued, assumed or replaced by the successor corporation, which assumption or replacement shall be binding on all Participants,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(b) substituted by the successor corporation for equivalent awards or substantially similar consideration as was provided to stockholders (after taking into account the existing provisions of the Awards),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(c)replaced with substantially similar shares or other property subject to repurchase restrictions no less favorable to the Participant, (d) immediately vested (and exercisable, as applicable) and settled (as applicable), followed by the cancellation of such Awards upon or immediately prior to the effectiveness of such transaction or (e)settled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and, for the avoidance of doubt, if as of the date of the occurrence of the Corporate Transaction, the Committee determines in good faith that no amount would have been attained upon the exercise of such Award or realization of the Participant’s rights, then such Award may be terminated by the Company without payment, in each case without the Participant’s consent.</w:t>
      </w:r>
    </w:p>
    <w:p>
      <w:pPr>
        <w:spacing w:after="0" w:line="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such successor or acquiring corporation (if any) refuses to continue, assume, convert, replace or substitute Awards or such Awards are not settled for their intrinsic value, as provided above, pursuant to a Corporate Transaction, then notwithstanding any other provision in this Plan to the contrary, such Awards shall have their vesting accelerate as to all Shares subject to such Award (and any applicable right of repurchase fully lapse) immediately prior to the Corporate Transaction and then such Awards will terminate. For purposes of determining the foregoing acceleration, Performance Awards shall be deemed earned and vested at the greater of (a) 100% of target level performance and (b) actual performance through the date of the Corporate Transaction.</w:t>
      </w:r>
    </w:p>
    <w:p>
      <w:pPr>
        <w:spacing w:after="0" w:line="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 Award vests in lieu of continuation, assumption, conversion, replacement or substitution in connection with a Corporate Transaction, as provided above, the Committee will notify the Participant in writing or electronically that such Award will be exercisable for a period of time determined by the Committee in its sole discretion, and such Award will terminate upon the expiration of such period without consideration.</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shall have full power and authority to assign the Company’s right to repurchase, right to re-acquire and/or forfeiture rights to such successor or acquiring corporation. Awards need not be treated similarly in a Corporate Transaction and treatment may vary from Award to Award and/or from Participant to Participant.</w:t>
      </w:r>
    </w:p>
    <w:p>
      <w:pPr>
        <w:spacing w:after="0" w:line="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21.2. </w:t>
      </w:r>
      <w:r>
        <w:rPr>
          <w:rFonts w:ascii="Arial" w:cs="Arial" w:eastAsia="Arial" w:hAnsi="Arial"/>
          <w:sz w:val="17"/>
          <w:szCs w:val="17"/>
          <w:u w:val="single" w:color="auto"/>
          <w:color w:val="auto"/>
        </w:rPr>
        <w:t>Assumption of Awards by the Company</w:t>
      </w:r>
      <w:r>
        <w:rPr>
          <w:rFonts w:ascii="Arial" w:cs="Arial" w:eastAsia="Arial" w:hAnsi="Arial"/>
          <w:sz w:val="17"/>
          <w:szCs w:val="17"/>
          <w:color w:val="auto"/>
        </w:rPr>
        <w:t>. The Company, from time to time, also may substitute or assume outstanding awards granted by</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this Plan or authorized for grant to a Participant in a calendar year.</w:t>
      </w:r>
    </w:p>
    <w:p>
      <w:pPr>
        <w:spacing w:after="0" w:line="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all Awards granted to Non-Employee Directors will accelerate and such Awards will become exercisable (as applicable) in full prior to the consummation of such event at such times and on such conditions as the Committee determines.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7" w:name="page78"/>
    <w:bookmarkEnd w:id="77"/>
    <w:p>
      <w:pPr>
        <w:ind w:firstLine="8"/>
        <w:spacing w:after="0" w:line="282" w:lineRule="auto"/>
        <w:tabs>
          <w:tab w:leader="none" w:pos="44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color w:val="auto"/>
        </w:rPr>
        <w:t>. This Plan will be submitted for the approval of the Company’s stockholders,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within twelve (12) months before or after the date this Plan is adopted by the Board.</w:t>
      </w:r>
    </w:p>
    <w:p>
      <w:pPr>
        <w:spacing w:after="0" w:line="53" w:lineRule="exact"/>
        <w:rPr>
          <w:rFonts w:ascii="Arial" w:cs="Arial" w:eastAsia="Arial" w:hAnsi="Arial"/>
          <w:sz w:val="18"/>
          <w:szCs w:val="18"/>
          <w:b w:val="1"/>
          <w:bCs w:val="1"/>
          <w:color w:val="auto"/>
        </w:rPr>
      </w:pPr>
    </w:p>
    <w:p>
      <w:pPr>
        <w:jc w:val="both"/>
        <w:ind w:firstLine="8"/>
        <w:spacing w:after="0" w:line="303" w:lineRule="auto"/>
        <w:tabs>
          <w:tab w:leader="none" w:pos="405"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 OF PLAN/GOVERNING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Unless earlier terminated as provided herein, this Plan will become effective on the Effective Date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ten (10) years from the date this Plan is adopted by the Board. After this Plan is terminated or expires, no Awards may be granted but Awards previously granted shall remain outstanding in accordance with their applicable terms and conditions and this Plan’s terms and conditions. This Plan and all Awards granted hereunder will be governed by and construed in accordance with the laws of the State of Delaware (excluding its conflict of laws rules).</w:t>
      </w:r>
    </w:p>
    <w:p>
      <w:pPr>
        <w:spacing w:after="0" w:line="42" w:lineRule="exact"/>
        <w:rPr>
          <w:rFonts w:ascii="Arial" w:cs="Arial" w:eastAsia="Arial" w:hAnsi="Arial"/>
          <w:sz w:val="16"/>
          <w:szCs w:val="16"/>
          <w:b w:val="1"/>
          <w:bCs w:val="1"/>
          <w:color w:val="auto"/>
        </w:rPr>
      </w:pPr>
    </w:p>
    <w:p>
      <w:pPr>
        <w:jc w:val="both"/>
        <w:ind w:firstLine="8"/>
        <w:spacing w:after="0" w:line="255" w:lineRule="auto"/>
        <w:tabs>
          <w:tab w:leader="none" w:pos="47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color w:val="auto"/>
        </w:rPr>
        <w:t>. The Board may at any time terminate or amend this Plan in any respect,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this Plan will affect any then-outstanding Award unless expressly provided by the Committee. In any event, no termination or amendment of this Plan or any outstanding Award may adversely affect any then outstanding Award without the consent of the Participant, unless such termination or amendment is necessary to comply with applicable law, regulation, or rule.</w:t>
      </w:r>
    </w:p>
    <w:p>
      <w:pPr>
        <w:spacing w:after="0" w:line="80" w:lineRule="exact"/>
        <w:rPr>
          <w:rFonts w:ascii="Arial" w:cs="Arial" w:eastAsia="Arial" w:hAnsi="Arial"/>
          <w:sz w:val="18"/>
          <w:szCs w:val="18"/>
          <w:b w:val="1"/>
          <w:bCs w:val="1"/>
          <w:color w:val="auto"/>
        </w:rPr>
      </w:pPr>
    </w:p>
    <w:p>
      <w:pPr>
        <w:jc w:val="both"/>
        <w:ind w:firstLine="8"/>
        <w:spacing w:after="0" w:line="261" w:lineRule="auto"/>
        <w:tabs>
          <w:tab w:leader="none" w:pos="486"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NONEXCLUSIVITY OF THIS PLAN</w:t>
      </w:r>
      <w:r>
        <w:rPr>
          <w:rFonts w:ascii="Arial" w:cs="Arial" w:eastAsia="Arial" w:hAnsi="Arial"/>
          <w:sz w:val="18"/>
          <w:szCs w:val="18"/>
          <w:color w:val="auto"/>
        </w:rPr>
        <w:t>. Neither the adoption of this Plan by the Board, the submission of this Plan to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71" w:lineRule="exact"/>
        <w:rPr>
          <w:rFonts w:ascii="Arial" w:cs="Arial" w:eastAsia="Arial" w:hAnsi="Arial"/>
          <w:sz w:val="18"/>
          <w:szCs w:val="18"/>
          <w:b w:val="1"/>
          <w:bCs w:val="1"/>
          <w:color w:val="auto"/>
        </w:rPr>
      </w:pPr>
    </w:p>
    <w:p>
      <w:pPr>
        <w:jc w:val="both"/>
        <w:ind w:firstLine="8"/>
        <w:spacing w:after="0" w:line="266" w:lineRule="auto"/>
        <w:tabs>
          <w:tab w:leader="none" w:pos="43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color w:val="auto"/>
        </w:rPr>
        <w:t>. Each Participant who receives an Award will comply with any policy adopted by the Company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transactions in the Company’s securities by Employees, officers, and/or Directors of the Company, as well as with any applicable insider trading or market abuse laws to which the Participant may be subject.</w:t>
      </w:r>
    </w:p>
    <w:p>
      <w:pPr>
        <w:spacing w:after="0" w:line="67" w:lineRule="exact"/>
        <w:rPr>
          <w:rFonts w:ascii="Arial" w:cs="Arial" w:eastAsia="Arial" w:hAnsi="Arial"/>
          <w:sz w:val="18"/>
          <w:szCs w:val="18"/>
          <w:b w:val="1"/>
          <w:bCs w:val="1"/>
          <w:color w:val="auto"/>
        </w:rPr>
      </w:pPr>
    </w:p>
    <w:p>
      <w:pPr>
        <w:jc w:val="both"/>
        <w:ind w:firstLine="8"/>
        <w:spacing w:after="0" w:line="258" w:lineRule="auto"/>
        <w:tabs>
          <w:tab w:leader="none" w:pos="418"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subject to applicable law, will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75" w:lineRule="exact"/>
        <w:rPr>
          <w:rFonts w:ascii="Arial" w:cs="Arial" w:eastAsia="Arial" w:hAnsi="Arial"/>
          <w:sz w:val="18"/>
          <w:szCs w:val="18"/>
          <w:b w:val="1"/>
          <w:bCs w:val="1"/>
          <w:color w:val="auto"/>
        </w:rPr>
      </w:pPr>
    </w:p>
    <w:p>
      <w:pPr>
        <w:ind w:left="420" w:hanging="412"/>
        <w:spacing w:after="0"/>
        <w:tabs>
          <w:tab w:leader="none" w:pos="4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117"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28.1. </w:t>
      </w: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 any entity that, directly or indirectly, is controlled by, controls, or is under common control with,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(b) any entity in which the Company has a significant equity interest, in either case as determined by the Committee, whether now or hereafter existing.</w:t>
      </w:r>
    </w:p>
    <w:p>
      <w:pPr>
        <w:spacing w:after="0" w:line="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this Plan, including any Option, Restricted Stock Award, Stock Bonus, 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or Performance Award.</w:t>
      </w:r>
    </w:p>
    <w:p>
      <w:pPr>
        <w:spacing w:after="0" w:line="5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28.3. </w:t>
      </w: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with respect to each Award, the written or electronic agreement between the Company and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4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28.5. </w:t>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a determination by the Company (and in the case of Participant who is subject to Section 16 of the Exchange Act,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that the Participant has committed an act or acts constituting any of the following: (a) willful failure substantially to perform his or her duties and responsibilities to the Company or deliberate violation of a Company policy (including the Company’s code of conduct); (b) commission of any act of fraud, embezzlement, dishonesty or any other willful misconduct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while providing service to the Company, the provision of material aid to a competitor of the Company; (f) willful breach of any of his or her obligations under any written agreement or covenant with the Company; or (g) failure to cooperate with an internal investigation or an investigation by regulatory or law enforcement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8"/>
          <w:szCs w:val="18"/>
          <w:color w:val="auto"/>
        </w:rPr>
        <w:t>authorities after being instructed by the Company to cooperate. The determination as to whether Cause for a Participant’s termination exists will be made in good faith by the Company and will be final and binding on the Participant. This definition does not in any way limit the Company’s or any Parent’s or Subsidiary’s or Affiliate’s ability to terminate a Participant’s Service at any time. Notwithstanding the foregoing, the foregoing definition of “Cause” may, in part or in whole, be modified or replaced in each individual employment agreement, Award Agreement, or other applicable agreement with any Participant provided that such document specifically supersedes this definition.</w:t>
      </w:r>
    </w:p>
    <w:p>
      <w:pPr>
        <w:spacing w:after="0" w:line="7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28.7.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this Plan, or part of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delegated as permitted by law.</w:t>
      </w:r>
    </w:p>
    <w:p>
      <w:pPr>
        <w:spacing w:after="0" w:line="5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1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Veracyte, Inc., a Delaware corporation, or any successor corporation.</w:t>
      </w:r>
    </w:p>
    <w:p>
      <w:pPr>
        <w:spacing w:after="0" w:line="1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28.10.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or Affiliate to render services to such entity.</w:t>
      </w:r>
    </w:p>
    <w:p>
      <w:pPr>
        <w:spacing w:after="0" w:line="5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28.11. </w:t>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 (i) any “person” (as such term is used in Sections 13(d)</w:t>
      </w:r>
      <w:r>
        <w:rPr>
          <w:rFonts w:ascii="Arial" w:cs="Arial" w:eastAsia="Arial" w:hAnsi="Arial"/>
          <w:sz w:val="16"/>
          <w:szCs w:val="16"/>
          <w:b w:val="1"/>
          <w:bCs w:val="1"/>
          <w:color w:val="auto"/>
        </w:rPr>
        <w:t xml:space="preserve"> </w:t>
      </w:r>
      <w:r>
        <w:rPr>
          <w:rFonts w:ascii="Arial" w:cs="Arial" w:eastAsia="Arial" w:hAnsi="Arial"/>
          <w:sz w:val="16"/>
          <w:szCs w:val="16"/>
          <w:color w:val="auto"/>
        </w:rPr>
        <w:t>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the sale or disposition by the Company of all or substantially all of the Company’s assets;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(iv)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28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Notwithstanding the foregoing, a transaction shall not constitute a Corporate Transaction if its sole purpose is to change the state of the Company’s incorporation or to create a holding company that will be owned in substantially the same proportions by the persons who held the Company’s securities immediately before such transaction, and a Corporate Transaction shall not be deemed to occur if the Company files a registration statement with the United States Securities and Exchange Commission for the initial or secondary public offering of securities or debt of the Company to the public.</w:t>
      </w:r>
    </w:p>
    <w:p>
      <w:pPr>
        <w:spacing w:after="0" w:line="4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28.13. </w:t>
      </w: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in the case of ISOs, total and permanent disability as defined in Section 22(e)(3) of the Code and in the case of other</w:t>
      </w:r>
      <w:r>
        <w:rPr>
          <w:rFonts w:ascii="Arial" w:cs="Arial" w:eastAsia="Arial" w:hAnsi="Arial"/>
          <w:sz w:val="17"/>
          <w:szCs w:val="17"/>
          <w:b w:val="1"/>
          <w:bCs w:val="1"/>
          <w:color w:val="auto"/>
        </w:rPr>
        <w:t xml:space="preserve"> </w:t>
      </w:r>
      <w:r>
        <w:rPr>
          <w:rFonts w:ascii="Arial" w:cs="Arial" w:eastAsia="Arial" w:hAnsi="Arial"/>
          <w:sz w:val="17"/>
          <w:szCs w:val="17"/>
          <w:color w:val="auto"/>
        </w:rPr>
        <w:t>Awards,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5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28.14. </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receive a credit for the account of such Participant in an amount equal to the cash, stock or other property dividends in amounts equivalent to cash, stock or other property dividends for each Share represented by an Award held by such Participant.</w:t>
      </w:r>
    </w:p>
    <w:p>
      <w:pPr>
        <w:spacing w:after="0" w:line="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this Plan is approved by the stockholders of the Company (which shall be within twelve (12)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approval of this Plan by the Board).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9" w:name="page80"/>
    <w:bookmarkEnd w:id="79"/>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28.16.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providing services as an employee to the Company or any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Neither service as a Director nor payment of a director’s fee by the Company will be sufficient to constitute “employment” by the Company.</w:t>
      </w:r>
    </w:p>
    <w:p>
      <w:pPr>
        <w:spacing w:after="0" w:line="6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28.18. </w:t>
      </w:r>
      <w:r>
        <w:rPr>
          <w:rFonts w:ascii="Arial" w:cs="Arial" w:eastAsia="Arial" w:hAnsi="Arial"/>
          <w:sz w:val="18"/>
          <w:szCs w:val="18"/>
          <w:color w:val="auto"/>
        </w:rPr>
        <w:t>“</w:t>
      </w:r>
      <w:r>
        <w:rPr>
          <w:rFonts w:ascii="Arial" w:cs="Arial" w:eastAsia="Arial" w:hAnsi="Arial"/>
          <w:sz w:val="18"/>
          <w:szCs w:val="18"/>
          <w:b w:val="1"/>
          <w:bCs w:val="1"/>
          <w:i w:val="1"/>
          <w:iCs w:val="1"/>
          <w:color w:val="auto"/>
        </w:rPr>
        <w:t>Exchange Program</w:t>
      </w:r>
      <w:r>
        <w:rPr>
          <w:rFonts w:ascii="Arial" w:cs="Arial" w:eastAsia="Arial" w:hAnsi="Arial"/>
          <w:sz w:val="18"/>
          <w:szCs w:val="18"/>
          <w:color w:val="auto"/>
        </w:rPr>
        <w:t>” means a program approved by the Company’s stockholders pursuant to which (i) outstanding Awards are</w:t>
      </w:r>
      <w:r>
        <w:rPr>
          <w:rFonts w:ascii="Arial" w:cs="Arial" w:eastAsia="Arial" w:hAnsi="Arial"/>
          <w:sz w:val="18"/>
          <w:szCs w:val="18"/>
          <w:b w:val="1"/>
          <w:bCs w:val="1"/>
          <w:color w:val="auto"/>
        </w:rPr>
        <w:t xml:space="preserve"> </w:t>
      </w:r>
      <w:r>
        <w:rPr>
          <w:rFonts w:ascii="Arial" w:cs="Arial" w:eastAsia="Arial" w:hAnsi="Arial"/>
          <w:sz w:val="18"/>
          <w:szCs w:val="18"/>
          <w:color w:val="auto"/>
        </w:rPr>
        <w:t>surrendered, cancelled, or exchanged for cash, the same type of Award, or a different Award (or combination thereof) or (ii) the exercise price of an outstanding Award is reduced.</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28.19.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with respect to a SAR, the price at which the SAR is granted to the holder thereof.</w:t>
      </w:r>
    </w:p>
    <w:p>
      <w:pPr>
        <w:spacing w:after="0" w:line="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determined as follows:</w:t>
      </w:r>
    </w:p>
    <w:p>
      <w:pPr>
        <w:spacing w:after="0" w:line="121" w:lineRule="exact"/>
        <w:rPr>
          <w:sz w:val="20"/>
          <w:szCs w:val="20"/>
          <w:color w:val="auto"/>
        </w:rPr>
      </w:pPr>
    </w:p>
    <w:p>
      <w:pPr>
        <w:jc w:val="both"/>
        <w:ind w:firstLine="1304"/>
        <w:spacing w:after="0" w:line="259" w:lineRule="auto"/>
        <w:tabs>
          <w:tab w:leader="none" w:pos="17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such Common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Common Stock is quoted or, if the Common Stock is not quoted on any such system, by the OTC Link Quote system;</w:t>
      </w:r>
    </w:p>
    <w:p>
      <w:pPr>
        <w:spacing w:after="0" w:line="78" w:lineRule="exact"/>
        <w:rPr>
          <w:rFonts w:ascii="Arial" w:cs="Arial" w:eastAsia="Arial" w:hAnsi="Arial"/>
          <w:sz w:val="18"/>
          <w:szCs w:val="18"/>
          <w:color w:val="auto"/>
        </w:rPr>
      </w:pPr>
    </w:p>
    <w:p>
      <w:pPr>
        <w:jc w:val="both"/>
        <w:ind w:firstLine="1304"/>
        <w:spacing w:after="0" w:line="263" w:lineRule="auto"/>
        <w:tabs>
          <w:tab w:leader="none" w:pos="17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Journal or such other source as the Committee determines;</w:t>
      </w:r>
    </w:p>
    <w:p>
      <w:pPr>
        <w:spacing w:after="0" w:line="75" w:lineRule="exact"/>
        <w:rPr>
          <w:rFonts w:ascii="Arial" w:cs="Arial" w:eastAsia="Arial" w:hAnsi="Arial"/>
          <w:sz w:val="18"/>
          <w:szCs w:val="18"/>
          <w:color w:val="auto"/>
        </w:rPr>
      </w:pPr>
    </w:p>
    <w:p>
      <w:pPr>
        <w:jc w:val="both"/>
        <w:ind w:firstLine="1304"/>
        <w:spacing w:after="0" w:line="342" w:lineRule="auto"/>
        <w:tabs>
          <w:tab w:leader="none" w:pos="169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determines; or</w:t>
      </w:r>
    </w:p>
    <w:p>
      <w:pPr>
        <w:spacing w:after="0" w:line="15" w:lineRule="exact"/>
        <w:rPr>
          <w:rFonts w:ascii="Arial" w:cs="Arial" w:eastAsia="Arial" w:hAnsi="Arial"/>
          <w:sz w:val="16"/>
          <w:szCs w:val="16"/>
          <w:color w:val="auto"/>
        </w:rPr>
      </w:pPr>
    </w:p>
    <w:p>
      <w:pPr>
        <w:ind w:left="1700" w:hanging="396"/>
        <w:spacing w:after="0"/>
        <w:tabs>
          <w:tab w:leader="none" w:pos="1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the Board or the Committee in good faith.</w:t>
      </w:r>
    </w:p>
    <w:p>
      <w:pPr>
        <w:spacing w:after="0" w:line="1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28.21.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16 of the Exchange Act.</w:t>
      </w:r>
    </w:p>
    <w:p>
      <w:pPr>
        <w:spacing w:after="0" w:line="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1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is not an Employee of the Company or any Parent, Subsidiary, or Affiliate.</w:t>
      </w:r>
    </w:p>
    <w:p>
      <w:pPr>
        <w:spacing w:after="0" w:line="11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xml:space="preserve">” means an Award as defined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granted under this Plan.</w:t>
      </w:r>
    </w:p>
    <w:p>
      <w:pPr>
        <w:spacing w:after="0" w:line="1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28.25.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Company owns stock possessing fifty percent (50%) or more of the total combined voting power of all classes of stock in one of the other corporations in such chain.</w:t>
      </w:r>
    </w:p>
    <w:p>
      <w:pPr>
        <w:spacing w:after="0" w:line="6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1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xml:space="preserve">” means an Award as defined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granted under this Plan.</w:t>
      </w:r>
    </w:p>
    <w:p>
      <w:pPr>
        <w:spacing w:after="0" w:line="11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28.28. </w:t>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Factors</w:t>
      </w:r>
      <w:r>
        <w:rPr>
          <w:rFonts w:ascii="Arial" w:cs="Arial" w:eastAsia="Arial" w:hAnsi="Arial"/>
          <w:sz w:val="16"/>
          <w:szCs w:val="16"/>
          <w:color w:val="auto"/>
        </w:rPr>
        <w:t>” means any of the factors selected by the Committee and specified in an Award Agreement, from among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47" w:lineRule="exact"/>
        <w:rPr>
          <w:sz w:val="20"/>
          <w:szCs w:val="20"/>
          <w:color w:val="auto"/>
        </w:rPr>
      </w:pPr>
    </w:p>
    <w:p>
      <w:pPr>
        <w:ind w:left="1680" w:hanging="376"/>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117" w:lineRule="exact"/>
        <w:rPr>
          <w:rFonts w:ascii="Arial" w:cs="Arial" w:eastAsia="Arial" w:hAnsi="Arial"/>
          <w:sz w:val="18"/>
          <w:szCs w:val="18"/>
          <w:color w:val="auto"/>
        </w:rPr>
      </w:pPr>
    </w:p>
    <w:p>
      <w:pPr>
        <w:ind w:left="1700" w:hanging="396"/>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billings;</w:t>
      </w:r>
    </w:p>
    <w:p>
      <w:pPr>
        <w:spacing w:after="0" w:line="117" w:lineRule="exact"/>
        <w:rPr>
          <w:rFonts w:ascii="Arial" w:cs="Arial" w:eastAsia="Arial" w:hAnsi="Arial"/>
          <w:sz w:val="18"/>
          <w:szCs w:val="18"/>
          <w:color w:val="auto"/>
        </w:rPr>
      </w:pPr>
    </w:p>
    <w:p>
      <w:pPr>
        <w:ind w:left="1680" w:hanging="376"/>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revenue;</w:t>
      </w:r>
    </w:p>
    <w:p>
      <w:pPr>
        <w:spacing w:after="0" w:line="117" w:lineRule="exact"/>
        <w:rPr>
          <w:rFonts w:ascii="Arial" w:cs="Arial" w:eastAsia="Arial" w:hAnsi="Arial"/>
          <w:sz w:val="18"/>
          <w:szCs w:val="18"/>
          <w:color w:val="auto"/>
        </w:rPr>
      </w:pPr>
    </w:p>
    <w:p>
      <w:pPr>
        <w:ind w:left="1700" w:hanging="396"/>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revenue or return on operating revenue;</w:t>
      </w:r>
    </w:p>
    <w:p>
      <w:pPr>
        <w:spacing w:after="0" w:line="117" w:lineRule="exact"/>
        <w:rPr>
          <w:rFonts w:ascii="Arial" w:cs="Arial" w:eastAsia="Arial" w:hAnsi="Arial"/>
          <w:sz w:val="18"/>
          <w:szCs w:val="18"/>
          <w:color w:val="auto"/>
        </w:rPr>
      </w:pPr>
    </w:p>
    <w:p>
      <w:pPr>
        <w:ind w:firstLine="1304"/>
        <w:spacing w:after="0" w:line="277" w:lineRule="auto"/>
        <w:tabs>
          <w:tab w:leader="none" w:pos="17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62" w:lineRule="exact"/>
        <w:rPr>
          <w:rFonts w:ascii="Arial" w:cs="Arial" w:eastAsia="Arial" w:hAnsi="Arial"/>
          <w:sz w:val="18"/>
          <w:szCs w:val="18"/>
          <w:color w:val="auto"/>
        </w:rPr>
      </w:pPr>
    </w:p>
    <w:p>
      <w:pPr>
        <w:ind w:left="1660" w:hanging="356"/>
        <w:spacing w:after="0"/>
        <w:tabs>
          <w:tab w:leader="none" w:pos="1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17" w:lineRule="exact"/>
        <w:rPr>
          <w:rFonts w:ascii="Arial" w:cs="Arial" w:eastAsia="Arial" w:hAnsi="Arial"/>
          <w:sz w:val="18"/>
          <w:szCs w:val="18"/>
          <w:color w:val="auto"/>
        </w:rPr>
      </w:pPr>
    </w:p>
    <w:p>
      <w:pPr>
        <w:ind w:left="1700" w:hanging="396"/>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17" w:lineRule="exact"/>
        <w:rPr>
          <w:rFonts w:ascii="Arial" w:cs="Arial" w:eastAsia="Arial" w:hAnsi="Arial"/>
          <w:sz w:val="18"/>
          <w:szCs w:val="18"/>
          <w:color w:val="auto"/>
        </w:rPr>
      </w:pPr>
    </w:p>
    <w:p>
      <w:pPr>
        <w:ind w:left="1700" w:hanging="396"/>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profit;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0" w:name="page81"/>
    <w:bookmarkEnd w:id="80"/>
    <w:p>
      <w:pPr>
        <w:ind w:left="540" w:hanging="35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117" w:lineRule="exact"/>
        <w:rPr>
          <w:rFonts w:ascii="Arial" w:cs="Arial" w:eastAsia="Arial" w:hAnsi="Arial"/>
          <w:sz w:val="18"/>
          <w:szCs w:val="18"/>
          <w:color w:val="auto"/>
        </w:rPr>
      </w:pPr>
    </w:p>
    <w:p>
      <w:pPr>
        <w:ind w:left="540" w:hanging="35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profit;</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17" w:lineRule="exact"/>
        <w:rPr>
          <w:rFonts w:ascii="Arial" w:cs="Arial" w:eastAsia="Arial" w:hAnsi="Arial"/>
          <w:sz w:val="18"/>
          <w:szCs w:val="18"/>
          <w:color w:val="auto"/>
        </w:rPr>
      </w:pPr>
    </w:p>
    <w:p>
      <w:pPr>
        <w:ind w:left="540" w:hanging="35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 operating expenses or operating expenses as a percentage of revenue;</w:t>
      </w:r>
    </w:p>
    <w:p>
      <w:pPr>
        <w:spacing w:after="0" w:line="117" w:lineRule="exact"/>
        <w:rPr>
          <w:rFonts w:ascii="Arial" w:cs="Arial" w:eastAsia="Arial" w:hAnsi="Arial"/>
          <w:sz w:val="18"/>
          <w:szCs w:val="18"/>
          <w:color w:val="auto"/>
        </w:rPr>
      </w:pPr>
    </w:p>
    <w:p>
      <w:pPr>
        <w:ind w:left="620" w:hanging="436"/>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earning per share;</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total stockholder return or relative total stockholder return;</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market share or market segment share;</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117" w:lineRule="exact"/>
        <w:rPr>
          <w:rFonts w:ascii="Arial" w:cs="Arial" w:eastAsia="Arial" w:hAnsi="Arial"/>
          <w:sz w:val="18"/>
          <w:szCs w:val="18"/>
          <w:color w:val="auto"/>
        </w:rPr>
      </w:pPr>
    </w:p>
    <w:p>
      <w:pPr>
        <w:ind w:left="540" w:hanging="35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117" w:lineRule="exact"/>
        <w:rPr>
          <w:rFonts w:ascii="Arial" w:cs="Arial" w:eastAsia="Arial" w:hAnsi="Arial"/>
          <w:sz w:val="18"/>
          <w:szCs w:val="18"/>
          <w:color w:val="auto"/>
        </w:rPr>
      </w:pPr>
    </w:p>
    <w:p>
      <w:pPr>
        <w:ind w:left="560" w:hanging="376"/>
        <w:spacing w:after="0"/>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growth in stockholder value relative to a pre-determined index;</w:t>
      </w:r>
    </w:p>
    <w:p>
      <w:pPr>
        <w:spacing w:after="0" w:line="117" w:lineRule="exact"/>
        <w:rPr>
          <w:rFonts w:ascii="Arial" w:cs="Arial" w:eastAsia="Arial" w:hAnsi="Arial"/>
          <w:sz w:val="18"/>
          <w:szCs w:val="18"/>
          <w:color w:val="auto"/>
        </w:rPr>
      </w:pPr>
    </w:p>
    <w:p>
      <w:pPr>
        <w:ind w:left="540" w:hanging="35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return on capital or on invested capital;</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 or cash flow margins;</w:t>
      </w:r>
    </w:p>
    <w:p>
      <w:pPr>
        <w:spacing w:after="0" w:line="117" w:lineRule="exact"/>
        <w:rPr>
          <w:rFonts w:ascii="Arial" w:cs="Arial" w:eastAsia="Arial" w:hAnsi="Arial"/>
          <w:sz w:val="18"/>
          <w:szCs w:val="18"/>
          <w:color w:val="auto"/>
        </w:rPr>
      </w:pPr>
    </w:p>
    <w:p>
      <w:pPr>
        <w:ind w:left="620" w:hanging="436"/>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117" w:lineRule="exact"/>
        <w:rPr>
          <w:rFonts w:ascii="Arial" w:cs="Arial" w:eastAsia="Arial" w:hAnsi="Arial"/>
          <w:sz w:val="18"/>
          <w:szCs w:val="18"/>
          <w:color w:val="auto"/>
        </w:rPr>
      </w:pPr>
    </w:p>
    <w:p>
      <w:pPr>
        <w:ind w:left="560" w:hanging="376"/>
        <w:spacing w:after="0"/>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117" w:lineRule="exact"/>
        <w:rPr>
          <w:sz w:val="20"/>
          <w:szCs w:val="20"/>
          <w:color w:val="auto"/>
        </w:rPr>
      </w:pPr>
    </w:p>
    <w:p>
      <w:pPr>
        <w:ind w:left="640" w:hanging="45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117" w:lineRule="exact"/>
        <w:rPr>
          <w:rFonts w:ascii="Arial" w:cs="Arial" w:eastAsia="Arial" w:hAnsi="Arial"/>
          <w:sz w:val="18"/>
          <w:szCs w:val="18"/>
          <w:color w:val="auto"/>
        </w:rPr>
      </w:pPr>
    </w:p>
    <w:p>
      <w:pPr>
        <w:ind w:left="660" w:hanging="47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117" w:lineRule="exact"/>
        <w:rPr>
          <w:rFonts w:ascii="Arial" w:cs="Arial" w:eastAsia="Arial" w:hAnsi="Arial"/>
          <w:sz w:val="18"/>
          <w:szCs w:val="18"/>
          <w:color w:val="auto"/>
        </w:rPr>
      </w:pPr>
    </w:p>
    <w:p>
      <w:pPr>
        <w:ind w:left="660" w:hanging="47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117" w:lineRule="exact"/>
        <w:rPr>
          <w:rFonts w:ascii="Arial" w:cs="Arial" w:eastAsia="Arial" w:hAnsi="Arial"/>
          <w:sz w:val="18"/>
          <w:szCs w:val="18"/>
          <w:color w:val="auto"/>
        </w:rPr>
      </w:pPr>
    </w:p>
    <w:p>
      <w:pPr>
        <w:ind w:left="640" w:hanging="45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117" w:lineRule="exact"/>
        <w:rPr>
          <w:rFonts w:ascii="Arial" w:cs="Arial" w:eastAsia="Arial" w:hAnsi="Arial"/>
          <w:sz w:val="18"/>
          <w:szCs w:val="18"/>
          <w:color w:val="auto"/>
        </w:rPr>
      </w:pPr>
    </w:p>
    <w:p>
      <w:pPr>
        <w:ind w:left="600" w:hanging="416"/>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117" w:lineRule="exact"/>
        <w:rPr>
          <w:rFonts w:ascii="Arial" w:cs="Arial" w:eastAsia="Arial" w:hAnsi="Arial"/>
          <w:sz w:val="18"/>
          <w:szCs w:val="18"/>
          <w:color w:val="auto"/>
        </w:rPr>
      </w:pPr>
    </w:p>
    <w:p>
      <w:pPr>
        <w:ind w:left="660" w:hanging="47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117" w:lineRule="exact"/>
        <w:rPr>
          <w:rFonts w:ascii="Arial" w:cs="Arial" w:eastAsia="Arial" w:hAnsi="Arial"/>
          <w:sz w:val="18"/>
          <w:szCs w:val="18"/>
          <w:color w:val="auto"/>
        </w:rPr>
      </w:pPr>
    </w:p>
    <w:p>
      <w:pPr>
        <w:ind w:left="-1120" w:firstLine="1304"/>
        <w:spacing w:after="0" w:line="277" w:lineRule="auto"/>
        <w:tabs>
          <w:tab w:leader="none" w:pos="7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achievement of target levels of discovery and/or development of products and services, including but not limited to research or regulatory achievements; attainment of research and development milestones;</w:t>
      </w:r>
    </w:p>
    <w:p>
      <w:pPr>
        <w:spacing w:after="0" w:line="62" w:lineRule="exact"/>
        <w:rPr>
          <w:rFonts w:ascii="Arial" w:cs="Arial" w:eastAsia="Arial" w:hAnsi="Arial"/>
          <w:sz w:val="18"/>
          <w:szCs w:val="18"/>
          <w:color w:val="auto"/>
        </w:rPr>
      </w:pPr>
    </w:p>
    <w:p>
      <w:pPr>
        <w:ind w:left="580" w:hanging="396"/>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third party coverage and/or reimbursement objectives;</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test volume metrics;</w:t>
      </w:r>
    </w:p>
    <w:p>
      <w:pPr>
        <w:spacing w:after="0" w:line="117" w:lineRule="exact"/>
        <w:rPr>
          <w:rFonts w:ascii="Arial" w:cs="Arial" w:eastAsia="Arial" w:hAnsi="Arial"/>
          <w:sz w:val="18"/>
          <w:szCs w:val="18"/>
          <w:color w:val="auto"/>
        </w:rPr>
      </w:pPr>
    </w:p>
    <w:p>
      <w:pPr>
        <w:ind w:left="660" w:hanging="47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bookings;</w:t>
      </w:r>
    </w:p>
    <w:p>
      <w:pPr>
        <w:spacing w:after="0" w:line="117" w:lineRule="exact"/>
        <w:rPr>
          <w:rFonts w:ascii="Arial" w:cs="Arial" w:eastAsia="Arial" w:hAnsi="Arial"/>
          <w:sz w:val="18"/>
          <w:szCs w:val="18"/>
          <w:color w:val="auto"/>
        </w:rPr>
      </w:pPr>
    </w:p>
    <w:p>
      <w:pPr>
        <w:ind w:left="760" w:hanging="576"/>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attainment of objective operating goals and employee metrics;</w:t>
      </w:r>
    </w:p>
    <w:p>
      <w:pPr>
        <w:spacing w:after="0" w:line="117" w:lineRule="exact"/>
        <w:rPr>
          <w:rFonts w:ascii="Arial" w:cs="Arial" w:eastAsia="Arial" w:hAnsi="Arial"/>
          <w:sz w:val="18"/>
          <w:szCs w:val="18"/>
          <w:color w:val="auto"/>
        </w:rPr>
      </w:pPr>
    </w:p>
    <w:p>
      <w:pPr>
        <w:ind w:left="660" w:hanging="47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sales;</w:t>
      </w:r>
    </w:p>
    <w:p>
      <w:pPr>
        <w:spacing w:after="0" w:line="117" w:lineRule="exact"/>
        <w:rPr>
          <w:rFonts w:ascii="Arial" w:cs="Arial" w:eastAsia="Arial" w:hAnsi="Arial"/>
          <w:sz w:val="18"/>
          <w:szCs w:val="18"/>
          <w:color w:val="auto"/>
        </w:rPr>
      </w:pPr>
    </w:p>
    <w:p>
      <w:pPr>
        <w:ind w:left="660" w:hanging="47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expenses;</w:t>
      </w:r>
    </w:p>
    <w:p>
      <w:pPr>
        <w:spacing w:after="0" w:line="117" w:lineRule="exact"/>
        <w:rPr>
          <w:rFonts w:ascii="Arial" w:cs="Arial" w:eastAsia="Arial" w:hAnsi="Arial"/>
          <w:sz w:val="18"/>
          <w:szCs w:val="18"/>
          <w:color w:val="auto"/>
        </w:rPr>
      </w:pPr>
    </w:p>
    <w:p>
      <w:pPr>
        <w:ind w:left="660" w:hanging="47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117" w:lineRule="exact"/>
        <w:rPr>
          <w:rFonts w:ascii="Arial" w:cs="Arial" w:eastAsia="Arial" w:hAnsi="Arial"/>
          <w:sz w:val="18"/>
          <w:szCs w:val="18"/>
          <w:color w:val="auto"/>
        </w:rPr>
      </w:pPr>
    </w:p>
    <w:p>
      <w:pPr>
        <w:ind w:left="660" w:hanging="47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17" w:lineRule="exact"/>
        <w:rPr>
          <w:rFonts w:ascii="Arial" w:cs="Arial" w:eastAsia="Arial" w:hAnsi="Arial"/>
          <w:sz w:val="18"/>
          <w:szCs w:val="18"/>
          <w:color w:val="auto"/>
        </w:rPr>
      </w:pPr>
    </w:p>
    <w:p>
      <w:pPr>
        <w:ind w:left="600" w:hanging="416"/>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pacing w:after="0" w:line="117" w:lineRule="exact"/>
        <w:rPr>
          <w:rFonts w:ascii="Arial" w:cs="Arial" w:eastAsia="Arial" w:hAnsi="Arial"/>
          <w:sz w:val="18"/>
          <w:szCs w:val="18"/>
          <w:color w:val="auto"/>
        </w:rPr>
      </w:pPr>
    </w:p>
    <w:p>
      <w:pPr>
        <w:ind w:left="620" w:hanging="436"/>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117" w:lineRule="exact"/>
        <w:rPr>
          <w:rFonts w:ascii="Arial" w:cs="Arial" w:eastAsia="Arial" w:hAnsi="Arial"/>
          <w:sz w:val="18"/>
          <w:szCs w:val="18"/>
          <w:color w:val="auto"/>
        </w:rPr>
      </w:pPr>
    </w:p>
    <w:p>
      <w:pPr>
        <w:ind w:left="580" w:hanging="396"/>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17" w:lineRule="exact"/>
        <w:rPr>
          <w:rFonts w:ascii="Arial" w:cs="Arial" w:eastAsia="Arial" w:hAnsi="Arial"/>
          <w:sz w:val="18"/>
          <w:szCs w:val="18"/>
          <w:color w:val="auto"/>
        </w:rPr>
      </w:pPr>
    </w:p>
    <w:p>
      <w:pPr>
        <w:ind w:left="660" w:hanging="47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working capital targets and changes in working capital;</w:t>
      </w:r>
    </w:p>
    <w:p>
      <w:pPr>
        <w:sectPr>
          <w:pgSz w:w="11900" w:h="16838" w:orient="portrait"/>
          <w:cols w:equalWidth="0" w:num="1">
            <w:col w:w="10120"/>
          </w:cols>
          <w:pgMar w:left="144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type w:val="continuous"/>
        </w:sectPr>
      </w:pPr>
    </w:p>
    <w:bookmarkStart w:id="81" w:name="page82"/>
    <w:bookmarkEnd w:id="81"/>
    <w:p>
      <w:pPr>
        <w:ind w:left="1780" w:hanging="476"/>
        <w:spacing w:after="0"/>
        <w:tabs>
          <w:tab w:leader="none" w:pos="1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new annual contract value;</w:t>
      </w:r>
    </w:p>
    <w:p>
      <w:pPr>
        <w:spacing w:after="0" w:line="117" w:lineRule="exact"/>
        <w:rPr>
          <w:rFonts w:ascii="Arial" w:cs="Arial" w:eastAsia="Arial" w:hAnsi="Arial"/>
          <w:sz w:val="18"/>
          <w:szCs w:val="18"/>
          <w:color w:val="auto"/>
        </w:rPr>
      </w:pPr>
    </w:p>
    <w:p>
      <w:pPr>
        <w:ind w:left="1860" w:hanging="556"/>
        <w:spacing w:after="0"/>
        <w:tabs>
          <w:tab w:leader="none" w:pos="1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expansion rate; and</w:t>
      </w:r>
    </w:p>
    <w:p>
      <w:pPr>
        <w:spacing w:after="0" w:line="117" w:lineRule="exact"/>
        <w:rPr>
          <w:rFonts w:ascii="Arial" w:cs="Arial" w:eastAsia="Arial" w:hAnsi="Arial"/>
          <w:sz w:val="18"/>
          <w:szCs w:val="18"/>
          <w:color w:val="auto"/>
        </w:rPr>
      </w:pPr>
    </w:p>
    <w:p>
      <w:pPr>
        <w:ind w:left="1780" w:hanging="476"/>
        <w:spacing w:after="0"/>
        <w:tabs>
          <w:tab w:leader="none" w:pos="1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spacing w:after="0" w:line="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28.29.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select, over which the attainment of one or more Performance Factors will be measured for the purpose of determining a Participant’s right to, and the payment of, a Performance Award.</w:t>
      </w:r>
    </w:p>
    <w:p>
      <w:pPr>
        <w:spacing w:after="0" w:line="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 niece,</w:t>
      </w:r>
      <w:r>
        <w:rPr>
          <w:rFonts w:ascii="Arial" w:cs="Arial" w:eastAsia="Arial" w:hAnsi="Arial"/>
          <w:sz w:val="18"/>
          <w:szCs w:val="18"/>
          <w:b w:val="1"/>
          <w:bCs w:val="1"/>
          <w:color w:val="auto"/>
        </w:rPr>
        <w:t xml:space="preserve"> </w:t>
      </w:r>
      <w:r>
        <w:rPr>
          <w:rFonts w:ascii="Arial" w:cs="Arial" w:eastAsia="Arial" w:hAnsi="Arial"/>
          <w:sz w:val="18"/>
          <w:szCs w:val="18"/>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7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Veracyte, Inc. 2023 Equity Incentive Plan.</w:t>
      </w:r>
    </w:p>
    <w:p>
      <w:pPr>
        <w:spacing w:after="0" w:line="11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means the Veracyte, Inc. 2013 Stock Incentive Plan.</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means the price to be paid for Shares acquired under this Plan, other than Shares acquired upon exercise of an Option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 SAR.</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28.34.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and granted under this Plan, or issued pursuant to the early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w:t>
      </w:r>
    </w:p>
    <w:p>
      <w:pPr>
        <w:spacing w:after="0" w:line="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xml:space="preserve">” means an Award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granted under this Plan.</w:t>
      </w:r>
    </w:p>
    <w:p>
      <w:pPr>
        <w:spacing w:after="0" w:line="11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United States Securities and Exchange Commission.</w:t>
      </w:r>
    </w:p>
    <w:p>
      <w:pPr>
        <w:spacing w:after="0" w:line="11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United States Securities Act of 1933, as amended.</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28.38. </w:t>
      </w: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will mean service as an Employee, Consultant, Director, or Non-Employee Director, subject to such further limitations as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set forth in this Plan or the applicable Award Agreement. Service does not terminate when a Participant goes on a bona fide leave of absence that (a) was approved by the Company in writing or (b) is taken pursuant to a formal policy adopted from time to time by the Company and provided to Participants in writing, if the terms of such leave, as applicable, provide for continued Service crediting, or when continued Service crediting is required by applicable law. However, for purposes of determining whether an Option qualifies to be treated for tax purposes as an ISO, an Employee’s employment will be treated as terminating three months after such Employee commenced leave, unless such Employee’s right to return to active work is guaranteed by law or by a contract.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or during such change in working hours, as it may deem appropriate, except that in no event may an Award be exercised after the expiration of the term set forth in the applicable Award Agreement. A Participant will have terminated Service as of the date such Participant ceases to provide Service (regardless of whether the termination is in breach of local employment laws or is later found to be invalid) and Service will not be extended by any notice period or garden leave mandated by local law,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 change in status from and amongst Employee, Consultant, Director or Non-Employee Director will not terminate the Participant’s Service, unless determined by the Committee, in its discretion. The Committee will have sole discretion to determine whether a Participant has ceased to provide Service and the effective date on which the Participant ceased to provide Service.</w:t>
      </w:r>
    </w:p>
    <w:p>
      <w:pPr>
        <w:spacing w:after="0" w:line="6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and the common stock of any successor entity of the Company.</w:t>
      </w:r>
    </w:p>
    <w:p>
      <w:pPr>
        <w:spacing w:after="0" w:line="11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xml:space="preserve">” means an Award defined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granted under this Plan.</w:t>
      </w:r>
    </w:p>
    <w:p>
      <w:pPr>
        <w:spacing w:after="0" w:line="11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defined in Section 7 and granted under this Plan.</w:t>
      </w:r>
    </w:p>
    <w:p>
      <w:pPr>
        <w:spacing w:after="0" w:line="1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28.42.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corporations other than the last corporation in the unbroken chain owns stock possessing fifty percent (50%) or more of the total combined voting power of all classes of stock in one of the other corporations in such chain.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ind w:left="660"/>
        <w:spacing w:after="0"/>
        <w:tabs>
          <w:tab w:leader="none" w:pos="1260" w:val="left"/>
        </w:tabs>
        <w:rPr>
          <w:sz w:val="20"/>
          <w:szCs w:val="20"/>
          <w:color w:val="auto"/>
        </w:rPr>
      </w:pPr>
      <w:r>
        <w:rPr>
          <w:rFonts w:ascii="Arial" w:cs="Arial" w:eastAsia="Arial" w:hAnsi="Arial"/>
          <w:sz w:val="18"/>
          <w:szCs w:val="18"/>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1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3" w:name="page84"/>
    <w:bookmarkEnd w:id="83"/>
    <w:p>
      <w:pPr>
        <w:jc w:val="center"/>
        <w:ind w:right="312"/>
        <w:spacing w:after="0"/>
        <w:rPr>
          <w:sz w:val="20"/>
          <w:szCs w:val="20"/>
          <w:color w:val="auto"/>
        </w:rPr>
      </w:pPr>
      <w:r>
        <w:rPr>
          <w:rFonts w:ascii="Arial" w:cs="Arial" w:eastAsia="Arial" w:hAnsi="Arial"/>
          <w:sz w:val="18"/>
          <w:szCs w:val="18"/>
          <w:b w:val="1"/>
          <w:bCs w:val="1"/>
          <w:u w:val="single" w:color="auto"/>
          <w:color w:val="auto"/>
        </w:rPr>
        <w:t>APPENDIX B</w:t>
      </w:r>
    </w:p>
    <w:p>
      <w:pPr>
        <w:spacing w:after="0" w:line="23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DECLASSIFICATION AMENDMENT</w:t>
      </w:r>
    </w:p>
    <w:p>
      <w:pPr>
        <w:spacing w:after="0" w:line="200" w:lineRule="exact"/>
        <w:rPr>
          <w:sz w:val="20"/>
          <w:szCs w:val="20"/>
          <w:color w:val="auto"/>
        </w:rPr>
      </w:pPr>
    </w:p>
    <w:p>
      <w:pPr>
        <w:spacing w:after="0" w:line="272" w:lineRule="exact"/>
        <w:rPr>
          <w:sz w:val="20"/>
          <w:szCs w:val="20"/>
          <w:color w:val="auto"/>
        </w:rPr>
      </w:pPr>
    </w:p>
    <w:p>
      <w:pPr>
        <w:ind w:left="188" w:hanging="188"/>
        <w:spacing w:after="0"/>
        <w:tabs>
          <w:tab w:leader="none" w:pos="1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Amend Article V.B as follows:</w:t>
      </w:r>
    </w:p>
    <w:p>
      <w:pPr>
        <w:spacing w:after="0" w:line="238" w:lineRule="exact"/>
        <w:rPr>
          <w:rFonts w:ascii="Arial" w:cs="Arial" w:eastAsia="Arial" w:hAnsi="Arial"/>
          <w:sz w:val="18"/>
          <w:szCs w:val="18"/>
          <w:color w:val="auto"/>
        </w:rPr>
      </w:pPr>
    </w:p>
    <w:p>
      <w:pPr>
        <w:ind w:left="968" w:right="20" w:hanging="644"/>
        <w:spacing w:after="0" w:line="264" w:lineRule="auto"/>
        <w:tabs>
          <w:tab w:leader="none" w:pos="53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Board of Directors is expressly authorized to adopt, amend or repeal the bylaws of the corporation without any action on the part of the stockholders, by the vote of at least a majority of the directors of the corporation then in office</w:t>
      </w:r>
      <w:r>
        <w:rPr>
          <w:rFonts w:ascii="Arial" w:cs="Arial" w:eastAsia="Arial" w:hAnsi="Arial"/>
          <w:sz w:val="16"/>
          <w:szCs w:val="16"/>
          <w:color w:val="auto"/>
          <w:strike w:val="1"/>
        </w:rPr>
        <w:t>; which shall include the affirmative vote</w:t>
      </w:r>
      <w:r>
        <w:rPr>
          <w:rFonts w:ascii="Arial" w:cs="Arial" w:eastAsia="Arial" w:hAnsi="Arial"/>
          <w:sz w:val="16"/>
          <w:szCs w:val="16"/>
          <w:color w:val="auto"/>
        </w:rPr>
        <w:t xml:space="preserve"> </w:t>
      </w:r>
      <w:r>
        <w:rPr>
          <w:rFonts w:ascii="Arial" w:cs="Arial" w:eastAsia="Arial" w:hAnsi="Arial"/>
          <w:sz w:val="16"/>
          <w:szCs w:val="16"/>
          <w:color w:val="auto"/>
          <w:strike w:val="1"/>
        </w:rPr>
        <w:t>of at least one director from each class of the Board of Directors if the Board of Directors shall then be divided into classes</w:t>
      </w:r>
      <w:r>
        <w:rPr>
          <w:rFonts w:ascii="Arial" w:cs="Arial" w:eastAsia="Arial" w:hAnsi="Arial"/>
          <w:sz w:val="16"/>
          <w:szCs w:val="16"/>
          <w:color w:val="auto"/>
        </w:rPr>
        <w:t xml:space="preserve">. In addition to any vote of the holders of any class or series of stock of the corporation required by law or </w:t>
      </w:r>
      <w:r>
        <w:rPr>
          <w:rFonts w:ascii="Arial" w:cs="Arial" w:eastAsia="Arial" w:hAnsi="Arial"/>
          <w:sz w:val="16"/>
          <w:szCs w:val="16"/>
          <w:u w:val="single" w:color="auto"/>
          <w:color w:val="auto"/>
        </w:rPr>
        <w:t>this Restated Certificate of Incorporation</w:t>
      </w:r>
      <w:r>
        <w:rPr>
          <w:rFonts w:ascii="Arial" w:cs="Arial" w:eastAsia="Arial" w:hAnsi="Arial"/>
          <w:sz w:val="16"/>
          <w:szCs w:val="16"/>
          <w:color w:val="auto"/>
        </w:rPr>
        <w:t xml:space="preserve"> the </w:t>
      </w:r>
      <w:r>
        <w:rPr>
          <w:rFonts w:ascii="Arial" w:cs="Arial" w:eastAsia="Arial" w:hAnsi="Arial"/>
          <w:sz w:val="16"/>
          <w:szCs w:val="16"/>
          <w:color w:val="auto"/>
          <w:strike w:val="1"/>
        </w:rPr>
        <w:t>certificate of incorporation of the corporation</w:t>
      </w:r>
      <w:r>
        <w:rPr>
          <w:rFonts w:ascii="Arial" w:cs="Arial" w:eastAsia="Arial" w:hAnsi="Arial"/>
          <w:sz w:val="16"/>
          <w:szCs w:val="16"/>
          <w:color w:val="auto"/>
        </w:rPr>
        <w:t>, the bylaws may also be adopted, amended or repealed by the affirmative vote of the holders of at least sixty-six and two-thirds percent (66-2/3%) of the voting power of all of the then outstanding shares of the shares of the capital stock of the corporation entitled to vote generally in the election of directors, voting as a single class; provided, however, that the affirmative vote of the holders representing only a majority of the voting power of the shares of the capital stock of the corporation entitled to vote in the election of directors, voting as one class, shall be required if such adoption, amendment or repeal of the bylaws has been previously approved by the affirmative vote of at least two-thirds (2/3) of the directors of the corporation then in office.</w:t>
      </w:r>
    </w:p>
    <w:p>
      <w:pPr>
        <w:spacing w:after="0" w:line="203" w:lineRule="exact"/>
        <w:rPr>
          <w:rFonts w:ascii="Arial" w:cs="Arial" w:eastAsia="Arial" w:hAnsi="Arial"/>
          <w:sz w:val="16"/>
          <w:szCs w:val="16"/>
          <w:color w:val="auto"/>
        </w:rPr>
      </w:pPr>
    </w:p>
    <w:p>
      <w:pPr>
        <w:ind w:left="188" w:hanging="188"/>
        <w:spacing w:after="0"/>
        <w:tabs>
          <w:tab w:leader="none" w:pos="1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Amend Article VI.B as follows:</w:t>
      </w:r>
    </w:p>
    <w:p>
      <w:pPr>
        <w:spacing w:after="0" w:line="225" w:lineRule="exact"/>
        <w:rPr>
          <w:rFonts w:ascii="Arial" w:cs="Arial" w:eastAsia="Arial" w:hAnsi="Arial"/>
          <w:sz w:val="18"/>
          <w:szCs w:val="18"/>
          <w:color w:val="auto"/>
        </w:rPr>
      </w:pPr>
    </w:p>
    <w:p>
      <w:pPr>
        <w:ind w:left="968" w:hanging="644"/>
        <w:spacing w:after="0" w:line="260" w:lineRule="auto"/>
        <w:tabs>
          <w:tab w:leader="none" w:pos="530"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Classes of Directors. </w:t>
      </w:r>
      <w:r>
        <w:rPr>
          <w:rFonts w:ascii="Arial" w:cs="Arial" w:eastAsia="Arial" w:hAnsi="Arial"/>
          <w:sz w:val="16"/>
          <w:szCs w:val="16"/>
          <w:color w:val="auto"/>
          <w:strike w:val="1"/>
        </w:rPr>
        <w:t>The Board of Directors, other than those directors elected by the holders of</w:t>
      </w:r>
      <w:r>
        <w:rPr>
          <w:rFonts w:ascii="Arial" w:cs="Arial" w:eastAsia="Arial" w:hAnsi="Arial"/>
          <w:sz w:val="16"/>
          <w:szCs w:val="16"/>
          <w:u w:val="single" w:color="auto"/>
          <w:color w:val="auto"/>
        </w:rPr>
        <w:t>Subject to the provisions of this Restated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 of Incorporation relating to the rights of</w:t>
      </w:r>
      <w:r>
        <w:rPr>
          <w:rFonts w:ascii="Arial" w:cs="Arial" w:eastAsia="Arial" w:hAnsi="Arial"/>
          <w:sz w:val="16"/>
          <w:szCs w:val="16"/>
          <w:color w:val="auto"/>
        </w:rPr>
        <w:t xml:space="preserve"> any series of Preferred Stock as provided for or fixed pursuant to the provisions of Article IV </w:t>
      </w:r>
      <w:r>
        <w:rPr>
          <w:rFonts w:ascii="Arial" w:cs="Arial" w:eastAsia="Arial" w:hAnsi="Arial"/>
          <w:sz w:val="16"/>
          <w:szCs w:val="16"/>
          <w:color w:val="auto"/>
          <w:strike w:val="1"/>
        </w:rPr>
        <w:t>of this Restated Certificate of Incorporation,</w:t>
      </w:r>
      <w:r>
        <w:rPr>
          <w:rFonts w:ascii="Arial" w:cs="Arial" w:eastAsia="Arial" w:hAnsi="Arial"/>
          <w:sz w:val="16"/>
          <w:szCs w:val="16"/>
          <w:u w:val="single" w:color="auto"/>
          <w:color w:val="auto"/>
        </w:rPr>
        <w:t>hereof, directors of the corporation</w:t>
      </w:r>
      <w:r>
        <w:rPr>
          <w:rFonts w:ascii="Arial" w:cs="Arial" w:eastAsia="Arial" w:hAnsi="Arial"/>
          <w:sz w:val="16"/>
          <w:szCs w:val="16"/>
          <w:color w:val="auto"/>
        </w:rPr>
        <w:t xml:space="preserve"> shall be </w:t>
      </w:r>
      <w:r>
        <w:rPr>
          <w:rFonts w:ascii="Arial" w:cs="Arial" w:eastAsia="Arial" w:hAnsi="Arial"/>
          <w:sz w:val="16"/>
          <w:szCs w:val="16"/>
          <w:u w:val="single" w:color="auto"/>
          <w:color w:val="auto"/>
        </w:rPr>
        <w:t>and are</w:t>
      </w:r>
      <w:r>
        <w:rPr>
          <w:rFonts w:ascii="Arial" w:cs="Arial" w:eastAsia="Arial" w:hAnsi="Arial"/>
          <w:sz w:val="16"/>
          <w:szCs w:val="16"/>
          <w:color w:val="auto"/>
        </w:rPr>
        <w:t xml:space="preserve"> divided into </w:t>
      </w:r>
      <w:r>
        <w:rPr>
          <w:rFonts w:ascii="Arial" w:cs="Arial" w:eastAsia="Arial" w:hAnsi="Arial"/>
          <w:sz w:val="16"/>
          <w:szCs w:val="16"/>
          <w:color w:val="auto"/>
          <w:strike w:val="1"/>
        </w:rPr>
        <w:t>three</w:t>
      </w:r>
      <w:r>
        <w:rPr>
          <w:rFonts w:ascii="Arial" w:cs="Arial" w:eastAsia="Arial" w:hAnsi="Arial"/>
          <w:sz w:val="16"/>
          <w:szCs w:val="16"/>
          <w:u w:val="single" w:color="auto"/>
          <w:color w:val="auto"/>
        </w:rPr>
        <w:t>the following</w:t>
      </w:r>
      <w:r>
        <w:rPr>
          <w:rFonts w:ascii="Arial" w:cs="Arial" w:eastAsia="Arial" w:hAnsi="Arial"/>
          <w:sz w:val="16"/>
          <w:szCs w:val="16"/>
          <w:color w:val="auto"/>
        </w:rPr>
        <w:t xml:space="preserve"> classes</w:t>
      </w:r>
      <w:r>
        <w:rPr>
          <w:rFonts w:ascii="Arial" w:cs="Arial" w:eastAsia="Arial" w:hAnsi="Arial"/>
          <w:sz w:val="16"/>
          <w:szCs w:val="16"/>
          <w:color w:val="auto"/>
          <w:strike w:val="1"/>
        </w:rPr>
        <w:t>, designated</w:t>
      </w:r>
      <w:r>
        <w:rPr>
          <w:rFonts w:ascii="Arial" w:cs="Arial" w:eastAsia="Arial" w:hAnsi="Arial"/>
          <w:sz w:val="16"/>
          <w:szCs w:val="16"/>
          <w:u w:val="single" w:color="auto"/>
          <w:color w:val="auto"/>
        </w:rPr>
        <w:t>: the 2024</w:t>
      </w:r>
      <w:r>
        <w:rPr>
          <w:rFonts w:ascii="Arial" w:cs="Arial" w:eastAsia="Arial" w:hAnsi="Arial"/>
          <w:sz w:val="16"/>
          <w:szCs w:val="16"/>
          <w:color w:val="auto"/>
        </w:rPr>
        <w:t xml:space="preserve"> Class I, </w:t>
      </w:r>
      <w:r>
        <w:rPr>
          <w:rFonts w:ascii="Arial" w:cs="Arial" w:eastAsia="Arial" w:hAnsi="Arial"/>
          <w:sz w:val="16"/>
          <w:szCs w:val="16"/>
          <w:u w:val="single" w:color="auto"/>
          <w:color w:val="auto"/>
        </w:rPr>
        <w:t>the 2025</w:t>
      </w:r>
      <w:r>
        <w:rPr>
          <w:rFonts w:ascii="Arial" w:cs="Arial" w:eastAsia="Arial" w:hAnsi="Arial"/>
          <w:sz w:val="16"/>
          <w:szCs w:val="16"/>
          <w:color w:val="auto"/>
        </w:rPr>
        <w:t xml:space="preserve"> Class </w:t>
      </w:r>
      <w:r>
        <w:rPr>
          <w:rFonts w:ascii="Arial" w:cs="Arial" w:eastAsia="Arial" w:hAnsi="Arial"/>
          <w:sz w:val="16"/>
          <w:szCs w:val="16"/>
          <w:color w:val="auto"/>
          <w:strike w:val="1"/>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the 2026</w:t>
      </w:r>
      <w:r>
        <w:rPr>
          <w:rFonts w:ascii="Arial" w:cs="Arial" w:eastAsia="Arial" w:hAnsi="Arial"/>
          <w:sz w:val="16"/>
          <w:szCs w:val="16"/>
          <w:color w:val="auto"/>
        </w:rPr>
        <w:t xml:space="preserve"> Class </w:t>
      </w:r>
      <w:r>
        <w:rPr>
          <w:rFonts w:ascii="Arial" w:cs="Arial" w:eastAsia="Arial" w:hAnsi="Arial"/>
          <w:sz w:val="16"/>
          <w:szCs w:val="16"/>
          <w:color w:val="auto"/>
          <w:strike w:val="1"/>
        </w:rPr>
        <w:t>III,</w:t>
      </w:r>
      <w:r>
        <w:rPr>
          <w:rFonts w:ascii="Arial" w:cs="Arial" w:eastAsia="Arial" w:hAnsi="Arial"/>
          <w:sz w:val="16"/>
          <w:szCs w:val="16"/>
          <w:u w:val="single" w:color="auto"/>
          <w:color w:val="auto"/>
        </w:rPr>
        <w:t>(each</w:t>
      </w:r>
      <w:r>
        <w:rPr>
          <w:rFonts w:ascii="Arial" w:cs="Arial" w:eastAsia="Arial" w:hAnsi="Arial"/>
          <w:sz w:val="16"/>
          <w:szCs w:val="16"/>
          <w:color w:val="auto"/>
        </w:rPr>
        <w:t xml:space="preserve"> as </w:t>
      </w:r>
      <w:r>
        <w:rPr>
          <w:rFonts w:ascii="Arial" w:cs="Arial" w:eastAsia="Arial" w:hAnsi="Arial"/>
          <w:sz w:val="16"/>
          <w:szCs w:val="16"/>
          <w:color w:val="auto"/>
          <w:strike w:val="1"/>
        </w:rPr>
        <w:t>nearly equal in number as possible, and the term of</w:t>
      </w:r>
      <w:r>
        <w:rPr>
          <w:rFonts w:ascii="Arial" w:cs="Arial" w:eastAsia="Arial" w:hAnsi="Arial"/>
          <w:sz w:val="16"/>
          <w:szCs w:val="16"/>
          <w:color w:val="auto"/>
        </w:rPr>
        <w:t xml:space="preserve"> </w:t>
      </w:r>
      <w:r>
        <w:rPr>
          <w:rFonts w:ascii="Arial" w:cs="Arial" w:eastAsia="Arial" w:hAnsi="Arial"/>
          <w:sz w:val="16"/>
          <w:szCs w:val="16"/>
          <w:color w:val="auto"/>
          <w:strike w:val="1"/>
        </w:rPr>
        <w:t>office of directors of one class</w:t>
      </w:r>
      <w:r>
        <w:rPr>
          <w:rFonts w:ascii="Arial" w:cs="Arial" w:eastAsia="Arial" w:hAnsi="Arial"/>
          <w:sz w:val="16"/>
          <w:szCs w:val="16"/>
          <w:u w:val="single" w:color="auto"/>
          <w:color w:val="auto"/>
        </w:rPr>
        <w:t>defined below); provided that such division</w:t>
      </w:r>
      <w:r>
        <w:rPr>
          <w:rFonts w:ascii="Arial" w:cs="Arial" w:eastAsia="Arial" w:hAnsi="Arial"/>
          <w:sz w:val="16"/>
          <w:szCs w:val="16"/>
          <w:color w:val="auto"/>
        </w:rPr>
        <w:t xml:space="preserve"> shall </w:t>
      </w:r>
      <w:r>
        <w:rPr>
          <w:rFonts w:ascii="Arial" w:cs="Arial" w:eastAsia="Arial" w:hAnsi="Arial"/>
          <w:sz w:val="16"/>
          <w:szCs w:val="16"/>
          <w:color w:val="auto"/>
          <w:strike w:val="1"/>
        </w:rPr>
        <w:t>expire</w:t>
      </w:r>
      <w:r>
        <w:rPr>
          <w:rFonts w:ascii="Arial" w:cs="Arial" w:eastAsia="Arial" w:hAnsi="Arial"/>
          <w:sz w:val="16"/>
          <w:szCs w:val="16"/>
          <w:u w:val="single" w:color="auto"/>
          <w:color w:val="auto"/>
        </w:rPr>
        <w:t>terminate</w:t>
      </w:r>
      <w:r>
        <w:rPr>
          <w:rFonts w:ascii="Arial" w:cs="Arial" w:eastAsia="Arial" w:hAnsi="Arial"/>
          <w:sz w:val="16"/>
          <w:szCs w:val="16"/>
          <w:color w:val="auto"/>
        </w:rPr>
        <w:t xml:space="preserve"> at </w:t>
      </w:r>
      <w:r>
        <w:rPr>
          <w:rFonts w:ascii="Arial" w:cs="Arial" w:eastAsia="Arial" w:hAnsi="Arial"/>
          <w:sz w:val="16"/>
          <w:szCs w:val="16"/>
          <w:color w:val="auto"/>
          <w:strike w:val="1"/>
        </w:rPr>
        <w:t>each</w:t>
      </w:r>
      <w:r>
        <w:rPr>
          <w:rFonts w:ascii="Arial" w:cs="Arial" w:eastAsia="Arial" w:hAnsi="Arial"/>
          <w:sz w:val="16"/>
          <w:szCs w:val="16"/>
          <w:u w:val="single" w:color="auto"/>
          <w:color w:val="auto"/>
        </w:rPr>
        <w:t>the 2026</w:t>
      </w:r>
      <w:r>
        <w:rPr>
          <w:rFonts w:ascii="Arial" w:cs="Arial" w:eastAsia="Arial" w:hAnsi="Arial"/>
          <w:sz w:val="16"/>
          <w:szCs w:val="16"/>
          <w:color w:val="auto"/>
        </w:rPr>
        <w:t xml:space="preserve"> annual meeting of stockholders</w:t>
      </w:r>
      <w:r>
        <w:rPr>
          <w:rFonts w:ascii="Arial" w:cs="Arial" w:eastAsia="Arial" w:hAnsi="Arial"/>
          <w:sz w:val="16"/>
          <w:szCs w:val="16"/>
          <w:color w:val="auto"/>
          <w:strike w:val="1"/>
        </w:rPr>
        <w:t>, and in all cases as to each director until his or her successor shall be duly elected and qualified or until his or her earlier</w:t>
      </w:r>
      <w:r>
        <w:rPr>
          <w:rFonts w:ascii="Arial" w:cs="Arial" w:eastAsia="Arial" w:hAnsi="Arial"/>
          <w:sz w:val="16"/>
          <w:szCs w:val="16"/>
          <w:color w:val="auto"/>
        </w:rPr>
        <w:t xml:space="preserve"> </w:t>
      </w:r>
      <w:r>
        <w:rPr>
          <w:rFonts w:ascii="Arial" w:cs="Arial" w:eastAsia="Arial" w:hAnsi="Arial"/>
          <w:sz w:val="16"/>
          <w:szCs w:val="16"/>
          <w:color w:val="auto"/>
          <w:strike w:val="1"/>
        </w:rPr>
        <w:t>resignation, removal from office, death or incapacity. Upon</w:t>
      </w:r>
      <w:r>
        <w:rPr>
          <w:rFonts w:ascii="Arial" w:cs="Arial" w:eastAsia="Arial" w:hAnsi="Arial"/>
          <w:sz w:val="16"/>
          <w:szCs w:val="16"/>
          <w:u w:val="single" w:color="auto"/>
          <w:color w:val="auto"/>
        </w:rPr>
        <w:t>. Subject to</w:t>
      </w:r>
      <w:r>
        <w:rPr>
          <w:rFonts w:ascii="Arial" w:cs="Arial" w:eastAsia="Arial" w:hAnsi="Arial"/>
          <w:sz w:val="16"/>
          <w:szCs w:val="16"/>
          <w:color w:val="auto"/>
        </w:rPr>
        <w:t xml:space="preserve"> the </w:t>
      </w:r>
      <w:r>
        <w:rPr>
          <w:rFonts w:ascii="Arial" w:cs="Arial" w:eastAsia="Arial" w:hAnsi="Arial"/>
          <w:sz w:val="16"/>
          <w:szCs w:val="16"/>
          <w:color w:val="auto"/>
          <w:strike w:val="1"/>
        </w:rPr>
        <w:t>effectiveness</w:t>
      </w:r>
      <w:r>
        <w:rPr>
          <w:rFonts w:ascii="Arial" w:cs="Arial" w:eastAsia="Arial" w:hAnsi="Arial"/>
          <w:sz w:val="16"/>
          <w:szCs w:val="16"/>
          <w:u w:val="single" w:color="auto"/>
          <w:color w:val="auto"/>
        </w:rPr>
        <w:t>provisions</w:t>
      </w:r>
      <w:r>
        <w:rPr>
          <w:rFonts w:ascii="Arial" w:cs="Arial" w:eastAsia="Arial" w:hAnsi="Arial"/>
          <w:sz w:val="16"/>
          <w:szCs w:val="16"/>
          <w:color w:val="auto"/>
        </w:rPr>
        <w:t xml:space="preserve"> of this Restated Certificate of Incorporation </w:t>
      </w:r>
      <w:r>
        <w:rPr>
          <w:rFonts w:ascii="Arial" w:cs="Arial" w:eastAsia="Arial" w:hAnsi="Arial"/>
          <w:sz w:val="16"/>
          <w:szCs w:val="16"/>
          <w:color w:val="auto"/>
          <w:strike w:val="1"/>
        </w:rPr>
        <w:t>(</w:t>
      </w:r>
      <w:r>
        <w:rPr>
          <w:rFonts w:ascii="Arial" w:cs="Arial" w:eastAsia="Arial" w:hAnsi="Arial"/>
          <w:sz w:val="16"/>
          <w:szCs w:val="16"/>
          <w:u w:val="single" w:color="auto"/>
          <w:color w:val="auto"/>
        </w:rPr>
        <w:t>relating to</w:t>
      </w:r>
      <w:r>
        <w:rPr>
          <w:rFonts w:ascii="Arial" w:cs="Arial" w:eastAsia="Arial" w:hAnsi="Arial"/>
          <w:sz w:val="16"/>
          <w:szCs w:val="16"/>
          <w:color w:val="auto"/>
        </w:rPr>
        <w:t xml:space="preserve"> the </w:t>
      </w:r>
      <w:r>
        <w:rPr>
          <w:rFonts w:ascii="Arial" w:cs="Arial" w:eastAsia="Arial" w:hAnsi="Arial"/>
          <w:sz w:val="16"/>
          <w:szCs w:val="16"/>
          <w:color w:val="auto"/>
          <w:strike w:val="1"/>
        </w:rPr>
        <w:t>“Effective Time”), the Board of Directors shall assign all members of</w:t>
      </w:r>
      <w:r>
        <w:rPr>
          <w:rFonts w:ascii="Arial" w:cs="Arial" w:eastAsia="Arial" w:hAnsi="Arial"/>
          <w:sz w:val="16"/>
          <w:szCs w:val="16"/>
          <w:u w:val="single" w:color="auto"/>
          <w:color w:val="auto"/>
        </w:rPr>
        <w:t>rights of any series of Preferred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as provided for or fixed pursuant to</w:t>
      </w:r>
      <w:r>
        <w:rPr>
          <w:rFonts w:ascii="Arial" w:cs="Arial" w:eastAsia="Arial" w:hAnsi="Arial"/>
          <w:sz w:val="16"/>
          <w:szCs w:val="16"/>
          <w:color w:val="auto"/>
        </w:rPr>
        <w:t xml:space="preserve"> the </w:t>
      </w:r>
      <w:r>
        <w:rPr>
          <w:rFonts w:ascii="Arial" w:cs="Arial" w:eastAsia="Arial" w:hAnsi="Arial"/>
          <w:sz w:val="16"/>
          <w:szCs w:val="16"/>
          <w:color w:val="auto"/>
          <w:strike w:val="1"/>
        </w:rPr>
        <w:t>Board</w:t>
      </w:r>
      <w:r>
        <w:rPr>
          <w:rFonts w:ascii="Arial" w:cs="Arial" w:eastAsia="Arial" w:hAnsi="Arial"/>
          <w:sz w:val="16"/>
          <w:szCs w:val="16"/>
          <w:u w:val="single" w:color="auto"/>
          <w:color w:val="auto"/>
        </w:rPr>
        <w:t>provisions</w:t>
      </w:r>
      <w:r>
        <w:rPr>
          <w:rFonts w:ascii="Arial" w:cs="Arial" w:eastAsia="Arial" w:hAnsi="Arial"/>
          <w:sz w:val="16"/>
          <w:szCs w:val="16"/>
          <w:color w:val="auto"/>
        </w:rPr>
        <w:t xml:space="preserve"> of </w:t>
      </w:r>
      <w:r>
        <w:rPr>
          <w:rFonts w:ascii="Arial" w:cs="Arial" w:eastAsia="Arial" w:hAnsi="Arial"/>
          <w:sz w:val="16"/>
          <w:szCs w:val="16"/>
          <w:color w:val="auto"/>
          <w:strike w:val="1"/>
        </w:rPr>
        <w:t>Directors then in office to a class, and those directors assigned to</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hereof, commencing with the 2024 annual meeting of stockholders, directors of the corporation other than those in the 2025 Class and 2026</w:t>
      </w:r>
      <w:r>
        <w:rPr>
          <w:rFonts w:ascii="Arial" w:cs="Arial" w:eastAsia="Arial" w:hAnsi="Arial"/>
          <w:sz w:val="16"/>
          <w:szCs w:val="16"/>
          <w:color w:val="auto"/>
        </w:rPr>
        <w:t xml:space="preserve"> Class </w:t>
      </w:r>
      <w:r>
        <w:rPr>
          <w:rFonts w:ascii="Arial" w:cs="Arial" w:eastAsia="Arial" w:hAnsi="Arial"/>
          <w:sz w:val="16"/>
          <w:szCs w:val="16"/>
          <w:color w:val="auto"/>
          <w:strike w:val="1"/>
        </w:rPr>
        <w:t>I</w:t>
      </w:r>
      <w:r>
        <w:rPr>
          <w:rFonts w:ascii="Arial" w:cs="Arial" w:eastAsia="Arial" w:hAnsi="Arial"/>
          <w:sz w:val="16"/>
          <w:szCs w:val="16"/>
          <w:u w:val="single" w:color="auto"/>
          <w:color w:val="auto"/>
        </w:rPr>
        <w:t>(each as defined below)</w:t>
      </w:r>
      <w:r>
        <w:rPr>
          <w:rFonts w:ascii="Arial" w:cs="Arial" w:eastAsia="Arial" w:hAnsi="Arial"/>
          <w:sz w:val="16"/>
          <w:szCs w:val="16"/>
          <w:color w:val="auto"/>
        </w:rPr>
        <w:t xml:space="preserve"> shall </w:t>
      </w:r>
      <w:r>
        <w:rPr>
          <w:rFonts w:ascii="Arial" w:cs="Arial" w:eastAsia="Arial" w:hAnsi="Arial"/>
          <w:sz w:val="16"/>
          <w:szCs w:val="16"/>
          <w:color w:val="auto"/>
          <w:strike w:val="1"/>
        </w:rPr>
        <w:t>hold office</w:t>
      </w:r>
      <w:r>
        <w:rPr>
          <w:rFonts w:ascii="Arial" w:cs="Arial" w:eastAsia="Arial" w:hAnsi="Arial"/>
          <w:sz w:val="16"/>
          <w:szCs w:val="16"/>
          <w:u w:val="single" w:color="auto"/>
          <w:color w:val="auto"/>
        </w:rPr>
        <w:t>be elected</w:t>
      </w:r>
      <w:r>
        <w:rPr>
          <w:rFonts w:ascii="Arial" w:cs="Arial" w:eastAsia="Arial" w:hAnsi="Arial"/>
          <w:sz w:val="16"/>
          <w:szCs w:val="16"/>
          <w:color w:val="auto"/>
        </w:rPr>
        <w:t xml:space="preserve"> for a term </w:t>
      </w:r>
      <w:r>
        <w:rPr>
          <w:rFonts w:ascii="Arial" w:cs="Arial" w:eastAsia="Arial" w:hAnsi="Arial"/>
          <w:sz w:val="16"/>
          <w:szCs w:val="16"/>
          <w:u w:val="single" w:color="auto"/>
          <w:color w:val="auto"/>
        </w:rPr>
        <w:t>of one year,</w:t>
      </w:r>
      <w:r>
        <w:rPr>
          <w:rFonts w:ascii="Arial" w:cs="Arial" w:eastAsia="Arial" w:hAnsi="Arial"/>
          <w:sz w:val="16"/>
          <w:szCs w:val="16"/>
          <w:color w:val="auto"/>
        </w:rPr>
        <w:t xml:space="preserve"> expiring at the </w:t>
      </w:r>
      <w:r>
        <w:rPr>
          <w:rFonts w:ascii="Arial" w:cs="Arial" w:eastAsia="Arial" w:hAnsi="Arial"/>
          <w:sz w:val="16"/>
          <w:szCs w:val="16"/>
          <w:color w:val="auto"/>
          <w:strike w:val="1"/>
        </w:rPr>
        <w:t>first regularly scheduled</w:t>
      </w:r>
      <w:r>
        <w:rPr>
          <w:rFonts w:ascii="Arial" w:cs="Arial" w:eastAsia="Arial" w:hAnsi="Arial"/>
          <w:sz w:val="16"/>
          <w:szCs w:val="16"/>
          <w:u w:val="single" w:color="auto"/>
          <w:color w:val="auto"/>
        </w:rPr>
        <w:t>next</w:t>
      </w:r>
      <w:r>
        <w:rPr>
          <w:rFonts w:ascii="Arial" w:cs="Arial" w:eastAsia="Arial" w:hAnsi="Arial"/>
          <w:sz w:val="16"/>
          <w:szCs w:val="16"/>
          <w:color w:val="auto"/>
        </w:rPr>
        <w:t xml:space="preserve"> </w:t>
      </w:r>
      <w:r>
        <w:rPr>
          <w:rFonts w:ascii="Arial" w:cs="Arial" w:eastAsia="Arial" w:hAnsi="Arial"/>
          <w:sz w:val="16"/>
          <w:szCs w:val="16"/>
          <w:u w:val="single" w:color="auto"/>
          <w:color w:val="auto"/>
        </w:rPr>
        <w:t>succeeding</w:t>
      </w:r>
      <w:r>
        <w:rPr>
          <w:rFonts w:ascii="Arial" w:cs="Arial" w:eastAsia="Arial" w:hAnsi="Arial"/>
          <w:sz w:val="16"/>
          <w:szCs w:val="16"/>
          <w:color w:val="auto"/>
        </w:rPr>
        <w:t xml:space="preserve"> annual meeting of stockholders </w:t>
      </w:r>
      <w:r>
        <w:rPr>
          <w:rFonts w:ascii="Arial" w:cs="Arial" w:eastAsia="Arial" w:hAnsi="Arial"/>
          <w:sz w:val="16"/>
          <w:szCs w:val="16"/>
          <w:color w:val="auto"/>
          <w:strike w:val="1"/>
        </w:rPr>
        <w:t>following the Effective Time, those directors assigned to Class II</w:t>
      </w:r>
      <w:r>
        <w:rPr>
          <w:rFonts w:ascii="Arial" w:cs="Arial" w:eastAsia="Arial" w:hAnsi="Arial"/>
          <w:sz w:val="16"/>
          <w:szCs w:val="16"/>
          <w:u w:val="single" w:color="auto"/>
          <w:color w:val="auto"/>
        </w:rPr>
        <w:t>. Each director of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corporation serving in the class elected at the 2021 annual meeting of stockholders</w:t>
      </w:r>
      <w:r>
        <w:rPr>
          <w:rFonts w:ascii="Arial" w:cs="Arial" w:eastAsia="Arial" w:hAnsi="Arial"/>
          <w:sz w:val="16"/>
          <w:szCs w:val="16"/>
          <w:color w:val="auto"/>
        </w:rPr>
        <w:t xml:space="preserve"> shall </w:t>
      </w:r>
      <w:r>
        <w:rPr>
          <w:rFonts w:ascii="Arial" w:cs="Arial" w:eastAsia="Arial" w:hAnsi="Arial"/>
          <w:sz w:val="16"/>
          <w:szCs w:val="16"/>
          <w:color w:val="auto"/>
          <w:strike w:val="1"/>
        </w:rPr>
        <w:t>hold office</w:t>
      </w:r>
      <w:r>
        <w:rPr>
          <w:rFonts w:ascii="Arial" w:cs="Arial" w:eastAsia="Arial" w:hAnsi="Arial"/>
          <w:sz w:val="16"/>
          <w:szCs w:val="16"/>
          <w:u w:val="single" w:color="auto"/>
          <w:color w:val="auto"/>
        </w:rPr>
        <w:t>serve</w:t>
      </w:r>
      <w:r>
        <w:rPr>
          <w:rFonts w:ascii="Arial" w:cs="Arial" w:eastAsia="Arial" w:hAnsi="Arial"/>
          <w:sz w:val="16"/>
          <w:szCs w:val="16"/>
          <w:color w:val="auto"/>
        </w:rPr>
        <w:t xml:space="preserve"> for a </w:t>
      </w:r>
      <w:r>
        <w:rPr>
          <w:rFonts w:ascii="Arial" w:cs="Arial" w:eastAsia="Arial" w:hAnsi="Arial"/>
          <w:sz w:val="16"/>
          <w:szCs w:val="16"/>
          <w:u w:val="single" w:color="auto"/>
          <w:color w:val="auto"/>
        </w:rPr>
        <w:t>three-year</w:t>
      </w:r>
      <w:r>
        <w:rPr>
          <w:rFonts w:ascii="Arial" w:cs="Arial" w:eastAsia="Arial" w:hAnsi="Arial"/>
          <w:sz w:val="16"/>
          <w:szCs w:val="16"/>
          <w:color w:val="auto"/>
        </w:rPr>
        <w:t xml:space="preserve"> term expiring at the </w:t>
      </w:r>
      <w:r>
        <w:rPr>
          <w:rFonts w:ascii="Arial" w:cs="Arial" w:eastAsia="Arial" w:hAnsi="Arial"/>
          <w:sz w:val="16"/>
          <w:szCs w:val="16"/>
          <w:color w:val="auto"/>
          <w:strike w:val="1"/>
        </w:rPr>
        <w:t>second regularly scheduled</w:t>
      </w:r>
      <w:r>
        <w:rPr>
          <w:rFonts w:ascii="Arial" w:cs="Arial" w:eastAsia="Arial" w:hAnsi="Arial"/>
          <w:sz w:val="16"/>
          <w:szCs w:val="16"/>
          <w:u w:val="single" w:color="auto"/>
          <w:color w:val="auto"/>
        </w:rPr>
        <w:t>2024</w:t>
      </w:r>
      <w:r>
        <w:rPr>
          <w:rFonts w:ascii="Arial" w:cs="Arial" w:eastAsia="Arial" w:hAnsi="Arial"/>
          <w:sz w:val="16"/>
          <w:szCs w:val="16"/>
          <w:color w:val="auto"/>
        </w:rPr>
        <w:t xml:space="preserve"> annual meeting of stockholders </w:t>
      </w:r>
      <w:r>
        <w:rPr>
          <w:rFonts w:ascii="Arial" w:cs="Arial" w:eastAsia="Arial" w:hAnsi="Arial"/>
          <w:sz w:val="16"/>
          <w:szCs w:val="16"/>
          <w:color w:val="auto"/>
          <w:strike w:val="1"/>
        </w:rPr>
        <w:t>following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w:t>
      </w:r>
      <w:r>
        <w:rPr>
          <w:rFonts w:ascii="Arial" w:cs="Arial" w:eastAsia="Arial" w:hAnsi="Arial"/>
          <w:sz w:val="16"/>
          <w:szCs w:val="16"/>
          <w:color w:val="auto"/>
        </w:rPr>
        <w:t xml:space="preserve">the </w:t>
      </w:r>
      <w:r>
        <w:rPr>
          <w:rFonts w:ascii="Arial" w:cs="Arial" w:eastAsia="Arial" w:hAnsi="Arial"/>
          <w:sz w:val="16"/>
          <w:szCs w:val="16"/>
          <w:color w:val="auto"/>
          <w:strike w:val="1"/>
        </w:rPr>
        <w:t>Effective Time, and those directors assigned to Class</w:t>
      </w:r>
      <w:r>
        <w:rPr>
          <w:rFonts w:ascii="Arial" w:cs="Arial" w:eastAsia="Arial" w:hAnsi="Arial"/>
          <w:sz w:val="16"/>
          <w:szCs w:val="16"/>
          <w:color w:val="auto"/>
        </w:rPr>
        <w:t xml:space="preserve"> </w:t>
      </w:r>
      <w:r>
        <w:rPr>
          <w:rFonts w:ascii="Arial" w:cs="Arial" w:eastAsia="Arial" w:hAnsi="Arial"/>
          <w:sz w:val="16"/>
          <w:szCs w:val="16"/>
          <w:color w:val="auto"/>
          <w:strike w:val="1"/>
        </w:rPr>
        <w:t>III</w:t>
      </w:r>
      <w:r>
        <w:rPr>
          <w:rFonts w:ascii="Arial" w:cs="Arial" w:eastAsia="Arial" w:hAnsi="Arial"/>
          <w:sz w:val="16"/>
          <w:szCs w:val="16"/>
          <w:u w:val="single" w:color="auto"/>
          <w:color w:val="auto"/>
        </w:rPr>
        <w:t>“2024 Class”), each director of the corporation serving in the class elected at the 2022 annual meeting of stockholders</w:t>
      </w:r>
      <w:r>
        <w:rPr>
          <w:rFonts w:ascii="Arial" w:cs="Arial" w:eastAsia="Arial" w:hAnsi="Arial"/>
          <w:sz w:val="16"/>
          <w:szCs w:val="16"/>
          <w:color w:val="auto"/>
        </w:rPr>
        <w:t xml:space="preserve"> shall </w:t>
      </w:r>
      <w:r>
        <w:rPr>
          <w:rFonts w:ascii="Arial" w:cs="Arial" w:eastAsia="Arial" w:hAnsi="Arial"/>
          <w:sz w:val="16"/>
          <w:szCs w:val="16"/>
          <w:color w:val="auto"/>
          <w:strike w:val="1"/>
        </w:rPr>
        <w:t>hold</w:t>
      </w:r>
      <w:r>
        <w:rPr>
          <w:rFonts w:ascii="Arial" w:cs="Arial" w:eastAsia="Arial" w:hAnsi="Arial"/>
          <w:sz w:val="16"/>
          <w:szCs w:val="16"/>
          <w:color w:val="auto"/>
        </w:rPr>
        <w:t xml:space="preserve"> </w:t>
      </w:r>
      <w:r>
        <w:rPr>
          <w:rFonts w:ascii="Arial" w:cs="Arial" w:eastAsia="Arial" w:hAnsi="Arial"/>
          <w:sz w:val="16"/>
          <w:szCs w:val="16"/>
          <w:color w:val="auto"/>
          <w:strike w:val="1"/>
        </w:rPr>
        <w:t>office</w:t>
      </w:r>
      <w:r>
        <w:rPr>
          <w:rFonts w:ascii="Arial" w:cs="Arial" w:eastAsia="Arial" w:hAnsi="Arial"/>
          <w:sz w:val="16"/>
          <w:szCs w:val="16"/>
          <w:u w:val="single" w:color="auto"/>
          <w:color w:val="auto"/>
        </w:rPr>
        <w:t>serve</w:t>
      </w:r>
      <w:r>
        <w:rPr>
          <w:rFonts w:ascii="Arial" w:cs="Arial" w:eastAsia="Arial" w:hAnsi="Arial"/>
          <w:sz w:val="16"/>
          <w:szCs w:val="16"/>
          <w:color w:val="auto"/>
        </w:rPr>
        <w:t xml:space="preserve"> for a </w:t>
      </w:r>
      <w:r>
        <w:rPr>
          <w:rFonts w:ascii="Arial" w:cs="Arial" w:eastAsia="Arial" w:hAnsi="Arial"/>
          <w:sz w:val="16"/>
          <w:szCs w:val="16"/>
          <w:u w:val="single" w:color="auto"/>
          <w:color w:val="auto"/>
        </w:rPr>
        <w:t>three-year</w:t>
      </w:r>
      <w:r>
        <w:rPr>
          <w:rFonts w:ascii="Arial" w:cs="Arial" w:eastAsia="Arial" w:hAnsi="Arial"/>
          <w:sz w:val="16"/>
          <w:szCs w:val="16"/>
          <w:color w:val="auto"/>
        </w:rPr>
        <w:t xml:space="preserve"> term expiring at the </w:t>
      </w:r>
      <w:r>
        <w:rPr>
          <w:rFonts w:ascii="Arial" w:cs="Arial" w:eastAsia="Arial" w:hAnsi="Arial"/>
          <w:sz w:val="16"/>
          <w:szCs w:val="16"/>
          <w:color w:val="auto"/>
          <w:strike w:val="1"/>
        </w:rPr>
        <w:t>third regularly scheduled</w:t>
      </w:r>
      <w:r>
        <w:rPr>
          <w:rFonts w:ascii="Arial" w:cs="Arial" w:eastAsia="Arial" w:hAnsi="Arial"/>
          <w:sz w:val="16"/>
          <w:szCs w:val="16"/>
          <w:u w:val="single" w:color="auto"/>
          <w:color w:val="auto"/>
        </w:rPr>
        <w:t>2025</w:t>
      </w:r>
      <w:r>
        <w:rPr>
          <w:rFonts w:ascii="Arial" w:cs="Arial" w:eastAsia="Arial" w:hAnsi="Arial"/>
          <w:sz w:val="16"/>
          <w:szCs w:val="16"/>
          <w:color w:val="auto"/>
        </w:rPr>
        <w:t xml:space="preserve"> annual meeting of stockholders </w:t>
      </w:r>
      <w:r>
        <w:rPr>
          <w:rFonts w:ascii="Arial" w:cs="Arial" w:eastAsia="Arial" w:hAnsi="Arial"/>
          <w:sz w:val="16"/>
          <w:szCs w:val="16"/>
          <w:color w:val="auto"/>
          <w:strike w:val="1"/>
        </w:rPr>
        <w:t>following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w:t>
      </w:r>
      <w:r>
        <w:rPr>
          <w:rFonts w:ascii="Arial" w:cs="Arial" w:eastAsia="Arial" w:hAnsi="Arial"/>
          <w:sz w:val="16"/>
          <w:szCs w:val="16"/>
          <w:color w:val="auto"/>
        </w:rPr>
        <w:t xml:space="preserve">the </w:t>
      </w:r>
      <w:r>
        <w:rPr>
          <w:rFonts w:ascii="Arial" w:cs="Arial" w:eastAsia="Arial" w:hAnsi="Arial"/>
          <w:sz w:val="16"/>
          <w:szCs w:val="16"/>
          <w:color w:val="auto"/>
          <w:strike w:val="1"/>
        </w:rPr>
        <w:t>Effective</w:t>
      </w:r>
      <w:r>
        <w:rPr>
          <w:rFonts w:ascii="Arial" w:cs="Arial" w:eastAsia="Arial" w:hAnsi="Arial"/>
          <w:sz w:val="16"/>
          <w:szCs w:val="16"/>
          <w:color w:val="auto"/>
        </w:rPr>
        <w:t xml:space="preserve"> </w:t>
      </w:r>
      <w:r>
        <w:rPr>
          <w:rFonts w:ascii="Arial" w:cs="Arial" w:eastAsia="Arial" w:hAnsi="Arial"/>
          <w:sz w:val="16"/>
          <w:szCs w:val="16"/>
          <w:color w:val="auto"/>
          <w:strike w:val="1"/>
        </w:rPr>
        <w:t>Time. At each succeeding</w:t>
      </w:r>
      <w:r>
        <w:rPr>
          <w:rFonts w:ascii="Arial" w:cs="Arial" w:eastAsia="Arial" w:hAnsi="Arial"/>
          <w:sz w:val="16"/>
          <w:szCs w:val="16"/>
          <w:u w:val="single" w:color="auto"/>
          <w:color w:val="auto"/>
        </w:rPr>
        <w:t>“2025 Class”), and each director of the corporation serving in the class elected at the 2023</w:t>
      </w:r>
      <w:r>
        <w:rPr>
          <w:rFonts w:ascii="Arial" w:cs="Arial" w:eastAsia="Arial" w:hAnsi="Arial"/>
          <w:sz w:val="16"/>
          <w:szCs w:val="16"/>
          <w:color w:val="auto"/>
        </w:rPr>
        <w:t xml:space="preserve"> annual meeting of stockholders</w:t>
      </w:r>
      <w:r>
        <w:rPr>
          <w:rFonts w:ascii="Arial" w:cs="Arial" w:eastAsia="Arial" w:hAnsi="Arial"/>
          <w:sz w:val="16"/>
          <w:szCs w:val="16"/>
          <w:color w:val="auto"/>
          <w:strike w:val="1"/>
        </w:rPr>
        <w:t>, a number of directors equal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shall serve for a three-year term expiring at the 2026 annual meeting of stockholders (the “2026</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Class”), including any person appointed to fill a vacancy or newly created directorship occurring in the 2024 Class, 2025 Class or the 2026 Class (each of whom shall be deemed to be a member of</w:t>
      </w:r>
      <w:r>
        <w:rPr>
          <w:rFonts w:ascii="Arial" w:cs="Arial" w:eastAsia="Arial" w:hAnsi="Arial"/>
          <w:sz w:val="16"/>
          <w:szCs w:val="16"/>
          <w:color w:val="auto"/>
        </w:rPr>
        <w:t xml:space="preserve"> the </w:t>
      </w:r>
      <w:r>
        <w:rPr>
          <w:rFonts w:ascii="Arial" w:cs="Arial" w:eastAsia="Arial" w:hAnsi="Arial"/>
          <w:sz w:val="16"/>
          <w:szCs w:val="16"/>
          <w:color w:val="auto"/>
          <w:strike w:val="1"/>
        </w:rPr>
        <w:t>number</w:t>
      </w:r>
      <w:r>
        <w:rPr>
          <w:rFonts w:ascii="Arial" w:cs="Arial" w:eastAsia="Arial" w:hAnsi="Arial"/>
          <w:sz w:val="16"/>
          <w:szCs w:val="16"/>
          <w:u w:val="single" w:color="auto"/>
          <w:color w:val="auto"/>
        </w:rPr>
        <w:t>class</w:t>
      </w:r>
      <w:r>
        <w:rPr>
          <w:rFonts w:ascii="Arial" w:cs="Arial" w:eastAsia="Arial" w:hAnsi="Arial"/>
          <w:sz w:val="16"/>
          <w:szCs w:val="16"/>
          <w:color w:val="auto"/>
        </w:rPr>
        <w:t xml:space="preserve"> of directors in which the vacancy or newly created </w:t>
      </w:r>
      <w:r>
        <w:rPr>
          <w:rFonts w:ascii="Arial" w:cs="Arial" w:eastAsia="Arial" w:hAnsi="Arial"/>
          <w:sz w:val="16"/>
          <w:szCs w:val="16"/>
          <w:u w:val="single" w:color="auto"/>
          <w:color w:val="auto"/>
        </w:rPr>
        <w:t>directorship occurred), shall continue to hold office until the end</w:t>
      </w:r>
      <w:r>
        <w:rPr>
          <w:rFonts w:ascii="Arial" w:cs="Arial" w:eastAsia="Arial" w:hAnsi="Arial"/>
          <w:sz w:val="16"/>
          <w:szCs w:val="16"/>
          <w:color w:val="auto"/>
        </w:rPr>
        <w:t xml:space="preserve"> of the </w:t>
      </w:r>
      <w:r>
        <w:rPr>
          <w:rFonts w:ascii="Arial" w:cs="Arial" w:eastAsia="Arial" w:hAnsi="Arial"/>
          <w:sz w:val="16"/>
          <w:szCs w:val="16"/>
          <w:color w:val="auto"/>
          <w:strike w:val="1"/>
        </w:rPr>
        <w:t>class whose</w:t>
      </w:r>
      <w:r>
        <w:rPr>
          <w:rFonts w:ascii="Arial" w:cs="Arial" w:eastAsia="Arial" w:hAnsi="Arial"/>
          <w:sz w:val="16"/>
          <w:szCs w:val="16"/>
          <w:color w:val="auto"/>
        </w:rPr>
        <w:t xml:space="preserve"> term </w:t>
      </w:r>
      <w:r>
        <w:rPr>
          <w:rFonts w:ascii="Arial" w:cs="Arial" w:eastAsia="Arial" w:hAnsi="Arial"/>
          <w:sz w:val="16"/>
          <w:szCs w:val="16"/>
          <w:color w:val="auto"/>
          <w:strike w:val="1"/>
        </w:rPr>
        <w:t>expires at</w:t>
      </w:r>
      <w:r>
        <w:rPr>
          <w:rFonts w:ascii="Arial" w:cs="Arial" w:eastAsia="Arial" w:hAnsi="Arial"/>
          <w:sz w:val="16"/>
          <w:szCs w:val="16"/>
          <w:u w:val="single" w:color="auto"/>
          <w:color w:val="auto"/>
        </w:rPr>
        <w:t>for which such director was elected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appointed, as applicable. Subject to</w:t>
      </w:r>
      <w:r>
        <w:rPr>
          <w:rFonts w:ascii="Arial" w:cs="Arial" w:eastAsia="Arial" w:hAnsi="Arial"/>
          <w:sz w:val="16"/>
          <w:szCs w:val="16"/>
          <w:color w:val="auto"/>
        </w:rPr>
        <w:t xml:space="preserve"> the </w:t>
      </w:r>
      <w:r>
        <w:rPr>
          <w:rFonts w:ascii="Arial" w:cs="Arial" w:eastAsia="Arial" w:hAnsi="Arial"/>
          <w:sz w:val="16"/>
          <w:szCs w:val="16"/>
          <w:color w:val="auto"/>
          <w:strike w:val="1"/>
        </w:rPr>
        <w:t>time</w:t>
      </w:r>
      <w:r>
        <w:rPr>
          <w:rFonts w:ascii="Arial" w:cs="Arial" w:eastAsia="Arial" w:hAnsi="Arial"/>
          <w:sz w:val="16"/>
          <w:szCs w:val="16"/>
          <w:u w:val="single" w:color="auto"/>
          <w:color w:val="auto"/>
        </w:rPr>
        <w:t>provisions</w:t>
      </w:r>
      <w:r>
        <w:rPr>
          <w:rFonts w:ascii="Arial" w:cs="Arial" w:eastAsia="Arial" w:hAnsi="Arial"/>
          <w:sz w:val="16"/>
          <w:szCs w:val="16"/>
          <w:color w:val="auto"/>
        </w:rPr>
        <w:t xml:space="preserve"> of </w:t>
      </w:r>
      <w:r>
        <w:rPr>
          <w:rFonts w:ascii="Arial" w:cs="Arial" w:eastAsia="Arial" w:hAnsi="Arial"/>
          <w:sz w:val="16"/>
          <w:szCs w:val="16"/>
          <w:color w:val="auto"/>
          <w:strike w:val="1"/>
        </w:rPr>
        <w:t>such</w:t>
      </w:r>
      <w:r>
        <w:rPr>
          <w:rFonts w:ascii="Arial" w:cs="Arial" w:eastAsia="Arial" w:hAnsi="Arial"/>
          <w:sz w:val="16"/>
          <w:szCs w:val="16"/>
          <w:u w:val="single" w:color="auto"/>
          <w:color w:val="auto"/>
        </w:rPr>
        <w:t>this Restated Certificate of Incorporation relating to directors elected by</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holders of one or more series of Preferred Stock as provided for or fixed pursuant to the provisions of Article IV hereof, (a) commencing with the 2024 annual</w:t>
      </w:r>
      <w:r>
        <w:rPr>
          <w:rFonts w:ascii="Arial" w:cs="Arial" w:eastAsia="Arial" w:hAnsi="Arial"/>
          <w:sz w:val="16"/>
          <w:szCs w:val="16"/>
          <w:color w:val="auto"/>
        </w:rPr>
        <w:t xml:space="preserve"> meeting (or, if less, the number of </w:t>
      </w:r>
      <w:r>
        <w:rPr>
          <w:rFonts w:ascii="Arial" w:cs="Arial" w:eastAsia="Arial" w:hAnsi="Arial"/>
          <w:sz w:val="16"/>
          <w:szCs w:val="16"/>
          <w:u w:val="single" w:color="auto"/>
          <w:color w:val="auto"/>
        </w:rPr>
        <w:t>stockholders, all</w:t>
      </w:r>
      <w:r>
        <w:rPr>
          <w:rFonts w:ascii="Arial" w:cs="Arial" w:eastAsia="Arial" w:hAnsi="Arial"/>
          <w:sz w:val="16"/>
          <w:szCs w:val="16"/>
          <w:color w:val="auto"/>
        </w:rPr>
        <w:t xml:space="preserve"> directors </w:t>
      </w:r>
      <w:r>
        <w:rPr>
          <w:rFonts w:ascii="Arial" w:cs="Arial" w:eastAsia="Arial" w:hAnsi="Arial"/>
          <w:sz w:val="16"/>
          <w:szCs w:val="16"/>
          <w:color w:val="auto"/>
          <w:strike w:val="1"/>
        </w:rPr>
        <w:t>properly nominated and qualified for</w:t>
      </w:r>
      <w:r>
        <w:rPr>
          <w:rFonts w:ascii="Arial" w:cs="Arial" w:eastAsia="Arial" w:hAnsi="Arial"/>
          <w:sz w:val="16"/>
          <w:szCs w:val="16"/>
          <w:color w:val="auto"/>
        </w:rPr>
        <w:t xml:space="preserve"> </w:t>
      </w:r>
      <w:r>
        <w:rPr>
          <w:rFonts w:ascii="Arial" w:cs="Arial" w:eastAsia="Arial" w:hAnsi="Arial"/>
          <w:sz w:val="16"/>
          <w:szCs w:val="16"/>
          <w:color w:val="auto"/>
          <w:strike w:val="1"/>
        </w:rPr>
        <w:t>election) shall be elected to hold office until the third succeeding</w:t>
      </w:r>
      <w:r>
        <w:rPr>
          <w:rFonts w:ascii="Arial" w:cs="Arial" w:eastAsia="Arial" w:hAnsi="Arial"/>
          <w:sz w:val="16"/>
          <w:szCs w:val="16"/>
          <w:u w:val="single" w:color="auto"/>
          <w:color w:val="auto"/>
          <w:strike w:val="1"/>
        </w:rPr>
        <w:t>of the corporation other than those in the 2025 Class and the 2026 Class</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will be elected for a term of one year, (b) commencing with the 2025 annual meeting of stockholders, all directors of the corporation other than those in the 2026 Class will be elected for a term of one year, and (c) commencing with the 2026</w:t>
      </w:r>
      <w:r>
        <w:rPr>
          <w:rFonts w:ascii="Arial" w:cs="Arial" w:eastAsia="Arial" w:hAnsi="Arial"/>
          <w:sz w:val="16"/>
          <w:szCs w:val="16"/>
          <w:color w:val="auto"/>
          <w:strike w:val="1"/>
        </w:rPr>
        <w:t xml:space="preserve"> annual meeting of stockholders after their election.</w:t>
      </w:r>
      <w:r>
        <w:rPr>
          <w:rFonts w:ascii="Arial" w:cs="Arial" w:eastAsia="Arial" w:hAnsi="Arial"/>
          <w:sz w:val="16"/>
          <w:szCs w:val="16"/>
          <w:u w:val="single" w:color="auto"/>
          <w:color w:val="auto"/>
          <w:strike w:val="1"/>
        </w:rPr>
        <w:t>, all directors of the corporation will be elected for a term of one-year. In all cases, each director shall</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serve until such director’s successor has been duly elected and qualified or until such director’s earlier death, resignation, retirement, disqualification, or removal from office. No decrease in the number of directors constituting the Board of Directors shall shorten the term of any incumbent director.</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left="188" w:hanging="188"/>
        <w:spacing w:after="0"/>
        <w:tabs>
          <w:tab w:leader="none" w:pos="1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Amend Article VI.C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6654800</wp:posOffset>
            </wp:positionH>
            <wp:positionV relativeFrom="paragraph">
              <wp:posOffset>-5427980</wp:posOffset>
            </wp:positionV>
            <wp:extent cx="1682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2212975</wp:posOffset>
            </wp:positionH>
            <wp:positionV relativeFrom="paragraph">
              <wp:posOffset>-3739515</wp:posOffset>
            </wp:positionV>
            <wp:extent cx="666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-1673225</wp:posOffset>
            </wp:positionV>
            <wp:extent cx="1785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562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-1227455</wp:posOffset>
            </wp:positionV>
            <wp:extent cx="10585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20" w:right="339" w:bottom="1440" w:gutter="0" w:footer="0" w:header="0"/>
        </w:sectPr>
      </w:pPr>
    </w:p>
    <w:bookmarkStart w:id="84" w:name="page85"/>
    <w:bookmarkEnd w:id="84"/>
    <w:p>
      <w:pPr>
        <w:ind w:left="968" w:hanging="647"/>
        <w:spacing w:after="0" w:line="261" w:lineRule="auto"/>
        <w:rPr>
          <w:sz w:val="20"/>
          <w:szCs w:val="20"/>
          <w:color w:val="auto"/>
        </w:rPr>
      </w:pPr>
      <w:r>
        <w:rPr>
          <w:rFonts w:ascii="Arial" w:cs="Arial" w:eastAsia="Arial" w:hAnsi="Arial"/>
          <w:sz w:val="16"/>
          <w:szCs w:val="16"/>
          <w:color w:val="auto"/>
        </w:rPr>
        <w:t>C. Vacancies. Except as otherwise provided for or fixed pursuant to the provisions of Article IV of this Restated Certificate of Incorporation relating to the rights of the holders of any series of Preferred Stock to elect directors, and subject to the provisions hereof, newly created directorships resulting from any increase in the authorized number of directors, any vacancies on the Board of Directors resulting from death, resignation, retirement, disqualification, removal, or other cause, shall be filled only by the affirmative vote of a majority of the remaining directors then in office, even though less than a quorum of the Board of Directors, or by a sole remaining director. Any director elected in accordance with the preceding sentence shall hold office (i) for the remainder of the full term of the class of directors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-15240</wp:posOffset>
            </wp:positionV>
            <wp:extent cx="1365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ind w:left="968" w:right="140"/>
        <w:spacing w:after="0" w:line="258" w:lineRule="auto"/>
        <w:rPr>
          <w:sz w:val="20"/>
          <w:szCs w:val="20"/>
          <w:color w:val="auto"/>
        </w:rPr>
      </w:pPr>
      <w:r>
        <w:rPr>
          <w:rFonts w:ascii="Arial" w:cs="Arial" w:eastAsia="Arial" w:hAnsi="Arial"/>
          <w:sz w:val="16"/>
          <w:szCs w:val="16"/>
          <w:color w:val="auto"/>
        </w:rPr>
        <w:t xml:space="preserve">the new directorship was created or in which the vacancy occurred </w:t>
      </w:r>
      <w:r>
        <w:rPr>
          <w:rFonts w:ascii="Arial" w:cs="Arial" w:eastAsia="Arial" w:hAnsi="Arial"/>
          <w:sz w:val="16"/>
          <w:szCs w:val="16"/>
          <w:u w:val="single" w:color="auto"/>
          <w:color w:val="auto"/>
        </w:rPr>
        <w:t>(subject to the declassification provisions in the preceding paragraph</w:t>
      </w:r>
      <w:r>
        <w:rPr>
          <w:rFonts w:ascii="Arial" w:cs="Arial" w:eastAsia="Arial" w:hAnsi="Arial"/>
          <w:sz w:val="16"/>
          <w:szCs w:val="16"/>
          <w:color w:val="auto"/>
        </w:rPr>
        <w:t xml:space="preserve"> </w:t>
      </w:r>
      <w:r>
        <w:rPr>
          <w:rFonts w:ascii="Arial" w:cs="Arial" w:eastAsia="Arial" w:hAnsi="Arial"/>
          <w:sz w:val="16"/>
          <w:szCs w:val="16"/>
          <w:u w:val="single" w:color="auto"/>
          <w:color w:val="auto"/>
        </w:rPr>
        <w:t>B), or (ii) following the termination of the classification of the Board of Directors, for a term expiring at the next annual meeting of stockholders</w:t>
      </w:r>
      <w:r>
        <w:rPr>
          <w:rFonts w:ascii="Arial" w:cs="Arial" w:eastAsia="Arial" w:hAnsi="Arial"/>
          <w:sz w:val="16"/>
          <w:szCs w:val="16"/>
          <w:color w:val="auto"/>
        </w:rPr>
        <w:t>, and</w:t>
      </w:r>
      <w:r>
        <w:rPr>
          <w:rFonts w:ascii="Arial" w:cs="Arial" w:eastAsia="Arial" w:hAnsi="Arial"/>
          <w:sz w:val="16"/>
          <w:szCs w:val="16"/>
          <w:u w:val="single" w:color="auto"/>
          <w:color w:val="auto"/>
        </w:rPr>
        <w:t>, in either case,</w:t>
      </w:r>
      <w:r>
        <w:rPr>
          <w:rFonts w:ascii="Arial" w:cs="Arial" w:eastAsia="Arial" w:hAnsi="Arial"/>
          <w:sz w:val="16"/>
          <w:szCs w:val="16"/>
          <w:color w:val="auto"/>
        </w:rPr>
        <w:t xml:space="preserve"> until such director’s successor shall have been duly elected and qualified or until his or her earlier</w:t>
      </w:r>
    </w:p>
    <w:p>
      <w:pPr>
        <w:spacing w:after="0" w:line="1" w:lineRule="exact"/>
        <w:rPr>
          <w:sz w:val="20"/>
          <w:szCs w:val="20"/>
          <w:color w:val="auto"/>
        </w:rPr>
      </w:pPr>
    </w:p>
    <w:p>
      <w:pPr>
        <w:ind w:left="968" w:right="160"/>
        <w:spacing w:after="0" w:line="258" w:lineRule="auto"/>
        <w:rPr>
          <w:sz w:val="20"/>
          <w:szCs w:val="20"/>
          <w:color w:val="auto"/>
        </w:rPr>
      </w:pPr>
      <w:r>
        <w:rPr>
          <w:rFonts w:ascii="Arial" w:cs="Arial" w:eastAsia="Arial" w:hAnsi="Arial"/>
          <w:sz w:val="16"/>
          <w:szCs w:val="16"/>
          <w:color w:val="auto"/>
        </w:rPr>
        <w:t xml:space="preserve">resignation, removal from office, death or incapacity. </w:t>
      </w:r>
      <w:r>
        <w:rPr>
          <w:rFonts w:ascii="Arial" w:cs="Arial" w:eastAsia="Arial" w:hAnsi="Arial"/>
          <w:sz w:val="16"/>
          <w:szCs w:val="16"/>
          <w:color w:val="auto"/>
          <w:strike w:val="1"/>
        </w:rPr>
        <w:t>Additional directorships resulting from an increase in the number of directors</w:t>
      </w:r>
      <w:r>
        <w:rPr>
          <w:rFonts w:ascii="Arial" w:cs="Arial" w:eastAsia="Arial" w:hAnsi="Arial"/>
          <w:sz w:val="16"/>
          <w:szCs w:val="16"/>
          <w:color w:val="auto"/>
        </w:rPr>
        <w:t xml:space="preserve"> </w:t>
      </w:r>
      <w:r>
        <w:rPr>
          <w:rFonts w:ascii="Arial" w:cs="Arial" w:eastAsia="Arial" w:hAnsi="Arial"/>
          <w:sz w:val="16"/>
          <w:szCs w:val="16"/>
          <w:color w:val="auto"/>
          <w:strike w:val="1"/>
        </w:rPr>
        <w:t>pursuant to paragraph A of this Article VI shall be apportioned among the three classes as equally as possible. Subject to the provisions of this Restated Certificate of Incorporation, no decrease in the number of directors constituting the Board of Directors shall shorten the</w:t>
      </w:r>
    </w:p>
    <w:p>
      <w:pPr>
        <w:spacing w:after="0" w:line="1" w:lineRule="exact"/>
        <w:rPr>
          <w:sz w:val="20"/>
          <w:szCs w:val="20"/>
          <w:color w:val="auto"/>
        </w:rPr>
      </w:pPr>
    </w:p>
    <w:p>
      <w:pPr>
        <w:jc w:val="both"/>
        <w:ind w:left="968" w:right="20"/>
        <w:spacing w:after="0" w:line="234" w:lineRule="auto"/>
        <w:rPr>
          <w:sz w:val="20"/>
          <w:szCs w:val="20"/>
          <w:color w:val="auto"/>
        </w:rPr>
      </w:pPr>
      <w:r>
        <w:rPr>
          <w:rFonts w:ascii="Arial" w:cs="Arial" w:eastAsia="Arial" w:hAnsi="Arial"/>
          <w:sz w:val="18"/>
          <w:szCs w:val="18"/>
          <w:color w:val="auto"/>
          <w:strike w:val="1"/>
        </w:rPr>
        <w:t>term of any incumbent director.</w:t>
      </w:r>
      <w:r>
        <w:rPr>
          <w:rFonts w:ascii="Arial" w:cs="Arial" w:eastAsia="Arial" w:hAnsi="Arial"/>
          <w:sz w:val="18"/>
          <w:szCs w:val="18"/>
          <w:color w:val="auto"/>
        </w:rPr>
        <w:t xml:space="preserve"> In the event of a vacancy in the Board of Directors, the remaining directors, except as otherwise provided by law, or by the certificate of incorporation or the bylaws of the corporation, may exercise the powers of the full board until the vacancy is filled.</w:t>
      </w:r>
    </w:p>
    <w:p>
      <w:pPr>
        <w:spacing w:after="0" w:line="216" w:lineRule="exact"/>
        <w:rPr>
          <w:sz w:val="20"/>
          <w:szCs w:val="20"/>
          <w:color w:val="auto"/>
        </w:rPr>
      </w:pPr>
    </w:p>
    <w:p>
      <w:pPr>
        <w:ind w:left="188" w:hanging="188"/>
        <w:spacing w:after="0"/>
        <w:tabs>
          <w:tab w:leader="none" w:pos="1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 Article VI.D as follows:</w:t>
      </w:r>
    </w:p>
    <w:p>
      <w:pPr>
        <w:spacing w:after="0" w:line="238" w:lineRule="exact"/>
        <w:rPr>
          <w:rFonts w:ascii="Arial" w:cs="Arial" w:eastAsia="Arial" w:hAnsi="Arial"/>
          <w:sz w:val="18"/>
          <w:szCs w:val="18"/>
          <w:color w:val="auto"/>
        </w:rPr>
      </w:pPr>
    </w:p>
    <w:p>
      <w:pPr>
        <w:ind w:left="968" w:right="20" w:hanging="648"/>
        <w:spacing w:after="0" w:line="247" w:lineRule="auto"/>
        <w:rPr>
          <w:rFonts w:ascii="Arial" w:cs="Arial" w:eastAsia="Arial" w:hAnsi="Arial"/>
          <w:sz w:val="18"/>
          <w:szCs w:val="18"/>
          <w:color w:val="auto"/>
        </w:rPr>
      </w:pPr>
      <w:r>
        <w:rPr>
          <w:rFonts w:ascii="Arial" w:cs="Arial" w:eastAsia="Arial" w:hAnsi="Arial"/>
          <w:sz w:val="17"/>
          <w:szCs w:val="17"/>
          <w:color w:val="auto"/>
        </w:rPr>
        <w:t>D. Removal of Directors</w:t>
      </w:r>
      <w:r>
        <w:rPr>
          <w:rFonts w:ascii="Arial" w:cs="Arial" w:eastAsia="Arial" w:hAnsi="Arial"/>
          <w:sz w:val="17"/>
          <w:szCs w:val="17"/>
          <w:u w:val="single" w:color="auto"/>
          <w:color w:val="auto"/>
        </w:rPr>
        <w:t>.</w:t>
      </w:r>
      <w:r>
        <w:rPr>
          <w:rFonts w:ascii="Arial" w:cs="Arial" w:eastAsia="Arial" w:hAnsi="Arial"/>
          <w:sz w:val="17"/>
          <w:szCs w:val="17"/>
          <w:color w:val="auto"/>
        </w:rPr>
        <w:t xml:space="preserve"> Subject to the special rights of the holders of one or more series of Preferred Stock with respect to the election of directors, </w:t>
      </w:r>
      <w:r>
        <w:rPr>
          <w:rFonts w:ascii="Arial" w:cs="Arial" w:eastAsia="Arial" w:hAnsi="Arial"/>
          <w:sz w:val="17"/>
          <w:szCs w:val="17"/>
          <w:color w:val="auto"/>
          <w:strike w:val="1"/>
        </w:rPr>
        <w:t>any</w:t>
      </w:r>
      <w:r>
        <w:rPr>
          <w:rFonts w:ascii="Arial" w:cs="Arial" w:eastAsia="Arial" w:hAnsi="Arial"/>
          <w:sz w:val="17"/>
          <w:szCs w:val="17"/>
          <w:u w:val="single" w:color="auto"/>
          <w:color w:val="auto"/>
        </w:rPr>
        <w:t>except as otherwise</w:t>
      </w:r>
      <w:r>
        <w:rPr>
          <w:rFonts w:ascii="Arial" w:cs="Arial" w:eastAsia="Arial" w:hAnsi="Arial"/>
          <w:sz w:val="17"/>
          <w:szCs w:val="17"/>
          <w:color w:val="auto"/>
        </w:rPr>
        <w:t xml:space="preserve"> provided by law, each director </w:t>
      </w:r>
      <w:r>
        <w:rPr>
          <w:rFonts w:ascii="Arial" w:cs="Arial" w:eastAsia="Arial" w:hAnsi="Arial"/>
          <w:sz w:val="17"/>
          <w:szCs w:val="17"/>
          <w:color w:val="auto"/>
          <w:strike w:val="1"/>
        </w:rPr>
        <w:t>or the entire Board of Directors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serving in a class of directors for a 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expiring at the third annual meeting of stockholders following the election of such class</w:t>
      </w:r>
      <w:r>
        <w:rPr>
          <w:rFonts w:ascii="Arial" w:cs="Arial" w:eastAsia="Arial" w:hAnsi="Arial"/>
          <w:sz w:val="17"/>
          <w:szCs w:val="17"/>
          <w:color w:val="auto"/>
        </w:rPr>
        <w:t xml:space="preserve"> may be removed only for cause and only by the </w:t>
      </w:r>
      <w:r>
        <w:rPr>
          <w:rFonts w:ascii="Arial" w:cs="Arial" w:eastAsia="Arial" w:hAnsi="Arial"/>
          <w:sz w:val="17"/>
          <w:szCs w:val="17"/>
          <w:u w:val="single" w:color="auto"/>
          <w:color w:val="auto"/>
        </w:rPr>
        <w:t>affirmative vote of the holders of sixty-six and two-thirds percent (66-2/3%) of the voting power of all of the then outstanding shares of the shares of the capital stock of the corporation entitled to vote generally in the election of directors, voting as a single class, and all other directors may be removed with or without cause</w:t>
      </w:r>
      <w:r>
        <w:rPr>
          <w:rFonts w:ascii="Arial" w:cs="Arial" w:eastAsia="Arial" w:hAnsi="Arial"/>
          <w:sz w:val="17"/>
          <w:szCs w:val="17"/>
          <w:color w:val="auto"/>
        </w:rPr>
        <w:t xml:space="preserve"> by the affirmative vote of the holders of sixty-six and two-thirds percent (66-2/3%) of the voting power of all of the then outstanding shares of the shares of the capital stock of the corporation entitled to vote generally in the election of directors, voting as a single class.</w:t>
      </w:r>
    </w:p>
    <w:p>
      <w:pPr>
        <w:spacing w:after="0" w:line="213" w:lineRule="exact"/>
        <w:rPr>
          <w:rFonts w:ascii="Arial" w:cs="Arial" w:eastAsia="Arial" w:hAnsi="Arial"/>
          <w:sz w:val="18"/>
          <w:szCs w:val="18"/>
          <w:color w:val="auto"/>
        </w:rPr>
      </w:pPr>
    </w:p>
    <w:p>
      <w:pPr>
        <w:ind w:left="188" w:hanging="188"/>
        <w:spacing w:after="0"/>
        <w:tabs>
          <w:tab w:leader="none" w:pos="1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 Article X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-1047750</wp:posOffset>
            </wp:positionV>
            <wp:extent cx="5949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4995" cy="8255"/>
                    </a:xfrm>
                    <a:prstGeom prst="rect">
                      <a:avLst/>
                    </a:prstGeom>
                    <a:noFill/>
                  </pic:spPr>
                </pic:pic>
              </a:graphicData>
            </a:graphic>
          </wp:anchor>
        </w:drawing>
        <w:drawing>
          <wp:anchor simplePos="0" relativeHeight="251657728" behindDoc="1" locked="0" layoutInCell="0" allowOverlap="1">
            <wp:simplePos x="0" y="0"/>
            <wp:positionH relativeFrom="column">
              <wp:posOffset>6515735</wp:posOffset>
            </wp:positionH>
            <wp:positionV relativeFrom="paragraph">
              <wp:posOffset>-918845</wp:posOffset>
            </wp:positionV>
            <wp:extent cx="311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205" w:lineRule="exact"/>
        <w:rPr>
          <w:sz w:val="20"/>
          <w:szCs w:val="20"/>
          <w:color w:val="auto"/>
        </w:rPr>
      </w:pPr>
    </w:p>
    <w:p>
      <w:pPr>
        <w:ind w:left="968" w:right="140"/>
        <w:spacing w:after="0" w:line="238" w:lineRule="auto"/>
        <w:rPr>
          <w:sz w:val="20"/>
          <w:szCs w:val="20"/>
          <w:color w:val="auto"/>
        </w:rPr>
      </w:pPr>
      <w:r>
        <w:rPr>
          <w:rFonts w:ascii="Arial" w:cs="Arial" w:eastAsia="Arial" w:hAnsi="Arial"/>
          <w:sz w:val="18"/>
          <w:szCs w:val="18"/>
          <w:color w:val="auto"/>
        </w:rPr>
        <w:t xml:space="preserve">Notwithstanding any other provision of this Restated Certificate of Incorporation, the affirmative vote of the holders of at least sixty-six and two-thirds percent (66-2/3%) of the voting power of all of the then outstanding shares of the capital stock of the corporation entitled to vote generally in the election of directors, voting together as a single class, shall be required to amend in any respect or repeal this Article X, or paragraph </w:t>
      </w:r>
      <w:r>
        <w:rPr>
          <w:rFonts w:ascii="Arial" w:cs="Arial" w:eastAsia="Arial" w:hAnsi="Arial"/>
          <w:sz w:val="18"/>
          <w:szCs w:val="18"/>
          <w:color w:val="auto"/>
          <w:strike w:val="1"/>
        </w:rPr>
        <w:t>A</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Article V, or Article VI, VII, VIII or IX.</w:t>
      </w:r>
    </w:p>
    <w:p>
      <w:pPr>
        <w:spacing w:after="0" w:line="200" w:lineRule="exact"/>
        <w:rPr>
          <w:sz w:val="20"/>
          <w:szCs w:val="20"/>
          <w:color w:val="auto"/>
        </w:rPr>
      </w:pPr>
    </w:p>
    <w:p>
      <w:pPr>
        <w:spacing w:after="0" w:line="3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24" w:right="339" w:bottom="1440" w:gutter="0" w:footer="0" w:header="0"/>
        </w:sectPr>
      </w:pPr>
    </w:p>
    <w:bookmarkStart w:id="85" w:name="page86"/>
    <w:bookmarkEnd w:id="85"/>
    <w:p>
      <w:pPr>
        <w:jc w:val="center"/>
        <w:ind w:right="-99"/>
        <w:spacing w:after="0"/>
        <w:rPr>
          <w:sz w:val="20"/>
          <w:szCs w:val="20"/>
          <w:color w:val="auto"/>
        </w:rPr>
      </w:pPr>
      <w:r>
        <w:rPr>
          <w:rFonts w:ascii="Arial" w:cs="Arial" w:eastAsia="Arial" w:hAnsi="Arial"/>
          <w:sz w:val="18"/>
          <w:szCs w:val="18"/>
          <w:b w:val="1"/>
          <w:bCs w:val="1"/>
          <w:u w:val="single" w:color="auto"/>
          <w:color w:val="auto"/>
        </w:rPr>
        <w:t>APPENDIX C</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OFFICER EXCULPATION 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Amend Article VIII.A as follows:</w:t>
      </w:r>
    </w:p>
    <w:p>
      <w:pPr>
        <w:spacing w:after="0" w:line="239" w:lineRule="exact"/>
        <w:rPr>
          <w:sz w:val="20"/>
          <w:szCs w:val="20"/>
          <w:color w:val="auto"/>
        </w:rPr>
      </w:pPr>
    </w:p>
    <w:p>
      <w:pPr>
        <w:ind w:left="660" w:hanging="323"/>
        <w:spacing w:after="0" w:line="255" w:lineRule="auto"/>
        <w:rPr>
          <w:sz w:val="20"/>
          <w:szCs w:val="20"/>
          <w:color w:val="auto"/>
        </w:rPr>
      </w:pPr>
      <w:r>
        <w:rPr>
          <w:rFonts w:ascii="Arial" w:cs="Arial" w:eastAsia="Arial" w:hAnsi="Arial"/>
          <w:sz w:val="17"/>
          <w:szCs w:val="17"/>
          <w:color w:val="auto"/>
        </w:rPr>
        <w:t xml:space="preserve">A. Limitation on Liability. To the fullest extent permitted by the DGCL, </w:t>
      </w:r>
      <w:r>
        <w:rPr>
          <w:rFonts w:ascii="Arial" w:cs="Arial" w:eastAsia="Arial" w:hAnsi="Arial"/>
          <w:sz w:val="17"/>
          <w:szCs w:val="17"/>
          <w:color w:val="auto"/>
          <w:strike w:val="1"/>
        </w:rPr>
        <w:t>as the same exists or as may hereafter be amended,</w:t>
      </w:r>
      <w:r>
        <w:rPr>
          <w:rFonts w:ascii="Arial" w:cs="Arial" w:eastAsia="Arial" w:hAnsi="Arial"/>
          <w:sz w:val="17"/>
          <w:szCs w:val="17"/>
          <w:u w:val="single" w:color="auto"/>
          <w:color w:val="auto"/>
        </w:rPr>
        <w:t>neither</w:t>
      </w:r>
      <w:r>
        <w:rPr>
          <w:rFonts w:ascii="Arial" w:cs="Arial" w:eastAsia="Arial" w:hAnsi="Arial"/>
          <w:sz w:val="17"/>
          <w:szCs w:val="17"/>
          <w:color w:val="auto"/>
        </w:rPr>
        <w:t xml:space="preserve"> a director </w:t>
      </w:r>
      <w:r>
        <w:rPr>
          <w:rFonts w:ascii="Arial" w:cs="Arial" w:eastAsia="Arial" w:hAnsi="Arial"/>
          <w:sz w:val="17"/>
          <w:szCs w:val="17"/>
          <w:u w:val="single" w:color="auto"/>
          <w:color w:val="auto"/>
        </w:rPr>
        <w:t>nor an</w:t>
      </w:r>
      <w:r>
        <w:rPr>
          <w:rFonts w:ascii="Arial" w:cs="Arial" w:eastAsia="Arial" w:hAnsi="Arial"/>
          <w:sz w:val="17"/>
          <w:szCs w:val="17"/>
          <w:color w:val="auto"/>
        </w:rPr>
        <w:t xml:space="preserve"> </w:t>
      </w:r>
      <w:r>
        <w:rPr>
          <w:rFonts w:ascii="Arial" w:cs="Arial" w:eastAsia="Arial" w:hAnsi="Arial"/>
          <w:sz w:val="17"/>
          <w:szCs w:val="17"/>
          <w:u w:val="single" w:color="auto"/>
          <w:color w:val="auto"/>
        </w:rPr>
        <w:t>officer</w:t>
      </w:r>
      <w:r>
        <w:rPr>
          <w:rFonts w:ascii="Arial" w:cs="Arial" w:eastAsia="Arial" w:hAnsi="Arial"/>
          <w:sz w:val="17"/>
          <w:szCs w:val="17"/>
          <w:color w:val="auto"/>
        </w:rPr>
        <w:t xml:space="preserve"> of the corporation shall </w:t>
      </w:r>
      <w:r>
        <w:rPr>
          <w:rFonts w:ascii="Arial" w:cs="Arial" w:eastAsia="Arial" w:hAnsi="Arial"/>
          <w:sz w:val="17"/>
          <w:szCs w:val="17"/>
          <w:color w:val="auto"/>
          <w:strike w:val="1"/>
        </w:rPr>
        <w:t>not</w:t>
      </w:r>
      <w:r>
        <w:rPr>
          <w:rFonts w:ascii="Arial" w:cs="Arial" w:eastAsia="Arial" w:hAnsi="Arial"/>
          <w:sz w:val="17"/>
          <w:szCs w:val="17"/>
          <w:color w:val="auto"/>
        </w:rPr>
        <w:t xml:space="preserve"> be personally </w:t>
      </w:r>
      <w:r>
        <w:rPr>
          <w:rFonts w:ascii="Arial" w:cs="Arial" w:eastAsia="Arial" w:hAnsi="Arial"/>
          <w:sz w:val="17"/>
          <w:szCs w:val="17"/>
          <w:color w:val="auto"/>
          <w:strike w:val="1"/>
        </w:rPr>
        <w:t>liable to the corporation or its stockholders</w:t>
      </w:r>
      <w:r>
        <w:rPr>
          <w:rFonts w:ascii="Arial" w:cs="Arial" w:eastAsia="Arial" w:hAnsi="Arial"/>
          <w:sz w:val="17"/>
          <w:szCs w:val="17"/>
          <w:color w:val="auto"/>
        </w:rPr>
        <w:t xml:space="preserve"> for monetary damages for breach of fiduciary duty as a director</w:t>
      </w:r>
      <w:r>
        <w:rPr>
          <w:rFonts w:ascii="Arial" w:cs="Arial" w:eastAsia="Arial" w:hAnsi="Arial"/>
          <w:sz w:val="17"/>
          <w:szCs w:val="17"/>
          <w:color w:val="auto"/>
          <w:strike w:val="1"/>
        </w:rPr>
        <w:t>. If</w:t>
      </w:r>
      <w:r>
        <w:rPr>
          <w:rFonts w:ascii="Arial" w:cs="Arial" w:eastAsia="Arial" w:hAnsi="Arial"/>
          <w:sz w:val="17"/>
          <w:szCs w:val="17"/>
          <w:color w:val="auto"/>
        </w:rPr>
        <w:t xml:space="preserve"> </w:t>
      </w:r>
      <w:r>
        <w:rPr>
          <w:rFonts w:ascii="Arial" w:cs="Arial" w:eastAsia="Arial" w:hAnsi="Arial"/>
          <w:sz w:val="17"/>
          <w:szCs w:val="17"/>
          <w:u w:val="single" w:color="auto"/>
          <w:color w:val="auto"/>
        </w:rPr>
        <w:t>or officer, as applicable. Without limiting the effect of the preceding sentence, if</w:t>
      </w:r>
      <w:r>
        <w:rPr>
          <w:rFonts w:ascii="Arial" w:cs="Arial" w:eastAsia="Arial" w:hAnsi="Arial"/>
          <w:sz w:val="17"/>
          <w:szCs w:val="17"/>
          <w:color w:val="auto"/>
        </w:rPr>
        <w:t xml:space="preserve"> the DGCL is amended to authorize corporate action further eliminating or limiting the personal liability of directors </w:t>
      </w:r>
      <w:r>
        <w:rPr>
          <w:rFonts w:ascii="Arial" w:cs="Arial" w:eastAsia="Arial" w:hAnsi="Arial"/>
          <w:sz w:val="17"/>
          <w:szCs w:val="17"/>
          <w:u w:val="single" w:color="auto"/>
          <w:color w:val="auto"/>
        </w:rPr>
        <w:t>or officers</w:t>
      </w:r>
      <w:r>
        <w:rPr>
          <w:rFonts w:ascii="Arial" w:cs="Arial" w:eastAsia="Arial" w:hAnsi="Arial"/>
          <w:sz w:val="17"/>
          <w:szCs w:val="17"/>
          <w:color w:val="auto"/>
        </w:rPr>
        <w:t xml:space="preserve">, then the liability of a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of the corporation shall be eliminated or limited to the fullest extent permitted by the DGCL, as so amended.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8665845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731520</wp:posOffset>
            </wp:positionV>
            <wp:extent cx="5863590" cy="7174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63590" cy="7174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38576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857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o"/>
      <w:numFmt w:val="bullet"/>
      <w:start w:val="1"/>
    </w:lvl>
  </w:abstractNum>
  <w:abstractNum w:abstractNumId="1">
    <w:nsid w:val="77465F01"/>
    <w:multiLevelType w:val="hybridMultilevel"/>
    <w:lvl w:ilvl="0">
      <w:lvlJc w:val="left"/>
      <w:lvlText w:val="x"/>
      <w:numFmt w:val="bullet"/>
      <w:start w:val="1"/>
    </w:lvl>
  </w:abstractNum>
  <w:abstractNum w:abstractNumId="2">
    <w:nsid w:val="7724C67E"/>
    <w:multiLevelType w:val="hybridMultilevel"/>
    <w:lvl w:ilvl="0">
      <w:lvlJc w:val="left"/>
      <w:lvlText w:val="o"/>
      <w:numFmt w:val="bullet"/>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1)"/>
      <w:numFmt w:val="decimal"/>
      <w:start w:val="3"/>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3"/>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4"/>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2"/>
    </w:lvl>
  </w:abstractNum>
  <w:abstractNum w:abstractNumId="43">
    <w:nsid w:val="235BA861"/>
    <w:multiLevelType w:val="hybridMultilevel"/>
    <w:lvl w:ilvl="0">
      <w:lvlJc w:val="left"/>
      <w:lvlText w:val="%1."/>
      <w:numFmt w:val="decimal"/>
      <w:start w:val="4"/>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3"/>
    </w:lvl>
  </w:abstractNum>
  <w:abstractNum w:abstractNumId="48">
    <w:nsid w:val="D34B6A8"/>
    <w:multiLevelType w:val="hybridMultilevel"/>
    <w:lvl w:ilvl="0">
      <w:lvlJc w:val="left"/>
      <w:lvlText w:val="%1."/>
      <w:numFmt w:val="decimal"/>
      <w:start w:val="4"/>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decimal"/>
      <w:start w:val="5"/>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decimal"/>
      <w:start w:val="6"/>
    </w:lvl>
  </w:abstractNum>
  <w:abstractNum w:abstractNumId="53">
    <w:nsid w:val="77AE35EB"/>
    <w:multiLevelType w:val="hybridMultilevel"/>
    <w:lvl w:ilvl="0">
      <w:lvlJc w:val="left"/>
      <w:lvlText w:val="%1."/>
      <w:numFmt w:val="decimal"/>
      <w:start w:val="7"/>
    </w:lvl>
  </w:abstractNum>
  <w:abstractNum w:abstractNumId="54">
    <w:nsid w:val="579BE4F1"/>
    <w:multiLevelType w:val="hybridMultilevel"/>
    <w:lvl w:ilvl="0">
      <w:lvlJc w:val="left"/>
      <w:lvlText w:val="%1."/>
      <w:numFmt w:val="decimal"/>
      <w:start w:val="8"/>
    </w:lvl>
  </w:abstractNum>
  <w:abstractNum w:abstractNumId="55">
    <w:nsid w:val="310C50B3"/>
    <w:multiLevelType w:val="hybridMultilevel"/>
    <w:lvl w:ilvl="0">
      <w:lvlJc w:val="left"/>
      <w:lvlText w:val="%1."/>
      <w:numFmt w:val="decimal"/>
      <w:start w:val="9"/>
    </w:lvl>
  </w:abstractNum>
  <w:abstractNum w:abstractNumId="56">
    <w:nsid w:val="5FF87E05"/>
    <w:multiLevelType w:val="hybridMultilevel"/>
    <w:lvl w:ilvl="0">
      <w:lvlJc w:val="left"/>
      <w:lvlText w:val="%1."/>
      <w:numFmt w:val="decimal"/>
      <w:start w:val="10"/>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decimal"/>
      <w:start w:val="11"/>
    </w:lvl>
    <w:lvl w:ilvl="1">
      <w:lvlJc w:val="left"/>
      <w:lvlText w:val="(%2)"/>
      <w:numFmt w:val="lowerLetter"/>
      <w:start w:val="1"/>
    </w:lvl>
  </w:abstractNum>
  <w:abstractNum w:abstractNumId="59">
    <w:nsid w:val="1DBABF00"/>
    <w:multiLevelType w:val="hybridMultilevel"/>
    <w:lvl w:ilvl="0">
      <w:lvlJc w:val="left"/>
      <w:lvlText w:val="%1."/>
      <w:numFmt w:val="decimal"/>
      <w:start w:val="12"/>
    </w:lvl>
  </w:abstractNum>
  <w:abstractNum w:abstractNumId="60">
    <w:nsid w:val="4AD084E9"/>
    <w:multiLevelType w:val="hybridMultilevel"/>
    <w:lvl w:ilvl="0">
      <w:lvlJc w:val="left"/>
      <w:lvlText w:val="%1."/>
      <w:numFmt w:val="decimal"/>
      <w:start w:val="13"/>
    </w:lvl>
  </w:abstractNum>
  <w:abstractNum w:abstractNumId="61">
    <w:nsid w:val="1F48EAA1"/>
    <w:multiLevelType w:val="hybridMultilevel"/>
    <w:lvl w:ilvl="0">
      <w:lvlJc w:val="left"/>
      <w:lvlText w:val="%1."/>
      <w:numFmt w:val="decimal"/>
      <w:start w:val="14"/>
    </w:lvl>
  </w:abstractNum>
  <w:abstractNum w:abstractNumId="62">
    <w:nsid w:val="1381823A"/>
    <w:multiLevelType w:val="hybridMultilevel"/>
    <w:lvl w:ilvl="0">
      <w:lvlJc w:val="left"/>
      <w:lvlText w:val="%1."/>
      <w:numFmt w:val="decimal"/>
      <w:start w:val="16"/>
    </w:lvl>
  </w:abstractNum>
  <w:abstractNum w:abstractNumId="63">
    <w:nsid w:val="5DB70AE5"/>
    <w:multiLevelType w:val="hybridMultilevel"/>
    <w:lvl w:ilvl="0">
      <w:lvlJc w:val="left"/>
      <w:lvlText w:val="%1."/>
      <w:numFmt w:val="decimal"/>
      <w:start w:val="21"/>
    </w:lvl>
  </w:abstractNum>
  <w:abstractNum w:abstractNumId="64">
    <w:nsid w:val="100F8FCA"/>
    <w:multiLevelType w:val="hybridMultilevel"/>
    <w:lvl w:ilvl="0">
      <w:lvlJc w:val="left"/>
      <w:lvlText w:val="%1."/>
      <w:numFmt w:val="decimal"/>
      <w:start w:val="22"/>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lowerLetter"/>
      <w:start w:val="9"/>
    </w:lvl>
  </w:abstractNum>
  <w:abstractNum w:abstractNumId="68">
    <w:nsid w:val="98A3148"/>
    <w:multiLevelType w:val="hybridMultilevel"/>
    <w:lvl w:ilvl="0">
      <w:lvlJc w:val="left"/>
      <w:lvlText w:val="(%1)"/>
      <w:numFmt w:val="lowerLetter"/>
      <w:start w:val="27"/>
    </w:lvl>
  </w:abstractNum>
  <w:abstractNum w:abstractNumId="69">
    <w:nsid w:val="799D0247"/>
    <w:multiLevelType w:val="hybridMultilevel"/>
    <w:lvl w:ilvl="0">
      <w:lvlJc w:val="left"/>
      <w:lvlText w:val="(%1)"/>
      <w:numFmt w:val="lowerLetter"/>
      <w:start w:val="48"/>
    </w:lvl>
  </w:abstractNum>
  <w:abstractNum w:abstractNumId="70">
    <w:nsid w:val="6B94764"/>
    <w:multiLevelType w:val="hybridMultilevel"/>
    <w:lvl w:ilvl="0">
      <w:lvlJc w:val="left"/>
      <w:lvlText w:val="%1."/>
      <w:numFmt w:val="decimal"/>
      <w:start w:val="1"/>
    </w:lvl>
    <w:lvl w:ilvl="1">
      <w:lvlJc w:val="left"/>
      <w:lvlText w:val="%2."/>
      <w:numFmt w:val="upperLetter"/>
      <w:start w:val="2"/>
    </w:lvl>
  </w:abstractNum>
  <w:abstractNum w:abstractNumId="71">
    <w:nsid w:val="42C296BD"/>
    <w:multiLevelType w:val="hybridMultilevel"/>
    <w:lvl w:ilvl="0">
      <w:lvlJc w:val="left"/>
      <w:lvlText w:val="%1."/>
      <w:numFmt w:val="decimal"/>
      <w:start w:val="4"/>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2023-04-27T15:53:46Z</dcterms:created>
  <dcterms:modified xsi:type="dcterms:W3CDTF">2023-04-27T15:53:46Z</dcterms:modified>
</cp:coreProperties>
</file>