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2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11,780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335,711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5,971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329,740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restricted stock units ("RSUs") earned by the Reporting Person upon the achievement of performance goals for the one-year period ended December 31, 2023, as reflected in the financial statements and certified by the Compensation Committee of the Board of Directors on March 15, 2024. The RSUs vested March 15, 2024.</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5,971 shares of common stock to satisfy the reporting person's tax withholding obligations in connection with the vesting of 11,780 Performance Stock Units vested on March 15, 2024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2024-03-19T15:55:47Z</dcterms:created>
  <dcterms:modified xsi:type="dcterms:W3CDTF">2024-03-19T15:55:47Z</dcterms:modified>
</cp:coreProperties>
</file>