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3"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62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626"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626"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626"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(Do not check if a</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46" w:lineRule="exact"/>
        <w:rPr>
          <w:sz w:val="24"/>
          <w:szCs w:val="24"/>
          <w:color w:val="auto"/>
        </w:rPr>
      </w:pPr>
    </w:p>
    <w:p>
      <w:pPr>
        <w:sectPr>
          <w:pgSz w:w="11900" w:h="16838" w:orient="portrait"/>
          <w:cols w:equalWidth="0" w:num="4">
            <w:col w:w="2320" w:space="720"/>
            <w:col w:w="1980" w:space="720"/>
            <w:col w:w="2460" w:space="720"/>
            <w:col w:w="2360"/>
          </w:cols>
          <w:pgMar w:left="240" w:top="233" w:right="379" w:bottom="626"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May 1, 2015, there were 27,462,532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626" w:gutter="0" w:footer="0" w:header="0"/>
          <w:type w:val="continuous"/>
        </w:sectPr>
      </w:pPr>
    </w:p>
    <w:bookmarkStart w:id="1" w:name="page2"/>
    <w:bookmarkEnd w:id="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11"/>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180" w:type="dxa"/>
            <w:vAlign w:val="bottom"/>
            <w:gridSpan w:val="6"/>
            <w:vMerge w:val="restart"/>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11"/>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30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Consolidated Financial Statements (Unaudited)</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gridSpan w:val="1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March 31, 2015 and December 31, 2014</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80" w:type="dxa"/>
            <w:vAlign w:val="bottom"/>
            <w:gridSpan w:val="2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and Comprehensive Loss for the Three Month Periods Ended March 31, 2015 and</w:t>
              </w:r>
            </w:hyperlink>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2014</w:t>
              </w:r>
            </w:hyperlink>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Three Month Periods Ended March 31, 2015 and 2014</w:t>
              </w:r>
            </w:hyperlink>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the Condensed Consolidated Financial Statements</w:t>
              </w:r>
            </w:hyperlink>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300" w:type="dxa"/>
            <w:vAlign w:val="bottom"/>
            <w:gridSpan w:val="16"/>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Item 2. Management’s Discussion and Analysis of Financial Condition and Results of Operations</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23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448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570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5. Other Information</w:t>
              </w:r>
            </w:hyperlink>
          </w:p>
        </w:tc>
        <w:tc>
          <w:tcPr>
            <w:tcW w:w="54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30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gridSpan w:val="17"/>
          </w:tcPr>
          <w:p>
            <w:pPr>
              <w:spacing w:after="0"/>
              <w:rPr>
                <w:sz w:val="20"/>
                <w:szCs w:val="20"/>
                <w:color w:val="auto"/>
              </w:rPr>
            </w:pPr>
            <w:r>
              <w:rPr>
                <w:rFonts w:ascii="Arial" w:cs="Arial" w:eastAsia="Arial" w:hAnsi="Arial"/>
                <w:sz w:val="18"/>
                <w:szCs w:val="18"/>
                <w:color w:val="auto"/>
              </w:rPr>
              <w:t>EXHIBIT INDEX</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5"/>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center"/>
              <w:ind w:right="116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4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17"/>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VERACYTE, INC.</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4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0"/>
                <w:szCs w:val="10"/>
                <w:color w:val="auto"/>
              </w:rPr>
            </w:pPr>
          </w:p>
        </w:tc>
        <w:tc>
          <w:tcPr>
            <w:tcW w:w="1580" w:type="dxa"/>
            <w:vAlign w:val="bottom"/>
            <w:gridSpan w:val="3"/>
          </w:tcPr>
          <w:p>
            <w:pPr>
              <w:jc w:val="center"/>
              <w:ind w:right="42"/>
              <w:spacing w:after="0" w:line="119" w:lineRule="exact"/>
              <w:rPr>
                <w:sz w:val="20"/>
                <w:szCs w:val="20"/>
                <w:color w:val="auto"/>
              </w:rPr>
            </w:pPr>
            <w:r>
              <w:rPr>
                <w:rFonts w:ascii="Arial" w:cs="Arial" w:eastAsia="Arial" w:hAnsi="Arial"/>
                <w:sz w:val="13"/>
                <w:szCs w:val="13"/>
                <w:b w:val="1"/>
                <w:bCs w:val="1"/>
                <w:color w:val="auto"/>
              </w:rPr>
              <w:t>(Derived from audited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financial statements)</w:t>
            </w: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300" w:type="dxa"/>
            <w:vAlign w:val="bottom"/>
            <w:gridSpan w:val="16"/>
          </w:tcPr>
          <w:p>
            <w:pPr>
              <w:spacing w:after="0" w:line="201" w:lineRule="exact"/>
              <w:rPr>
                <w:sz w:val="20"/>
                <w:szCs w:val="20"/>
                <w:color w:val="auto"/>
              </w:rPr>
            </w:pPr>
            <w:r>
              <w:rPr>
                <w:rFonts w:ascii="Arial" w:cs="Arial" w:eastAsia="Arial" w:hAnsi="Arial"/>
                <w:sz w:val="18"/>
                <w:szCs w:val="18"/>
                <w:color w:val="auto"/>
                <w:w w:val="96"/>
              </w:rPr>
              <w:t>Accounts receivable, net of allowance of $85 and $84 as of March 31, 2015 and December 31,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4"/>
          </w:tcPr>
          <w:p>
            <w:pPr>
              <w:ind w:left="36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20"/>
                <w:szCs w:val="20"/>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Supplies inventory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6"/>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6"/>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1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33,691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4,161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100" w:type="dxa"/>
            <w:vAlign w:val="bottom"/>
            <w:tcBorders>
              <w:top w:val="single" w:sz="8" w:color="CCEEFF"/>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gridSpan w:val="17"/>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6"/>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6,854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7,397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6"/>
          </w:tcPr>
          <w:p>
            <w:pPr>
              <w:spacing w:after="0"/>
              <w:rPr>
                <w:sz w:val="20"/>
                <w:szCs w:val="20"/>
                <w:color w:val="auto"/>
              </w:rPr>
            </w:pPr>
            <w:r>
              <w:rPr>
                <w:rFonts w:ascii="Arial" w:cs="Arial" w:eastAsia="Arial" w:hAnsi="Arial"/>
                <w:sz w:val="18"/>
                <w:szCs w:val="18"/>
                <w:color w:val="auto"/>
              </w:rPr>
              <w:t>Deferred Genzyme co-promotion fee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1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4,923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19,981</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8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5)</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17"/>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7300" w:type="dxa"/>
            <w:vAlign w:val="bottom"/>
            <w:gridSpan w:val="16"/>
            <w:shd w:val="clear" w:color="auto" w:fill="CCEEFF"/>
          </w:tcPr>
          <w:p>
            <w:pPr>
              <w:spacing w:after="0" w:line="201" w:lineRule="exact"/>
              <w:rPr>
                <w:sz w:val="20"/>
                <w:szCs w:val="20"/>
                <w:color w:val="auto"/>
              </w:rPr>
            </w:pPr>
            <w:r>
              <w:rPr>
                <w:rFonts w:ascii="Arial" w:cs="Arial" w:eastAsia="Arial" w:hAnsi="Arial"/>
                <w:sz w:val="18"/>
                <w:szCs w:val="18"/>
                <w:color w:val="auto"/>
                <w:w w:val="92"/>
              </w:rPr>
              <w:t>Preferred stock, $0.001 par value; 5,000,000 shares authorized, No shares issued and outstanding</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730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as of March 31, 2015 and December 31, 2014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300" w:type="dxa"/>
            <w:vAlign w:val="bottom"/>
            <w:gridSpan w:val="16"/>
          </w:tcPr>
          <w:p>
            <w:pPr>
              <w:spacing w:after="0" w:line="201" w:lineRule="exact"/>
              <w:rPr>
                <w:sz w:val="20"/>
                <w:szCs w:val="20"/>
                <w:color w:val="auto"/>
              </w:rPr>
            </w:pPr>
            <w:r>
              <w:rPr>
                <w:rFonts w:ascii="Arial" w:cs="Arial" w:eastAsia="Arial" w:hAnsi="Arial"/>
                <w:sz w:val="18"/>
                <w:szCs w:val="18"/>
                <w:color w:val="auto"/>
                <w:w w:val="96"/>
              </w:rPr>
              <w:t>Common stock, $0.001 par value; 125,000,000 shares authorized, 22,551,745 and 22,523,529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300" w:type="dxa"/>
            <w:vAlign w:val="bottom"/>
            <w:gridSpan w:val="16"/>
          </w:tcPr>
          <w:p>
            <w:pPr>
              <w:ind w:left="180"/>
              <w:spacing w:after="0"/>
              <w:rPr>
                <w:sz w:val="20"/>
                <w:szCs w:val="20"/>
                <w:color w:val="auto"/>
              </w:rPr>
            </w:pPr>
            <w:r>
              <w:rPr>
                <w:rFonts w:ascii="Arial" w:cs="Arial" w:eastAsia="Arial" w:hAnsi="Arial"/>
                <w:sz w:val="18"/>
                <w:szCs w:val="18"/>
                <w:color w:val="auto"/>
                <w:w w:val="98"/>
              </w:rPr>
              <w:t>shares issued and outstanding as of March 31, 2015 and December 31, 2014, respectively</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-6949440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-6949440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6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157,688</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156,373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(122,632)</w:t>
            </w:r>
          </w:p>
        </w:tc>
        <w:tc>
          <w:tcPr>
            <w:tcW w:w="58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(115,022)</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Pr>
          <w:p>
            <w:pPr>
              <w:spacing w:after="0"/>
              <w:rPr>
                <w:sz w:val="18"/>
                <w:szCs w:val="18"/>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55,060</w:t>
            </w:r>
          </w:p>
        </w:tc>
        <w:tc>
          <w:tcPr>
            <w:tcW w:w="30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net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6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used to compute net loss per common share, basic and diluted</w:t>
            </w:r>
          </w:p>
        </w:tc>
        <w:tc>
          <w:tcPr>
            <w:tcW w:w="1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22,539,723</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21,148,342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(7,610)</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(6,674)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Genzyme co-promotion fee amortization</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Amortization of debt discount and issuance costs</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debt balloon payment</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Supplies inventory</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Accrued liabilities and deferred rent</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(2,493)</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(2,563)</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(8,867)</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(6,757)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67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Proceeds from the exercise of common stock options</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(6,983)</w:t>
            </w:r>
          </w:p>
        </w:tc>
        <w:tc>
          <w:tcPr>
            <w:tcW w:w="100" w:type="dxa"/>
            <w:vAlign w:val="bottom"/>
            <w:gridSpan w:val="2"/>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35,014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71,220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25,798</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Veracyte, Inc. (the “Company”) was incorporated in the state of Delaware in August 2006 as Calderome, Inc. Calderome operated as an incubator until early 2008. In March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diagnosis—diseases where many healthy patients undergo costly interventions that ultimately prove unnecessary. The Company improves the accuracy of diagnosis at an earlier stage of patient care by deriving clinically actionable genomic information from cytology samples.</w:t>
      </w:r>
    </w:p>
    <w:p>
      <w:pPr>
        <w:spacing w:after="0" w:line="158"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Company’s first commercial solution, the Afirma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comprehensive offering also includes cytopathology testing and the Afirma Malignancy Classifiers, launched in May 2014. The Company markets and sells Afirma through a co-promotion agreement with Genzyme Corporation, a subsidiary of Sanofi.</w:t>
      </w:r>
    </w:p>
    <w:p>
      <w:pPr>
        <w:spacing w:after="0" w:line="20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September 2014, the Company acquired Allegro Diagnostics Corp. (“Allegro”) to accelerate its entry into pulmonology, the Company’s second planned clinical area. Allegro was focused on the development of genomic tests to improve the preoperative diagnosis of lung cancer. See Note 2. In April 2015, the Company entered the lung cancer diagnostics market with the Percepta™ Bronchial Genomic Classifier, a new genomic test to resolve ambiguity in lung cancer diagnosis. See Note 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April 2015, the Company received approximately $37.3 million in net proceeds from the sale of its common stock in a private placement.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 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The accompanying interim period condensed consolidated financial statements have been prepared in accordance with accounting principles generally accepted in the United States (“GAAP”) and applicable rules and regulations of the Securities and Exchange Commission (“SEC”) regarding interim financial reporting. The condensed consolidated financial statements include the accounts of the Company and its wholly-owned subsidiary. All intercompany accounts and transactions have been eliminated in consolidation. Certain information and note disclosures normally included in the financial statements prepared in accordance with GAAP have been condensed or omitted pursuant to such rules and regulations. The condensed consolidated balance sheet as of March 31, 2015, the condensed consolidated statements of operations and comprehensive loss and the condensed consolidated statements of cash flows for the three months ended March 31, 2015 and 2014, are unaudited, but include all adjustments, consisting only of normal recurring adjustments, which the Company considers necessary for a fair presentation of its financial position, operating results and cash flows for the periods presented. The condensed consolidated balance sheet at December 31, 2014 has been derived from audited financial statements. The results for the three months ended March 31, 2015 are not necessarily indicative of the results expected for the full fiscal year or any other period.</w:t>
      </w:r>
    </w:p>
    <w:p>
      <w:pPr>
        <w:spacing w:after="0" w:line="16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the unaudited interim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these estimates and assumptions.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as required by the loan and security agreement discussed in Note 6.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Through March 31, 2015, all of the Company’s revenues have been derived from the sale of Afirma. The Company’s solution to date has been delivered primarily to physicians in the United States. The Company’s third-party payers in excess of 10% of revenue and their related revenue as a percentage of revenue were as follows: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18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66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Aetna</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Cigna</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UnitedHealthcare</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revenue.</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Company’s significant third-party payers and their related accounts receivable balance at March 31, 2015 and December 31, 2014 as a percentage of total accounts receivable are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Medicare</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Aetna</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Cigna</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UnitedHealthcare</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for these periods.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of amounts invested in a money market account primarily consisting of U.S. Treasury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had deposits of $118,000 as of March 31, 2015 and December 31, 2014, restricted from withdrawal and held by a bank in the form of collateral for irrevocable standby letters of credit totaling $118,000 held as security for the lease of the Company’s headquarters and laboratory facilities in South San Francisco that expires March 31, 2016. This restricted cash is included in current assets as of March 31, 2015 and in long-term assets as of December 31, 2014 on the Company’s condensed consolidated balance sheets.</w:t>
      </w:r>
    </w:p>
    <w:p>
      <w:pPr>
        <w:spacing w:after="0" w:line="18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 reserved $70,000 in cash as of December 31, 2014 to cover liabilities associated with the acquisition of Allegro. This amount was paid in March 2015. This restricted cash was included in current assets on the Company’s condensed consolidated balance sheet at December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balance of allowance for doubtful accounts as of March 31, 2015 and December 31, 2014 was $85,000 and $84,000, respectively. Write-offs for doubtful accounts of $21,000 were recorded against the allowance during the three months ended March 31, 2015. There were no write-offs for doubtful accounts during the three months ended March 31, 2014. Bad debt expense was $22,000 and $28,000 for the three months ended March 31, 2015 and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ectPr>
          <w:pgSz w:w="11900" w:h="16838" w:orient="portrait"/>
          <w:cols w:equalWidth="0" w:num="1">
            <w:col w:w="11400"/>
          </w:cols>
          <w:pgMar w:left="240" w:top="341" w:right="259" w:bottom="46" w:gutter="0" w:footer="0" w:header="0"/>
        </w:sectPr>
      </w:pPr>
    </w:p>
    <w:bookmarkStart w:id="5" w:name="page6"/>
    <w:bookmarkEnd w:id="5"/>
    <w:p>
      <w:pPr>
        <w:ind w:right="100" w:firstLine="648"/>
        <w:spacing w:after="0" w:line="277"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cytopathology and GEC test processing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capitalizes costs incurred in the application development stage to design and implement the software used in the tracking and reporting of laboratory activity. Costs incurred in the development of application software are capitalized and amortized over an estimated useful life of three years on a straight line basis. The total cost, accumulated depreciation and net book value was $1,008,000, $385,000 and $623,000, respectively, as of March 31, 2015, and was $927,000, $330,000 and $597,000, respectively, as of December 31, 2014, and are included in property and equipment in the Company’s condensed consolidated balance sheets. During the three months ended March 31, 2015 and 2014, the Company capitalized $81,000 and $25,000, respectively, of software development costs. Amortization expense totaled $55,000 and $32,000 in the three months ended March 31, 2015 and 2014,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right="480" w:firstLine="648"/>
        <w:spacing w:after="0" w:line="288" w:lineRule="auto"/>
        <w:rPr>
          <w:sz w:val="20"/>
          <w:szCs w:val="20"/>
          <w:color w:val="auto"/>
        </w:rPr>
      </w:pPr>
      <w:r>
        <w:rPr>
          <w:rFonts w:ascii="Arial" w:cs="Arial" w:eastAsia="Arial" w:hAnsi="Arial"/>
          <w:sz w:val="16"/>
          <w:szCs w:val="16"/>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w:t>
      </w:r>
    </w:p>
    <w:p>
      <w:pPr>
        <w:ind w:right="140"/>
        <w:spacing w:after="0" w:line="261"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the Company’s operating results from the date of acquisition.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Goodwill, derived from the Company’s acquisition of Allegro, is reviewed for impairment annually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three months ended March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Company’s intangible assets are comprised of acquired in-process research and development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 There was no impairment for the three months ended March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The Company reviews long-lived and indefinite-lived assets other than goodwill for impairment annually or more frequently if events or circumstances indicate that the carrying amount of the assets may not be recoverable.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three months ended March 31, 2015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The Company accrued $0.7 million and $1.1 million as of March 31, 2015 and December 31, 2014, respectively, for liabilities associated with these employee and executive bonus plans which are included in accrued liabilities in the Company’s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ectPr>
          <w:pgSz w:w="11900" w:h="16838" w:orient="portrait"/>
          <w:cols w:equalWidth="0" w:num="1">
            <w:col w:w="11380"/>
          </w:cols>
          <w:pgMar w:left="240" w:top="125" w:right="279" w:bottom="0" w:gutter="0" w:footer="0" w:header="0"/>
        </w:sectPr>
      </w:pPr>
    </w:p>
    <w:bookmarkStart w:id="6" w:name="page7"/>
    <w:bookmarkEnd w:id="6"/>
    <w:p>
      <w:pPr>
        <w:spacing w:after="0" w:line="13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payers on an accrual basis, net of contractual adjustments, when a reasonable estimate of reimbursement can be made. These contractual adjustments represent the difference between the list price (the billing rate) and the reimbursement rate for each payer. Upon ultimate collection, the amount received from Medicare and commercial payers where reimbursement was estimated is compared to previous estimates and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and a reasonable estimate of reimbursement can be made.</w:t>
      </w:r>
    </w:p>
    <w:p>
      <w:pPr>
        <w:spacing w:after="0" w:line="14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Persuasive evidence of an arrangement exists and delivery is deemed to have occurred upon delivery of a patient report to the prescribing physician. The assessment of whether a reasonable estimate of reimbursement can be made requires significant judgment by management. Where management’s judgment indicates a reasonable estimate of reimbursement can be made, revenue is recognized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reasonably estimate reimbursement, the Company recognizes revenue upon receipt of third-party payer notification of payment or when cash is received.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when cash is received was $5.8 million and $5.1 million for the three months ended March 31,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on an accrual basis was $5.4 million and $2.4 million for the three months ended March 31, 2015 and 2014,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Research and development costs are charged to operations as incurred. Research and development costs include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60" w:firstLine="648"/>
        <w:spacing w:after="0" w:line="340"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w:t>
      </w:r>
    </w:p>
    <w:p>
      <w:pPr>
        <w:sectPr>
          <w:pgSz w:w="11900" w:h="16975" w:orient="portrait"/>
          <w:cols w:equalWidth="0" w:num="1">
            <w:col w:w="11420"/>
          </w:cols>
          <w:pgMar w:left="240" w:top="125" w:right="239" w:bottom="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t>attributable to common stockholders by the weighted-average number of common share equivalents outstanding for the period determined using the treasury stock method. Potentially dilutive securities consisting of options to purchase common stock of 4,270,198 and 3,166,419 for the three months ended March 31, 2015 and 2014, respectively, are considered to be common stock equivalents and were excluded from the calculation of diluted net loss per common share because their effect would be anti-dilutive for all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GAAP when it becomes effective and permits the use of either the retrospective or cumulative effect transition method. Early adoption is not permitted. The updated standard becomes effective for the Company in the first quarter of fiscal 2017. In April 2015, the FASB voted to issue a proposal which would defer the adoption of this standard update until the first quarter of fiscal 2018. The Company has not yet selected a transition method and is currently evaluating the potential effect of the updated standard on its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September 16, 2014, the Company acquired Allegro via a merger with Full Moon Acquisition, Inc., a wholly-owned subsidiary of the Company. Allegro was a privately-held company based in Maynard, Massachusetts, focused on the development of genomic tests to improve the preoperative diagnosis of lung cancer. Allegro merged with Full Moon (the “Merger”), with Allegro surviving the Merger as a wholly-owned subsidiary of the Company. At the effective time of the Merger, each share of the common stock of Full Moon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canceled.</w:t>
      </w:r>
    </w:p>
    <w:p>
      <w:pPr>
        <w:spacing w:after="0" w:line="16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acquisition of Allegro accelerated the Company’s molecular diagnostics business into the pulmonology diagnostics market. Allegro’s lung cancer test, called Percepta, is designed to help physicians determine which patients with lung nodules who have had a non-diagnostic bronchoscopy result are at low risk for cancer and can thus be safely monitored with CT scans rather than undergoing invasive procedures. The Company launched Percepta in April 2015.</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allocated based on the estimated fair value of the assets acquired and liabilities assumed at the date of the acquisition.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incurred approximately $0.5 million in acquisition-related costs related to the Merger, which primarily consisted of legal, accounting and valuation-related expenses. In addition, the Company incurred $1.2 million related to transaction bonuses and severance payments to former Allegro employees associated with the Merger. These expenses were recorded in general and administrative expense in the condensed consolidated statements of operations and comprehensive loss.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Total acquisition consideration</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 consideration of $10.1 million was determined based on the closing price of the Company’s common stock on September 16, 2014 ($10.45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at the closing date of the Merger are summarized below (in thousands):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assets, net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(“IPR&amp;D”)</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8"/>
                <w:szCs w:val="18"/>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acquisition consideration</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was accounted for as an indefinite-lived intangible asset prior to the beginning of amortization. Amortization of the IPR&amp;D began in April 2015 when research and development activities were deemed to be completed and is recorded on a straight-line basis. The amortization period of the IPR&amp;D is over its estimated useful life of 15 years after taking into consideration expected use of the asset, legal or regulatory provisions that may limit or extend the life of the asset, as well as the effects of obsolescence and other economic factors. See Note 12.</w:t>
      </w:r>
    </w:p>
    <w:p>
      <w:pPr>
        <w:spacing w:after="0" w:line="18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Goodwill, which represents the purchase price in excess of the fair value of net assets acquired, is not expected to be deductible for income tax purposes. This goodwill is reflective of the value derived from the acceleration of the Company’s entry into the pulmonology market.</w:t>
      </w:r>
    </w:p>
    <w:p>
      <w:pPr>
        <w:sectPr>
          <w:pgSz w:w="11900" w:h="16838" w:orient="portrait"/>
          <w:cols w:equalWidth="0" w:num="1">
            <w:col w:w="11420"/>
          </w:cols>
          <w:pgMar w:left="240" w:top="125" w:right="239" w:bottom="0" w:gutter="0" w:footer="0" w:header="0"/>
        </w:sectPr>
      </w:pPr>
    </w:p>
    <w:bookmarkStart w:id="8" w:name="page9"/>
    <w:bookmarkEnd w:id="8"/>
    <w:p>
      <w:pPr>
        <w:ind w:right="160" w:firstLine="648"/>
        <w:spacing w:after="0" w:line="277" w:lineRule="auto"/>
        <w:rPr>
          <w:sz w:val="20"/>
          <w:szCs w:val="20"/>
          <w:color w:val="auto"/>
        </w:rPr>
      </w:pPr>
      <w:r>
        <w:rPr>
          <w:rFonts w:ascii="Arial" w:cs="Arial" w:eastAsia="Arial" w:hAnsi="Arial"/>
          <w:sz w:val="18"/>
          <w:szCs w:val="18"/>
          <w:color w:val="auto"/>
        </w:rPr>
        <w:t>The following pro forma financial information is based on the historical financial statements of the Company and presents the Company’s results as if the Merger had occurred as of January 1, 2013 (in thousands):</w:t>
      </w:r>
    </w:p>
    <w:p>
      <w:pPr>
        <w:spacing w:after="0" w:line="162" w:lineRule="exact"/>
        <w:rPr>
          <w:sz w:val="20"/>
          <w:szCs w:val="20"/>
          <w:color w:val="auto"/>
        </w:rPr>
      </w:pPr>
    </w:p>
    <w:p>
      <w:pPr>
        <w:jc w:val="center"/>
        <w:ind w:right="2860"/>
        <w:spacing w:after="0"/>
        <w:rPr>
          <w:sz w:val="20"/>
          <w:szCs w:val="20"/>
          <w:color w:val="auto"/>
        </w:rPr>
      </w:pPr>
      <w:r>
        <w:rPr>
          <w:rFonts w:ascii="Arial" w:cs="Arial" w:eastAsia="Arial" w:hAnsi="Arial"/>
          <w:sz w:val="14"/>
          <w:szCs w:val="14"/>
          <w:b w:val="1"/>
          <w:bCs w:val="1"/>
          <w:color w:val="auto"/>
        </w:rPr>
        <w:t>Three Months Ended</w:t>
      </w:r>
    </w:p>
    <w:p>
      <w:pPr>
        <w:jc w:val="center"/>
        <w:ind w:right="2860"/>
        <w:spacing w:after="0" w:line="226" w:lineRule="auto"/>
        <w:rPr>
          <w:sz w:val="20"/>
          <w:szCs w:val="20"/>
          <w:color w:val="auto"/>
        </w:rPr>
      </w:pPr>
      <w:r>
        <w:rPr>
          <w:rFonts w:ascii="Arial" w:cs="Arial" w:eastAsia="Arial" w:hAnsi="Arial"/>
          <w:sz w:val="14"/>
          <w:szCs w:val="14"/>
          <w:b w:val="1"/>
          <w:bCs w:val="1"/>
          <w:color w:val="auto"/>
        </w:rPr>
        <w:t>March 31,</w:t>
      </w:r>
    </w:p>
    <w:p>
      <w:pPr>
        <w:jc w:val="center"/>
        <w:ind w:right="2860"/>
        <w:spacing w:after="0" w:line="229" w:lineRule="auto"/>
        <w:rPr>
          <w:sz w:val="20"/>
          <w:szCs w:val="20"/>
          <w:color w:val="auto"/>
        </w:rPr>
      </w:pPr>
      <w:r>
        <w:rPr>
          <w:rFonts w:ascii="Arial" w:cs="Arial" w:eastAsia="Arial" w:hAnsi="Arial"/>
          <w:sz w:val="14"/>
          <w:szCs w:val="14"/>
          <w:b w:val="1"/>
          <w:bCs w:val="1"/>
          <w:color w:val="auto"/>
        </w:rPr>
        <w:t>2014</w:t>
      </w:r>
    </w:p>
    <w:tbl>
      <w:tblPr>
        <w:tblLayout w:type="fixed"/>
        <w:tblInd w:w="660" w:type="dxa"/>
        <w:tblCellMar>
          <w:top w:w="0" w:type="dxa"/>
          <w:left w:w="0" w:type="dxa"/>
          <w:bottom w:w="0" w:type="dxa"/>
          <w:right w:w="0" w:type="dxa"/>
        </w:tblCellMar>
      </w:tblPr>
      <w:tr>
        <w:trPr>
          <w:trHeight w:val="212"/>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840" w:type="dxa"/>
            <w:vAlign w:val="bottom"/>
            <w:vMerge w:val="continue"/>
          </w:tcPr>
          <w:p>
            <w:pPr>
              <w:spacing w:after="0"/>
              <w:rPr>
                <w:sz w:val="17"/>
                <w:szCs w:val="17"/>
                <w:color w:val="auto"/>
              </w:rPr>
            </w:pP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(7,211</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pro forma results present the combined historical results of operations with adjustments to reflect one-time charges representing the elimination of interest expense related to Allegro indebtedness of $0.1 million.</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96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396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4"/>
              </w:rPr>
              <w:t>1,843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shd w:val="clear" w:color="auto" w:fill="CCEEFF"/>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24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1,684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1,869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8"/>
                <w:szCs w:val="18"/>
                <w:color w:val="auto"/>
              </w:rPr>
            </w:pPr>
          </w:p>
        </w:tc>
        <w:tc>
          <w:tcPr>
            <w:tcW w:w="39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4"/>
              </w:rPr>
              <w:t>5,396</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6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$23.9 million and $33.2 million as of March 31, 2015 and December 31, 2014,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 leases its headquarters and laboratory facilities in South San Francisco under a non-cancelable lease agreement that expires on March 31, 2016. On April 29, 2015, the Company signed a non-cancelable lease agreement for approximately 59,000 square feet to serve as its South San Francisco headquarters and laboratory facilities. The lease begins in June 2015 and ends in March 2026 and contains extension of lease term and expansion options. See Note 12.</w:t>
      </w:r>
    </w:p>
    <w:p>
      <w:pPr>
        <w:spacing w:after="0" w:line="187"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Company also leases laboratory space in Austin, Texas. The lease expires on July 31, 2018. The Company provided a security deposit of $75,000, which is included in other assets in the Company’s condensed consolidated balance sheets as of March 31, 2015 and December 31, 2014.</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Future minimum lease payments under non-cancelable operating leases as of March 31, 2015, including the lease signed in April 2015, are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through December 31, 2015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14,038</w:t>
            </w:r>
          </w:p>
        </w:tc>
      </w:tr>
      <w:tr>
        <w:trPr>
          <w:trHeight w:val="210"/>
        </w:trPr>
        <w:tc>
          <w:tcPr>
            <w:tcW w:w="5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341" w:right="199" w:bottom="0" w:gutter="0" w:footer="0" w:header="0"/>
        </w:sectPr>
      </w:pPr>
    </w:p>
    <w:bookmarkStart w:id="9" w:name="page10"/>
    <w:bookmarkEnd w:id="9"/>
    <w:p>
      <w:pPr>
        <w:ind w:right="20" w:firstLine="64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$213,000 for each of the three months ended March 31,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had a non-cancelable purchase commitment with two suppliers to purchase a minimum quantity of supplies for approximately $1.2 million at March 31, 2015, all of which is expected to be paid in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December 2014, the Company amended certain terms and conditions of the Original Loan (“Amended Loan”). The Amended Loan provides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 of-term payment of $225,000 under the Original Loan to $110,000. The second $5.0 million tranche under the Amended Loan is available through December 31, 2015, and the Company may borrow the third $5.0 million tranche any time through June 30, 2016 after achieving the third tranche revenue milestone as defined in the Amended Loan.</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carrying value of the debt approximates its fair value because the interest rate approximates market rates that the Company could obtain for debt with similar terms. Under the Amended Loan, the Company is required to repay the outstanding principal in 24 equal installments beginning 24 months after the date of the borrowing, and the loan is due in full in December 2018. The first tranche of the Amended Loan bears interest at a rate of 5.00% per annum.</w:t>
      </w:r>
    </w:p>
    <w:p>
      <w:pPr>
        <w:ind w:right="320"/>
        <w:spacing w:after="0" w:line="261" w:lineRule="auto"/>
        <w:rPr>
          <w:sz w:val="20"/>
          <w:szCs w:val="20"/>
          <w:color w:val="auto"/>
        </w:rPr>
      </w:pPr>
      <w:r>
        <w:rPr>
          <w:rFonts w:ascii="Arial" w:cs="Arial" w:eastAsia="Arial" w:hAnsi="Arial"/>
          <w:sz w:val="18"/>
          <w:szCs w:val="18"/>
          <w:color w:val="auto"/>
        </w:rPr>
        <w:t>The Amended Loan carries prepayment penalties of 2.00% and 1.00% for prepayment within one and two years, respectively, and no prepayment penalty thereafter. In connection with the Amended Loan, the Company paid approximately $45,000 in third-party fees.</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The Amended Loan results in a debt modification under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as the change in present value of the remaining cash flows associated with the Original Loan and Amended Loan are not substantial.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and December 31, 2014, the net debt obligation was as follows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Debt and unpaid accrued end-of-term payment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Unamortized note discount</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under the Amended Loan are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through December 31, 2015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2,563</w:t>
            </w:r>
          </w:p>
        </w:tc>
      </w:tr>
      <w:tr>
        <w:trPr>
          <w:trHeight w:val="210"/>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obligation includes an end-of-term payment of $237,500, representing 4.75% of the total outstanding principal balance, which accretes over the life of the loan as interest expense. As a result of the debt discount and the end-of-term payment, the effective interest rate for the loan differs from the contractual rate.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on the debt was as follows (in thousands):</w:t>
      </w:r>
    </w:p>
    <w:p>
      <w:pPr>
        <w:sectPr>
          <w:pgSz w:w="11900" w:h="16838" w:orient="portrait"/>
          <w:cols w:equalWidth="0" w:num="1">
            <w:col w:w="11380"/>
          </w:cols>
          <w:pgMar w:left="240" w:top="125" w:right="279" w:bottom="0" w:gutter="0" w:footer="0" w:header="0"/>
        </w:sectPr>
      </w:pPr>
    </w:p>
    <w:p>
      <w:pPr>
        <w:spacing w:after="0" w:line="217"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13970</wp:posOffset>
            </wp:positionV>
            <wp:extent cx="1920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0" w:name="page11"/>
    <w:bookmarkEnd w:id="10"/>
    <w:tbl>
      <w:tblPr>
        <w:tblLayout w:type="fixed"/>
        <w:tblInd w:w="66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78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End-of-term payment interest</w:t>
            </w:r>
          </w:p>
        </w:tc>
        <w:tc>
          <w:tcPr>
            <w:tcW w:w="7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Loans drawn under the Original Loan and the Amended Loan were used for working capital and general corporate purposes. The Company’s obligations under the Amended Loan are secured by a security interest in substantially all of its assets, excluding its intellectual property and certain other assets. The Amended Loan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Amended Loan also allows the lender to call the debt in the event there is a material adverse change in the Company’s business or financial condition. The Company is required to be in compliance with a minimum liquidity or minimum revenue covenant. As of March 31, 2015, the Company was in compliance with the financial covenants.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Restated Certificate of Incorporation authorizes the Company to issue 125,000,000 shares of common stock with a par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holder of each share of common stock shall have one vote for each share of stock. The common stockholders are also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whenever funds and assets are legally available and when declared by the Board of Directors, subject to the prior rights of holders of all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outstanding. No dividends have been declared as of March 31, 2015.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2015 and December 31, 2014, the Company had reserved shares of common stock for issuance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4,270,198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3,249,469</w:t>
            </w:r>
          </w:p>
        </w:tc>
        <w:tc>
          <w:tcPr>
            <w:tcW w:w="1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1,193,248</w:t>
            </w:r>
          </w:p>
        </w:tc>
        <w:tc>
          <w:tcPr>
            <w:tcW w:w="1240" w:type="dxa"/>
            <w:vAlign w:val="bottom"/>
          </w:tcPr>
          <w:p>
            <w:pPr>
              <w:jc w:val="right"/>
              <w:spacing w:after="0"/>
              <w:rPr>
                <w:sz w:val="20"/>
                <w:szCs w:val="20"/>
                <w:color w:val="auto"/>
              </w:rPr>
            </w:pPr>
            <w:r>
              <w:rPr>
                <w:rFonts w:ascii="Arial" w:cs="Arial" w:eastAsia="Arial" w:hAnsi="Arial"/>
                <w:sz w:val="18"/>
                <w:szCs w:val="18"/>
                <w:color w:val="auto"/>
              </w:rPr>
              <w:t>1,341,252</w:t>
            </w:r>
          </w:p>
        </w:tc>
        <w:tc>
          <w:tcPr>
            <w:tcW w:w="120" w:type="dxa"/>
            <w:vAlign w:val="bottom"/>
          </w:tcPr>
          <w:p>
            <w:pPr>
              <w:spacing w:after="0"/>
              <w:rPr>
                <w:sz w:val="18"/>
                <w:szCs w:val="18"/>
                <w:color w:val="auto"/>
              </w:rPr>
            </w:pPr>
          </w:p>
        </w:tc>
      </w:tr>
      <w:tr>
        <w:trPr>
          <w:trHeight w:val="210"/>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7"/>
              </w:rPr>
              <w:t>5,463,446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4,590,721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2015, the Company issued and sold 4,907,975 shares of its common stock in a private placement. See Note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March 31, 2015 or December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Available</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for Grant</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1,341,252</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3,249,469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7.88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900,941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(1,082,600)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33,655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(33,655)</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9.40</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 March 31, 2015</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1,193,248</w:t>
            </w:r>
          </w:p>
        </w:tc>
        <w:tc>
          <w:tcPr>
            <w:tcW w:w="16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4,270,198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7.91</w:t>
            </w:r>
          </w:p>
        </w:tc>
        <w:tc>
          <w:tcPr>
            <w:tcW w:w="1300" w:type="dxa"/>
            <w:vAlign w:val="bottom"/>
            <w:tcBorders>
              <w:bottom w:val="single" w:sz="8" w:color="CCEEFF"/>
            </w:tcBorders>
            <w:gridSpan w:val="2"/>
          </w:tcPr>
          <w:p>
            <w:pPr>
              <w:ind w:left="820"/>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 - March 31, 2015</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1,639,267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4.60</w:t>
            </w:r>
          </w:p>
        </w:tc>
        <w:tc>
          <w:tcPr>
            <w:tcW w:w="1300" w:type="dxa"/>
            <w:vAlign w:val="bottom"/>
            <w:gridSpan w:val="2"/>
            <w:shd w:val="clear" w:color="auto" w:fill="CCEEFF"/>
          </w:tcPr>
          <w:p>
            <w:pPr>
              <w:ind w:left="820"/>
              <w:spacing w:after="0" w:line="196" w:lineRule="exact"/>
              <w:rPr>
                <w:sz w:val="20"/>
                <w:szCs w:val="20"/>
                <w:color w:val="auto"/>
              </w:rPr>
            </w:pPr>
            <w:r>
              <w:rPr>
                <w:rFonts w:ascii="Arial" w:cs="Arial" w:eastAsia="Arial" w:hAnsi="Arial"/>
                <w:sz w:val="18"/>
                <w:szCs w:val="18"/>
                <w:color w:val="auto"/>
              </w:rPr>
              <w:t>6.71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Options vested and expected to vest - March 31, 2015</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4,036,327</w:t>
            </w:r>
          </w:p>
        </w:tc>
        <w:tc>
          <w:tcPr>
            <w:tcW w:w="1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7.75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8.29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$7.28 per share as of March 31, 2015.</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$5.37 and $10.27 for the three months ended March 31, 2015 and 2014,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fair value of stock options exercised was $2.50 and $2.53 for the three months ended March 31,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stock options exercised was $0.1 million for each of the three months ended March 31, 2015 and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following table summarizes stock-based compensation expense related to stock options for the three months ended March 31, 2015 and 2014, and are included in the condensed consolidated statements of operations and comprehensive loss as follows (in thousands):</w:t>
      </w: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6350</wp:posOffset>
            </wp:positionV>
            <wp:extent cx="1912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4920"/>
        <w:spacing w:after="0"/>
        <w:tabs>
          <w:tab w:leader="none" w:pos="65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434784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9" w:lineRule="exact"/>
        <w:rPr>
          <w:sz w:val="20"/>
          <w:szCs w:val="20"/>
          <w:color w:val="auto"/>
        </w:rPr>
      </w:pPr>
    </w:p>
    <w:p>
      <w:pPr>
        <w:ind w:left="660"/>
        <w:spacing w:after="0"/>
        <w:tabs>
          <w:tab w:leader="none" w:pos="4360" w:val="left"/>
          <w:tab w:leader="none" w:pos="5540" w:val="left"/>
          <w:tab w:leader="none" w:pos="6020" w:val="left"/>
          <w:tab w:leader="none" w:pos="7280" w:val="left"/>
        </w:tabs>
        <w:rPr>
          <w:sz w:val="20"/>
          <w:szCs w:val="20"/>
          <w:color w:val="auto"/>
        </w:rPr>
      </w:pPr>
      <w:r>
        <w:rPr>
          <w:rFonts w:ascii="Arial" w:cs="Arial" w:eastAsia="Arial" w:hAnsi="Arial"/>
          <w:sz w:val="18"/>
          <w:szCs w:val="18"/>
          <w:color w:val="auto"/>
        </w:rPr>
        <w:t>Cost of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w:t>
      </w:r>
    </w:p>
    <w:p>
      <w:pPr>
        <w:sectPr>
          <w:pgSz w:w="11900" w:h="16838" w:orient="portrait"/>
          <w:cols w:equalWidth="0" w:num="1">
            <w:col w:w="11420"/>
          </w:cols>
          <w:pgMar w:left="240" w:top="118" w:right="239" w:bottom="0" w:gutter="0" w:footer="0" w:header="0"/>
          <w:type w:val="continuous"/>
        </w:sectPr>
      </w:pPr>
    </w:p>
    <w:bookmarkStart w:id="11" w:name="page12"/>
    <w:bookmarkEnd w:id="11"/>
    <w:tbl>
      <w:tblPr>
        <w:tblLayout w:type="fixed"/>
        <w:tblInd w:w="66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5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684</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0"/>
        </w:trPr>
        <w:tc>
          <w:tcPr>
            <w:tcW w:w="3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2015, the Company had $13.4 million of unrecognized compensation expense related to unvested stock options, which is expected to be recognized over an estimated weighted-average period of 3.2 years.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model, based on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388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388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66.06 - 68.82%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77.17 - 78.54%</w:t>
            </w:r>
          </w:p>
        </w:tc>
        <w:tc>
          <w:tcPr>
            <w:tcW w:w="120" w:type="dxa"/>
            <w:vAlign w:val="bottom"/>
            <w:shd w:val="clear" w:color="auto" w:fill="CCEEFF"/>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38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1.55 - 1.79%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1.83 - 1.99%</w:t>
            </w:r>
          </w:p>
        </w:tc>
        <w:tc>
          <w:tcPr>
            <w:tcW w:w="38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There were no stock options granted to non-employees during the three months ended March 31, 2015. The estimated grant-date fair value of stock options granted to non-employees during the three months ended March 31, 2014 was calculated using the Black-Scholes option-pricing model, based on the following assumptions: weighted-average volatility from 76.70% to 76.87%, weighted-average expected term from 8.68 years to 9.51 years, risk-free interest rate from 2.54% to 2.66%, and expected dividend yield of 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Genzyme Co-promotion Agreement</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 Genzyme’s obligation to also spend up to $500,000 for qualifying clinical development activities in countries that require additional testing for approval expired in July 2014.</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November 2014, the Company signed an Amended and Restated U.S. Co-promotion Agreement (“Amended Agreement”) with Genzyme. Under the Amended Agreement, the co-promotion fees Genzyme will receive as a percentage of U.S. cash receipts were reduced from 32% to 15% beginning January 1, 2015. Through August 11, 2014, the Company amortized the $10.0 million upfront co-promotion fee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can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w:t>
      </w:r>
    </w:p>
    <w:p>
      <w:pPr>
        <w:spacing w:after="0" w:line="1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February 13, 2015, the Company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will pay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incurred $1.7 million and $2.8 million in co-promotion expense in the three months ended March 31, 2015 and 2014, respectively, which is included in selling and marketing expenses in the condensed consolidated statements of operations and comprehensive loss. The Company’s outstanding obligation to Genzyme totaled $4.4 million and $6.0 million at March 31, 2015 and December 31, 2014, respectively. Of the $4.4 million obligation at March 31, 2015, $2.7 million is included in accounts payable and $1.7 million is included in accrued liabilities in the Company’s condensed consolidated balance sheets. Of the $6.0 million obligation at December 31, 2014, $2.7 million is included in accounts payable and $3.3 million is included in accrued liabilities in the Company’s condensed consolidated balance sheets.</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amortized $0.5 million and $0.6 million of the $10.0 million up-front co-promotion fee in the three months ended March 31, 2015 and 2014, respectively, which is reflected as a reduction to selling and marketing expenses in the condensed consolidated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Thyroid Cytopathology Partners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ectPr>
          <w:pgSz w:w="11900" w:h="16838" w:orient="portrait"/>
          <w:cols w:equalWidth="0" w:num="1">
            <w:col w:w="11460"/>
          </w:cols>
          <w:pgMar w:left="240" w:top="125" w:right="199" w:bottom="0" w:gutter="0" w:footer="0" w:header="0"/>
        </w:sectPr>
      </w:pP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consolidated statements of operations and comprehensive loss. The Company incurred $1.1 million and $0.9 million in the three months ended March 31, 2015 and 2014, respectively, in cytopathology testing and evaluation services expenses with TCP. The Company’s outstanding obligations to TCP for cytopathology testing services were $0.7 million and $1.1 million as of March 31, 2015 and December 31, 2014, respectively, and are included in accounts payable in the Company’s condensed consolidated balance sheets.</w:t>
      </w:r>
    </w:p>
    <w:p>
      <w:pPr>
        <w:spacing w:after="0" w:line="18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TCP reimburses the Company for a proportionate share of the Company’s rent and related operating expense costs for the leased facility. TCP’s portion of rent and related operating expense costs for the shared space at the Austin, Texas facility was $23,000 and $20,000 for the three months ended March 31, 2015 and 2014, respectively, and is included in other income, net in the Company’s condensed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months ended March 31, 2015 and 2014. The Company continues to maintain a full valuation allowance against its net deferred tax assets.</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of March 31, 2015, the Company had unrecognized tax benefits of $1.6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March 31, 2015 will significantly increase or decrease within the next 12 months. There was no interest expense or penalties related to unrecognized tax benefits recorded through March 31, 2015.</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3" w:lineRule="exact"/>
        <w:rPr>
          <w:sz w:val="20"/>
          <w:szCs w:val="20"/>
          <w:color w:val="auto"/>
        </w:rPr>
      </w:pPr>
    </w:p>
    <w:p>
      <w:pPr>
        <w:ind w:left="660" w:right="9300" w:hanging="652"/>
        <w:spacing w:after="0" w:line="604" w:lineRule="auto"/>
        <w:tabs>
          <w:tab w:leader="none" w:pos="28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Launch of Percepta</w:t>
      </w:r>
    </w:p>
    <w:p>
      <w:pPr>
        <w:ind w:right="100" w:firstLine="648"/>
        <w:spacing w:after="0" w:line="312" w:lineRule="auto"/>
        <w:rPr>
          <w:sz w:val="20"/>
          <w:szCs w:val="20"/>
          <w:color w:val="auto"/>
        </w:rPr>
      </w:pPr>
      <w:r>
        <w:rPr>
          <w:rFonts w:ascii="Arial" w:cs="Arial" w:eastAsia="Arial" w:hAnsi="Arial"/>
          <w:sz w:val="16"/>
          <w:szCs w:val="16"/>
          <w:color w:val="auto"/>
        </w:rPr>
        <w:t>In April 2015, the Company entered the lung cancer diagnostics market with the launch of the Percepta Bronchial Genomic Classifier. Amortization of the acquired in-process research and development associated with the Percepta test began in April 2015 when research and development activities were deemed to be completed. The amortization period of the IPR&amp;D is over its estimated useful life of 15 years and is recorded on a straight-line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 of Common Stock Under Securities Purchase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28, 2015, the Company completed a private placement of 4,907,975 shares of its common stock to certain accredited investors (the “Investors”) at a purchase price of $8.15 per share. The sale of the shares was made pursuant to the terms of a Securities Purchase Agreement dated as of April 22, 2015. Gross proceeds to the Company were $40.0 million and the Company is expected to receive approximately $37.3 million in net proceeds, after deducting the placement agent fees and other expenses payable by the Company of approximately $2.7 million. Under the Securities Purchase Agreement, the Company has agreed to use the net proceeds from the private placement for research and development, for product commercialization, and for working capital and general corporate purposes.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the sale of the common stock in the private placement, the Company entered into a Registration Rights Agreement with the Investors, dated as of April 22, 2015, pursuant to which the Company has agreed to file a registration statement with the SEC covering the resale of the common stock sold in the private placement. The Company has agreed to file the registration statement within 30 days of the closing of the private placement. The Registration Rights Agreement includes customary indemnification rights in connection with the registration statement.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Facilities Lease</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April 29, 2015, the Company signed a non-cancelable lease agreement for approximately 59,000 square feet to serve as its South San Francisco headquarters and laboratory facilities. The lease begins in June 2015 and ends in March 2026 and contains extension of lease term and expansion options. Upon signing the lease, the Company provided $603,000 in the form of a letter of credit held as security for the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2014.</w:t>
      </w:r>
    </w:p>
    <w:p>
      <w:pPr>
        <w:spacing w:after="0" w:line="181"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w:t>
      </w:r>
    </w:p>
    <w:p>
      <w:pPr>
        <w:sectPr>
          <w:pgSz w:w="11900" w:h="16838" w:orient="portrait"/>
          <w:cols w:equalWidth="0" w:num="1">
            <w:col w:w="11420"/>
          </w:cols>
          <w:pgMar w:left="240" w:top="490" w:right="239" w:bottom="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t>execute our strategy; our ability to achieve and maintain reimbursement from third-party payers at acceptable levels; our belief that our published evidence provides a basis for inclusion of our Afirma GEC test in practice guidelines; the estimated size of the global markets for our tests and our future tests; the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including tests for lung cancer and interstitial lung disease, and the timeframes for development or commercialization; our ability to get our data and clinical studies accepted in peer-reviewed publications; our dependence on and the terms of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and any other tests we may develop, including Percepta;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We also refer to trademarks of other corporations or organizations in this report.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We are a diagnostics company pioneering the field of molecular cytology, focusing on genomic solutions that resolve diagnostic ambiguity and enable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Gene Expression Classifier, or GEC, to resolve ambiguity in diagnosis and is becoming a new standard of care in thyroid nodule assessment. 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New England Journal of Medicine </w:t>
      </w:r>
      <w:r>
        <w:rPr>
          <w:rFonts w:ascii="Arial" w:cs="Arial" w:eastAsia="Arial" w:hAnsi="Arial"/>
          <w:sz w:val="16"/>
          <w:szCs w:val="16"/>
          <w:color w:val="auto"/>
        </w:rPr>
        <w:t>in 2012. The comprehensive Afirma offering also includes cytopathology testing and the Afirma Malignancy Classifiers,</w:t>
      </w:r>
      <w:r>
        <w:rPr>
          <w:rFonts w:ascii="Arial" w:cs="Arial" w:eastAsia="Arial" w:hAnsi="Arial"/>
          <w:sz w:val="16"/>
          <w:szCs w:val="16"/>
          <w:i w:val="1"/>
          <w:iCs w:val="1"/>
          <w:color w:val="auto"/>
        </w:rPr>
        <w:t xml:space="preserve"> </w:t>
      </w:r>
      <w:r>
        <w:rPr>
          <w:rFonts w:ascii="Arial" w:cs="Arial" w:eastAsia="Arial" w:hAnsi="Arial"/>
          <w:sz w:val="16"/>
          <w:szCs w:val="16"/>
          <w:color w:val="auto"/>
        </w:rPr>
        <w:t>launched in May 2014. Since we commercially launched Afirma in January 2011, we have received over 165,000 FNA samples for evaluation using Afirma and performed more than 35,000 GECs to resolve indeterminate cytopathology results.</w:t>
      </w:r>
    </w:p>
    <w:p>
      <w:pPr>
        <w:spacing w:after="0" w:line="16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expanding our molecular cytology franchise into other clinical areas of unmet need, focusing first on difficult-to-diagnose lung diseases, where current diagnostic ambiguity frequently requires invasive, risky and costly procedures to obtain a definitive diagnosis. Through our acquisition of Allegro Diagnostics Corp., or Allegro, in September 2014, we acquired our genomic test aimed at improving the risk stratification of patients with lung nodules that are suspicious for cancer. Our proprietary technology has been developed to help physicians determine which patients with non-diagnostic bronchoscopy results can be safely monitored with routine CT scans versus an invasive surgical biopsy. In April 2015, we entered the lung cancer diagnostics market with the Percepta™ Bronchial Genomic Classifier, a new genomic test to resolve ambiguity in lung cancer diagnosis.</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second pulmonology pipeline product is intended to help patients with suspected interstitial lung diseases, or ILDs, specifically idiopathic pulmonary fibrosis, or IPF, obtain an accurate diagnosis without surgery. ILDs present a significant challenge for diagnosis today without invasive surgical biopsy, leaving many patients with ambiguous diagnoses that can lead to suboptimal or even harmful treatment. We are developing a genomic test, which we currently plan to introduce in 2016, to improve the diagnosis of IPF from the other ILDs.</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November 2014, we signed an Amended and Restated U.S. Co-promotion Agreement, or Amended Agreement, with Genzyme that reduced the co-promotion fees we owe to Genzyme from 32% to 15% beginning January 1, 2015. The Amended Agreement expires in January 2027. In February 2015, we entered into an Ex-U.S. Co-promotion Agreement, or Ex-U.S.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w:t>
      </w:r>
    </w:p>
    <w:p>
      <w:pPr>
        <w:sectPr>
          <w:pgSz w:w="11900" w:h="16838" w:orient="portrait"/>
          <w:cols w:equalWidth="0" w:num="1">
            <w:col w:w="11380"/>
          </w:cols>
          <w:pgMar w:left="240" w:top="125" w:right="279" w:bottom="39" w:gutter="0" w:footer="0" w:header="0"/>
        </w:sectPr>
      </w:pPr>
    </w:p>
    <w:bookmarkStart w:id="14" w:name="page15"/>
    <w:bookmarkEnd w:id="14"/>
    <w:p>
      <w:pPr>
        <w:spacing w:after="0" w:line="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increased the list price billed for the GEC from $4,275 to $4,875 per test in January 2014, while the list price billed for routine cytopathology remained at $490 per test. We obtained Medicare coverage for the GEC effective in January 2012 and contracted reimbursement at an agreed upon rate of $3,200. We received positive coverage determinations from UnitedHealthcare and Cigna in 2013 and in late 2014 signed contracts with these payers establishing in-network allowable rates for both our GEC and cytopathology tests. We have also received positive coverage determinations from numerous other commercial payers and, as of May 2015, the GEC is covered by payers representing nearly 150 million covered lives. We now have nearly 100 million lives under contract. Payers that have agreed to pay for Afirma under contract are also counted as covered lives. Contracted and reimbursement rates vary by payer.</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recognized revenue of $11.2 million and $7.5 million in the three months ended March 31, 2015 and 2014, respectively, an increase of 50%. We incurred a net loss of $7.6 million and $6.7 million for the three months ended March 31, 2015 and 2014, respectively. As of March 31, 2015, we had an accumulated deficit of $122.6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90% of FNAs we receive are for the Afirma solution, which consists of cytopathology, and if the cytopathology result is indeterminate, the GEC is performed. The remaining approximate 10% of FNAs are received from centers performing cytopathology in their institution where the cytopathology result is indeterminate and we perform the GEC only. The rate at which adoption occurs in these two settings will cause these two percentages to fluctuate over time. Approximately 1%-2%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on many tests and payments may not be at acceptable levels compared to what we have billed. We expect our revenue growth will increase as more payers make a positive coverage decision and as payers enter into contracts with us, which should enhance our accrued revenue and collections. To drive increased adoption of Afirma, we have increased our internal sales force in high-volume geographies domestically during 2014 and plan to continue to do so, to a lesser extent, in 2015, along with increasing our marketing efforts. We have also hired institutional channel managers 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large portion of our revenue is recognized upon the earlier of receipt of third-party notification of payment or when cash is received. For Medicare and certain other payers where we have an agreed upon reimbursement rate or we are able to make a reasonable estimate of reimbursement at the time delivery is complete, we recognize the related revenue on an accrual basis. In the first period in which revenue is accrued for a particular payer, there generally is a one-time increase in revenue. Until we have contracts with or can make a reasonable estimate of reimbursement from a larger number of payers, we will recognize a large portion of our revenue upon the earlier of notification of payment or when cash is received. Additionally, as we commercialize new products, we will need to contract with or be able to make a reasonable estimate of reimbursement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when cash is received was $5.8 million and $5.1 million for the three months ended March 31,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on an accrual basis was $5.4 million and $2.4 million for the three months ended March 31, 2015 and 2014, respectively.</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March 31, 2015, amounts billed in the last three months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$13.2 million.</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2014, amounts billed in the last 12 months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$47.1 million. Of this amount, we recognized revenue of $4.6 million in the three months ended March 31, 2015, when cash was received.</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Although primarily all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w:t>
      </w:r>
    </w:p>
    <w:p>
      <w:pPr>
        <w:sectPr>
          <w:pgSz w:w="11900" w:h="16885" w:orient="portrait"/>
          <w:cols w:equalWidth="0" w:num="1">
            <w:col w:w="11420"/>
          </w:cols>
          <w:pgMar w:left="240" w:top="125" w:right="239" w:bottom="0" w:gutter="0" w:footer="0" w:header="0"/>
        </w:sectPr>
      </w:pPr>
    </w:p>
    <w:bookmarkStart w:id="15" w:name="page16"/>
    <w:bookmarkEnd w:id="15"/>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billed amount due to a number of factors, including differences in reimbursement rates, the amounts of patient co-payments and co-insurance, the existence of secondary payers and claims denials.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$10.0 million fee we received from Genzyme under the Co-promotion Agreement dated as of January 18, 2012 is being amortized over the estimated useful life based on the provisions of the agreement, and is recorded as a reduction to selling and marketing expenses. We amortized $0.5 million and $0.6 million of the $10.0 million in the three months ended March 31, 2015 and 2014, respectively, and these offsets to expense are included in selling and marketing expense in our condensed consolidated statements of operations and comprehensive loss. The 2012 agreement required that we pay a certain percentage of our cash receipts from the sale of the Afirma GEC test to Genzyme, which percentage decreased over time. The percentage was initially 50%, 40% from January 2013 through February 2014, 32% from February 2014 through December 2014, and decreased to 15% in January 2015. Our co-promotion fees were $1.7 million and $2.8 million in the three months ended March 31, 2015 and 2014, respectively, and are included in selling and marketing expenses in our condensed consolidated statements of operations and comprehensive loss.</w:t>
      </w:r>
    </w:p>
    <w:p>
      <w:pPr>
        <w:spacing w:after="0" w:line="17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November 2014, we signed an Amended and Restated U.S. Co-promotion Agreement, or Amended Agreement, with Genzyme. Under the Amended Agreement, the co-promotion fees Genzyme will receive as a percentage of U.S. cash receipts from the sale of the Afirma GEC test were reduced from 32% to 15% beginning January 1, 2015. Further, we have agreed to assume more responsibilities for sales and marketing activities. Either party may terminate the agreement with six months prior notice, however, neither party can terminate the agreement for convenience prior to June 30, 2016. Our agreement with Genzyme expires in January 2027.</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February 13,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will pay Genzyme 25% of net 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rely on sales of Afirma to generate all of our revenue. In May 2014, we commercially launched our Afirma Malignancy Classifiers, which we believe will enhance our Afirma Thyroid FNA Analysis as a comprehensive way to manage thyroid nodule patients and serve our current base of prescribing physicians. We also plan to pursue development or acquisition of products for additional diseases to increase and diversify our revenue. For example, in September 2014 we acquired Allegro and with it, a molecular diagnostic lung cancer test designed to help physicians determine which patients with lung nodules who have had a non-diagnostic bronchoscopy result are at low risk for cancer and can thus be safely monitored with CT scans, rather than undergoing invasive procedures. We launched the Percepta Bronchial Genomic Classifier, the test acquired from Allegro, in April 2015. Additionally, we are pursuing a solution for interstitial lung disease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FNAs Received, GEC Test Volume and Collections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improved payment results as third-party</w:t>
      </w:r>
    </w:p>
    <w:p>
      <w:pPr>
        <w:sectPr>
          <w:pgSz w:w="11900" w:h="16933" w:orient="portrait"/>
          <w:cols w:equalWidth="0" w:num="1">
            <w:col w:w="11420"/>
          </w:cols>
          <w:pgMar w:left="240" w:top="125" w:right="239" w:bottom="0" w:gutter="0" w:footer="0" w:header="0"/>
        </w:sectPr>
      </w:pPr>
    </w:p>
    <w:bookmarkStart w:id="16" w:name="page17"/>
    <w:bookmarkEnd w:id="16"/>
    <w:p>
      <w:pPr>
        <w:ind w:right="460"/>
        <w:spacing w:after="0" w:line="277" w:lineRule="auto"/>
        <w:rPr>
          <w:sz w:val="20"/>
          <w:szCs w:val="20"/>
          <w:color w:val="auto"/>
        </w:rPr>
      </w:pPr>
      <w:r>
        <w:rPr>
          <w:rFonts w:ascii="Arial" w:cs="Arial" w:eastAsia="Arial" w:hAnsi="Arial"/>
          <w:sz w:val="18"/>
          <w:szCs w:val="18"/>
          <w:color w:val="auto"/>
        </w:rPr>
        <w:t>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Through March 31, 2015, all of our revenues have been derived from the sale of Afirma. Our solution to date has been delivered primarily to physicians in the United States. We generally invoice third-party payers upon delivery of a patient report to the prescribing physician. As such, we take the assignment of benefits and the risk of collection from the third-party payer and individual patients. Our third-party payers in excess of 10% of revenue and their related revenue as a percentage of revenue were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18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42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Aetna</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Cigna</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UnitedHealthcare</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4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revenue.</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For tests performed where we have an agreed upon reimbursement rate or we are able to make a reasonable estimate of reimbursement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are not able to make a reasonable estimate of reimbursement, we recognize revenue upon the earlier of receipt of third-party payer notification of payment or when cash is received. Incremental revenue as a result of a new payer meeting our revenue recognition criteria in the three months ended March 31, 2015 was approximately $285,000.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2015 the increase in research and development expenses will be for the continued development and support of Afirma and Percepta and other new products and programs under development, including our ILD programs. Specifically, we plan to: increase the body of clinical evidence to support Afirma; incur research and development expenses associated with clinical utility studies to support the commercialization of Percepta; and incur expenses associated with clinical validation studies in our ILD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In November 2014, we amended the co-promotion agreement with Genzyme. As a result of this amendment, we expect our selling and marketing expenses for Afirma to remain relatively flat during 2015. While we expect that our personnel costs will increase as we take on more sales and marketing responsibilities related to Afirma, we expect these increases will be offset by the lower rate we are required to pay Genzyme under the agreement beginning in January 2015. In 2015, we have begun to incur selling and marketing expenses as a result of investments in our lung product portfolio. Therefore, we believe total selling and marketing expenses will continue to increase in 2015.</w:t>
      </w:r>
    </w:p>
    <w:p>
      <w:pPr>
        <w:sectPr>
          <w:pgSz w:w="11900" w:h="16838" w:orient="portrait"/>
          <w:cols w:equalWidth="0" w:num="1">
            <w:col w:w="11360"/>
          </w:cols>
          <w:pgMar w:left="240" w:top="125" w:right="29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General and administrative expenses include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The year ended December 31, 2014 also included transaction costs related to the acquisition of Allegro in September 2014, including charges for merger related severance and bonuses. We expect our general and administration expenses will continue to increase during 2015 as we expand our billing group to support anticipated increased demand for our tests, hire more personnel in accounting and finance, incur increasing expenses related to the documentation of our internal controls in connection with compliance with Section 404 of the Sarbanes-Oxley Act of 2002, and incur greater legal costs for patent prosecution and for public company compliance and general corporate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loan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Other income, net consists primarily of sublease rental income, interest income received from payers and from our cash equivalents, partially offset by amortization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we can reasonably estimate reimbursement. These contractual adjustments represent the difference between the list price (the billing rate) and the reimbursement rate for each payer. Upon ultimate collection, the amount received from Medicare and commercial payers where reimbursement was estimated is compared to previous estimates and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or other clearly enforceable legal right to demand payment from the patient, the related revenue is only recognized upon the earlier of payment notification, if applicable, or cash receipt.</w:t>
      </w:r>
    </w:p>
    <w:p>
      <w:pPr>
        <w:spacing w:after="0" w:line="1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all services performed, we consider whether or not the following revenue recognition criteria are met: persuasive evidence of an arrangement exists; delivery has occurred or services have been rendered; and a reasonable estimate of reimbursement can be made.</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Persuasive evidence of an arrangement exists and delivery is deemed to have occurred upon delivery of a patient report to the prescribing physician. The assessment of whether a reasonable estimate of reimbursement can be made requires significant judgment by management. Where our judgment indicates a reasonable estimate of reimbursement can be made,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 health plans. Some payers may not cover the GEC as ordered by the prescribing physician under their reimbursement policies. We pursue reimbursement from such patients on a case-by-case basis.</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absence of contracted reimbursement coverage or the ability to reasonably estimate reimbursement, we recognize revenue upon the earlier of receipt of third-party payer notification of payment or when cash is received.</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use judgment in determining if we are able to make a reasonable estimate of reimbursement. We also use judgment in estimating the amounts we expect to collect by payer. Our judgments will continue to evolve in the future as we continue to gain payment experience with third-party payers and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Accounts receivable are written off against the allowance when the appeals process is exhausted or when there is other substantive evidence that the account will not be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ectPr>
          <w:pgSz w:w="11900" w:h="16838" w:orient="portrait"/>
          <w:cols w:equalWidth="0" w:num="1">
            <w:col w:w="11400"/>
          </w:cols>
          <w:pgMar w:left="240" w:top="341" w:right="259" w:bottom="0" w:gutter="0" w:footer="0" w:header="0"/>
        </w:sectPr>
      </w:pPr>
    </w:p>
    <w:bookmarkStart w:id="18" w:name="page19"/>
    <w:bookmarkEnd w:id="18"/>
    <w:p>
      <w:pPr>
        <w:spacing w:after="0" w:line="6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account for acquisitions using the acquisition method of accounting which requires the recognition of tangible and identifiable intangible assets acquired and liabilities assumed at their estimated fair values as of the business combination date. We allocate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our operating results from the date of acquisition.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review goodwill for impairment annually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intangible assets are comprised of acquired in-process research and development, or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review long-lived and indefinite-lived assets other than goodwill for impairment annually or more frequently if events or circumstances indicate that the carrying amount of the assets may not be recoverable. We recognize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file U.S. federal income tax returns and tax returns in California, Texas and other states.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2014, our gross deferred tax assets were $43.4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required to reduce our deferred tax assets by a valuation allowance if it is more-likely-than-not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more-likely-than-not that our recorded net deferred tax assets will not be realized. Accordingly, we recorded a valuation allowance against all of our net deferred tax assets at March 31, 2015 and December 31, 2014. We will continue to maintain a full valuation allowance on our net deferred tax assets until there is sufficient evidence to support the reversal of all or some portion of this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2015 and 2014</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Dollar</w:t>
            </w:r>
          </w:p>
        </w:tc>
        <w:tc>
          <w:tcPr>
            <w:tcW w:w="1360" w:type="dxa"/>
            <w:vAlign w:val="bottom"/>
          </w:tcPr>
          <w:p>
            <w:pPr>
              <w:jc w:val="right"/>
              <w:ind w:right="52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93"/>
              </w:rPr>
              <w:t>Change</w:t>
            </w:r>
          </w:p>
        </w:tc>
        <w:tc>
          <w:tcPr>
            <w:tcW w:w="15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5"/>
          </w:tcPr>
          <w:p>
            <w:pPr>
              <w:jc w:val="center"/>
              <w:ind w:left="79"/>
              <w:spacing w:after="0" w:line="142" w:lineRule="exact"/>
              <w:rPr>
                <w:sz w:val="20"/>
                <w:szCs w:val="20"/>
                <w:color w:val="auto"/>
              </w:rPr>
            </w:pPr>
            <w:r>
              <w:rPr>
                <w:rFonts w:ascii="Arial" w:cs="Arial" w:eastAsia="Arial" w:hAnsi="Arial"/>
                <w:sz w:val="14"/>
                <w:szCs w:val="14"/>
                <w:b w:val="1"/>
                <w:bCs w:val="1"/>
                <w:color w:val="auto"/>
                <w:w w:val="90"/>
              </w:rPr>
              <w:t>(In thousands except GECs processed)</w:t>
            </w: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9"/>
              <w:spacing w:after="0"/>
              <w:rPr>
                <w:sz w:val="20"/>
                <w:szCs w:val="20"/>
                <w:color w:val="auto"/>
              </w:rPr>
            </w:pPr>
            <w:r>
              <w:rPr>
                <w:rFonts w:ascii="Arial" w:cs="Arial" w:eastAsia="Arial" w:hAnsi="Arial"/>
                <w:sz w:val="18"/>
                <w:szCs w:val="18"/>
                <w:color w:val="auto"/>
                <w:w w:val="87"/>
              </w:rPr>
              <w:t>11,218</w:t>
            </w:r>
          </w:p>
        </w:tc>
        <w:tc>
          <w:tcPr>
            <w:tcW w:w="104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7,476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3,742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178"/>
        </w:trPr>
        <w:tc>
          <w:tcPr>
            <w:tcW w:w="2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1900" w:h="16900" w:orient="portrait"/>
          <w:cols w:equalWidth="0" w:num="1">
            <w:col w:w="11400"/>
          </w:cols>
          <w:pgMar w:left="240" w:top="125" w:right="259" w:bottom="0" w:gutter="0" w:footer="0" w:header="0"/>
        </w:sectPr>
      </w:pPr>
    </w:p>
    <w:bookmarkStart w:id="19" w:name="page20"/>
    <w:bookmarkEnd w:id="1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4,566</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2,787</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5,620</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5,798</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0"/>
        </w:trPr>
        <w:tc>
          <w:tcPr>
            <w:tcW w:w="2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72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56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720" w:type="dxa"/>
            <w:vAlign w:val="bottom"/>
            <w:tcBorders>
              <w:bottom w:val="single" w:sz="8" w:color="CCEEFF"/>
            </w:tcBorders>
            <w:gridSpan w:val="2"/>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w:t>
            </w:r>
          </w:p>
        </w:tc>
      </w:tr>
      <w:tr>
        <w:trPr>
          <w:trHeight w:val="170"/>
        </w:trPr>
        <w:tc>
          <w:tcPr>
            <w:tcW w:w="29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Other Operating Data:</w:t>
            </w: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GECs processed</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4,020</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Revenue increased $3.7 million, or 50%, for the three months ended March 31, 2015 compared to the same period in 2014. The increase was primarily due to increased adoption of Afirma, additional payers meeting our revenue recognition criteria for accrual and, to a lesser extent, increased collections. For the three months ended March 31, 2015 compared to the same period in 2014, revenue recognized when cash was received increased by approximately $0.7 million, or 14%, to $5.8 million. Revenue recognized on an accrual basis increased by approximately $3.0 million, or 128%, to $5.4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Cost of revenue increased $1.0 million, or 27%, for the three months ended March 31, 2015 compared to the same period in 2014. The increase was primarily due to an increase in variable costs that are directly related to the increase in the number of GEC and cytology samples processed, offset in part by continuing refinements in our testing process and economies of scale related to the increase in samples processed. GECs processed increased by 922, or 30%, to 4,020 in the three months ended March 31, 2015 compared to the same period in 2014. FNAs received increased by 2,942, or 20%, to 17,315 in the same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2015 and 2014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Dollar</w:t>
            </w:r>
          </w:p>
        </w:tc>
        <w:tc>
          <w:tcPr>
            <w:tcW w:w="16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15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136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1,076</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0"/>
        </w:trPr>
        <w:tc>
          <w:tcPr>
            <w:tcW w:w="3200" w:type="dxa"/>
            <w:vAlign w:val="bottom"/>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0" w:type="dxa"/>
            <w:vAlign w:val="bottom"/>
            <w:tcBorders>
              <w:bottom w:val="single" w:sz="8" w:color="auto"/>
            </w:tcBorders>
          </w:tcPr>
          <w:p>
            <w:pPr>
              <w:spacing w:after="0"/>
              <w:rPr>
                <w:sz w:val="18"/>
                <w:szCs w:val="18"/>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increased $0.7 million, or 31%, for the three months ended March 31, 2015 compared to the same period in 2014. The increase in personnel related expense was primarily due to a 35% increase in headcount at March 31, 2015 as compared to March 31, 2014. The increase in stock-based compensation expense reflects option grants to new and existing employees. The increase in direct R&amp;D expense was primarily due to the timing of genome sequencing expenses and other laboratory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2015 and 2014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Dollar</w:t>
            </w: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39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2,151</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2,665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3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3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Selling and marketing expense increased $1.3 million, or 30%, for the three months ended March 31, 2015 compared to the same period in 2014. The decrease in Genzyme co-promotion expense, net, reflects a reduction in the co-promotion percentage rate payable to Genzyme in the first quarter of 2015 as compared to the first quarter of 2014 under the Amended Co-promotion Agreement with Genzyme, partially offset by growth in cash collections. The increase in personnel related expense was primarily due to a 40% increase in headcount of our sales force at March 31, 2015 as compared to March 31, 2014. The increase in stock-based compensation expense reflects option grants to new and existing employees. The increase in direct marketing expense was due primarily to increased marketing and promotional materials and market research for Afirma and Percepta. The increase in other expense was primarily due to an increase in information technology and facilities expenses that were related to sales and marketing activities and increased consulting expenses.</w:t>
      </w:r>
    </w:p>
    <w:p>
      <w:pPr>
        <w:sectPr>
          <w:pgSz w:w="11900" w:h="16838" w:orient="portrait"/>
          <w:cols w:equalWidth="0" w:num="1">
            <w:col w:w="11400"/>
          </w:cols>
          <w:pgMar w:left="240" w:top="140" w:right="259" w:bottom="0" w:gutter="0" w:footer="0" w:header="0"/>
        </w:sectPr>
      </w:pPr>
    </w:p>
    <w:bookmarkStart w:id="20" w:name="page21"/>
    <w:bookmarkEnd w:id="20"/>
    <w:p>
      <w:pPr>
        <w:ind w:right="220" w:firstLine="648"/>
        <w:spacing w:after="0" w:line="257" w:lineRule="auto"/>
        <w:rPr>
          <w:sz w:val="20"/>
          <w:szCs w:val="20"/>
          <w:color w:val="auto"/>
        </w:rPr>
      </w:pPr>
      <w:r>
        <w:rPr>
          <w:rFonts w:ascii="Arial" w:cs="Arial" w:eastAsia="Arial" w:hAnsi="Arial"/>
          <w:sz w:val="18"/>
          <w:szCs w:val="18"/>
          <w:color w:val="auto"/>
        </w:rPr>
        <w:t>In November 2014, we amended the co-promotion agreement with Genzyme. As a result of this amendment, we expect our selling and marketing expenses for Afirma to remain relatively flat during 2015. While we expect that our personnel costs will increase as we take on more sales and marketing responsibilities related to Afirma, we expect these increases will be offset by the lower rate we are required to pay Genzyme under the agreement beginning in January 2015. In 2015, we have begun to incur selling and marketing expenses as a result of investments in our lung product portfolio. Therefore, we believe total selling and marketing expenses will continue to increase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2015 and 2014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Dollar</w:t>
            </w: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9"/>
              </w:rPr>
              <w:t>Change</w:t>
            </w:r>
          </w:p>
        </w:tc>
        <w:tc>
          <w:tcPr>
            <w:tcW w:w="14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c>
          <w:tcPr>
            <w:tcW w:w="9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2,550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1,917</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1,697</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9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General and administrative expense increased $1.8 million, or 46%, for the three months ended March 31, 2015 compared to the same period in 2014. The increase in personnel related expense was primarily due to a 19% increase in headcount at March 31, 2015 as compared to March 31, 2014. The increase in stock-based compensation expense was primarily due to option grants to new and existing employees. The increase in professional fees includes higher audit, legal and other corporate expenses including insurance. The increase in other expense was due primarily to an increase in consulting expense of approximately $0.5 million, partially offset by decreases in information technology and facilities allocations as a result of increased headcount in other functions.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expense decreased $22,000 for the three months ended March 31, 2015 compared to the same period in 2014 reflecting the debt modification under the amended loan and security agreement entered into in December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Other income, net, increased $20,000 for the three months ended March 31 2015 compared to the same period in 2014 primarily due to interest income received from payers and lower amortization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have incurred net losses since our inception. For the three months ended March 31, 2015 and the year ended December 31, 2014, we had a net loss of $7.6 million and $29.4 million, respectively, and we expect to incur additional losses in 2015 and in future years. As of March 31, 2015, we had an accumulated deficit of $122.6 million. We may never achieve revenue sufficient to offset our expenses.</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April 2015, we issued and sold 4,907,975 shares of our common stock in a private placement, at a price of $8.15 per share. We received approximately $37.3 million in net proceeds, after deducting expenses payable by us of approximately $2.7 million.</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believe our existing cash and cash equivalents of $25.8 million as of March 31, 2015, our revenue from the sale of Afirma during the next 12 months, and the net proceeds from the sale of our common stock in April 2015 will be sufficient to meet our anticipated cash requirements for at least the next 12 months.</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From inception through March 31, 2015, we have received $154.1 million in net proceeds from various sources to finance our operations, including net proceeds of $78.6 million from sales of our preferred stock, net proceeds of $59.2 million from our IPO, $10.0 million from the Genzyme co-promotion agreement, net borrowings of $4.9 million under our loan and security agreement, and $1.4 million from the exercise of stock options.</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June 2013, we entered into a loan and security agreement, the Original Loan, with a financial institution. The Original Loan provided for term loans of up to $10.0 million in aggregate. We drew down $5.0 million in funds under the agreement in June 2013, and did not draw the remaining $5.0 million on or before the expiration date of March 31,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December 2014, we amended certain terms and conditions of the Original Loan, which we refer to as the Amended Loan. The Amended Loan provides for term loans of up to $15.0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The second $5.0 million tranche under the Amended Loan is available through December 31, 2015, and we may borrow the third $5.0 million tranche any time through June 30, 2016 after achieving the third tranche revenue milestone as defined in the Amended Loan.</w:t>
      </w:r>
    </w:p>
    <w:p>
      <w:pPr>
        <w:spacing w:after="0" w:line="16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Under the Amended Loan, we are required to repay the outstanding principal in 24 equal installments beginning 24 months after the date of the borrowing, and the loan is due in full in December 2018. The first tranche of the Amended Loan bears interest at a rate of 5.00% per annum and the</w:t>
      </w:r>
    </w:p>
    <w:p>
      <w:pPr>
        <w:sectPr>
          <w:pgSz w:w="11900" w:h="16838" w:orient="portrait"/>
          <w:cols w:equalWidth="0" w:num="1">
            <w:col w:w="11460"/>
          </w:cols>
          <w:pgMar w:left="240" w:top="125" w:right="199" w:bottom="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obligation includes an end-of-term payment of $237,500, representing 4.75% of the total outstanding principle balance, which accretes over the life of the loan as interest expense. The Amended Loan carries prepayment penalties of 2.00% and 1.00% for prepayment within one and two years, respectively, and no prepayment penalty thereafter. In connection with the Amended Loan, we paid approximately $45,000 in third-party fees. As a result of the debt discount and the end-of-term payment, the effective interest rate for the loan differs from the contractual rate.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Loans drawn under the Original Loan and the Amended Loan were used for working capital and general corporate purposes. Our obligations under the Amended Loan are secured by a security interest on substantially all of our assets, excluding our intellectual property and certain other assets. The Amended Loan contains customary conditions related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Amended Loan also allows the lender to call the debt in the event there is a material adverse change in our business or financial condition. We are required to be in compliance with a minimum liquidity or minimum revenue covenant. As of March 31, 2015, we were in compliance with the financial covenants.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September 2014, we acquired Allegro Diagnostics Corp., or Allegro, to accelerate our entry into pulmonology, or second planned clinical area. Allegro was focused on the development of genomic tests to improve the preoperative diagnosis of lung cancer. In conjunction with the acquisition, we issued 964,377 shares of our common stock, paid $2.7 million in cash, settled in cash outstanding indebtedness of Allegro totaling $4.3 million, and paid severance and bonus to Allegro personnel of $1.2 million.</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expect that our near-and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2015 and 2014:</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96"/>
              </w:rPr>
              <w:t>2015</w:t>
            </w: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2"/>
          </w:tcPr>
          <w:p>
            <w:pPr>
              <w:jc w:val="right"/>
              <w:ind w:right="479"/>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1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(8,867)</w:t>
            </w:r>
          </w:p>
        </w:tc>
        <w:tc>
          <w:tcPr>
            <w:tcW w:w="9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(6,757)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9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92</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used in operating activities for the three months ended March 31, 2015 was $8.9 million. The net loss of $7.6 million includes non-cash charges of $0.5 million in amortization of the deferred fee received from Genzyme, offset primarily by $1.2 million of stock-based compensation expense and $0.4 million of depreciation and amortization. The increase in net operating assets of $2.4 million was primarily due to a $2.9 million decrease in accounts payable and accrued liabilities resulting from the timing of payments, especially payments to Genzyme, offset by a $0.5 million decrease in accounts receivable.</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used in operating activities for the three months ended March 31, 2014 was $6.8 million. The net loss of $6.7 million included non-cash charges of $0.6 million in amortization of the deferred fee received from Genzyme, offset primarily by $0.5 million of stock-based compensation expense and $0.3 million of depreciation and amortization. The increase in net operating assets of $0.3 million was primarily due to a $0.5 million decrease in accounts payable and accrued liabilities resulting from the timing of payments, offset by a $0.2 million net decrease in supplies inventory, prepaid expenses and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Cash used in investing activities was primarily related to the acquisition of property and equipment of $0.5 million and $0.1 million for the three months ended March 31, 2015 and 2014, respectively. Additionally, in March 2015 we paid approximately $0.1 million of cash which had been reserved to cover liabilities associated with the acquisition of Allegro.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Cash provided by financing activities for the three months ended March 31, 2015 of $0.1 million consisted of cash we received from the exercise of options to purchase our common stock. Cash used in financing activities for the three months ended March 31, 2014 of $0.1 million consisted of IPO-related disbursements.</w:t>
      </w:r>
    </w:p>
    <w:p>
      <w:pPr>
        <w:sectPr>
          <w:pgSz w:w="11900" w:h="16838" w:orient="portrait"/>
          <w:cols w:equalWidth="0" w:num="1">
            <w:col w:w="11400"/>
          </w:cols>
          <w:pgMar w:left="240" w:top="125" w:right="259" w:bottom="0" w:gutter="0" w:footer="0" w:header="0"/>
        </w:sectPr>
      </w:pPr>
    </w:p>
    <w:bookmarkStart w:id="22" w:name="page23"/>
    <w:bookmarkEnd w:id="2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During the three months ended March 31, 2015, there were no material changes to our contractual obligations and commitments described under Management’s Discussion and Analysis of Financial Condition and Results of Operations included in our Form 10-K for the year ended December 31, 2014.</w:t>
      </w:r>
    </w:p>
    <w:p>
      <w:pPr>
        <w:spacing w:after="0" w:line="124"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On April 29, 2015, we signed a non-cancelable lease agreement for approximately 59,000 square feet to serve as our South San Francisco headquarters and laboratory facilities. The lease begins in June 2015 and ends in March 2026 and contains extension of lease term and expansion options. Upon signing the lease, we provided $603,000 in the form of a letter of credit held as security for the lease. The current lease for our South San Francisco headquarters and laboratory facilities expires on March 31, 2016. The following table summarizes the rent payment obligations under our non-cancelable operating leases as of March 31, 2015, including the lease signed in April 2015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April through December 31, 2015</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2016 - 2017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2018 - 2019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14,038</w:t>
            </w:r>
          </w:p>
        </w:tc>
      </w:tr>
      <w:tr>
        <w:trPr>
          <w:trHeight w:val="210"/>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Standards Update, or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In April 2015, the FASB voted to issue a proposal which would defer the adoption of this standard update until the first quarter of fiscal 2018. We have not yet selected a transition method and are currently evaluating the effect that the updated standard may have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$25.8 million as of March 31, 2015 which consisted of bank deposits and money market funds. Such interest-bearing instruments carry a degree of risk; however, a hypothetical 10% change in interest rates during any of the periods presented would not have had a material impact on our unaudited interim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March 31, 2015 that have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ectPr>
          <w:pgSz w:w="11900" w:h="16856" w:orient="portrait"/>
          <w:cols w:equalWidth="0" w:num="1">
            <w:col w:w="11420"/>
          </w:cols>
          <w:pgMar w:left="240" w:top="337" w:right="239" w:bottom="0" w:gutter="0" w:footer="0" w:header="0"/>
        </w:sectPr>
      </w:pPr>
    </w:p>
    <w:bookmarkStart w:id="23" w:name="page24"/>
    <w:bookmarkEnd w:id="23"/>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incurred net losses since our inception. For the three months ended March 31, 2015 and the year ended December 31, 2014, we had a net loss of $7.6 million and $29.4 million, respectively, and we expect to incur additional losses in 2015 and in future years. As of March 31, 2015, we had an accumulated deficit of $122.6 million. We may never achieve revenue sufficient to offset our expenses. Over the next several years, we expect to continue to devote substantially all of our resources to increase adoption of, and reimbursement for, Afirma, as well as our lung cancer test, Percepta, which we launched in April 2015, as well as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commercialize Percepta and develop and commercialize other solutions, our revenue and our ability to achieve and sustain profitability would be impaired, and the market price of our common stock could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Aetna, Cigna and UnitedHealthcare was 24%, 9%, 15% and 14%, respectively, of our revenue for the three months ended March 31, 2015, compared with 29%, 10%, 4% and 17%, respectively, in the three months ended March 31, 2014. The percentage of our revenue derived from significant payers is expected to fluctuate from period to period as our revenue increases, as additional payers provide reimbursement for our tests or if one or more payers were to stop reimbursing for our tests. Effective January 2012, Palmetto GBA, the regional Medicare administrative contractor, or MAC, that handled claims processing for Medicare services with jurisdiction at that time, issued coverage and payment determinations for the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9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late 2014, we entered into contracts with Cigna and UnitedHealthcare that establish in-network allowable rates of reimbursement for our tests. However,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Afirma GEC and Malignancy Classifiers as well as Percepta, which we launched in April 2015. Reimbursement by a payer may depend on a number of factors, including a payer’s determination that these tests are:</w:t>
      </w:r>
    </w:p>
    <w:p>
      <w:pPr>
        <w:spacing w:after="0" w:line="166"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 seeking these approvals is a time-consuming and costly process.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w:t>
      </w:r>
    </w:p>
    <w:p>
      <w:pPr>
        <w:sectPr>
          <w:pgSz w:w="11900" w:h="16908" w:orient="portrait"/>
          <w:cols w:equalWidth="0" w:num="1">
            <w:col w:w="11420"/>
          </w:cols>
          <w:pgMar w:left="240" w:top="337" w:right="239" w:bottom="0" w:gutter="0" w:footer="0" w:header="0"/>
        </w:sectPr>
      </w:pPr>
    </w:p>
    <w:bookmarkStart w:id="24" w:name="page25"/>
    <w:bookmarkEnd w:id="24"/>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circumstances, or at what payment levels payers will reimburse for our test. In addition, the Afirma Malignancy Classifiers, launched in May 2014, and Percepta, launched in April 2015, and any other new products we may develop in the future may require that we expend substantial time and resources in order to obtain reimbursement. Our failure to establish broad adoption of and reimbursement for our products, or our inability to maintain existing reimbursement from payers, will negatively impact our ability to generate revenue and achieve profitability, as well as our future prospects and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sell Afirma in the United States through our internal sales team and through our Amended and Restated U.S. Co-promotion Agreement with Genzyme Corporation, or Amended Agreement. Under the Amended Agreement, we are required to pay Genzyme a co-promotion fee that is equal to a percentage of our cash receipts from the sale of the Afirma GEC test. The percentage is currently set at 15% beginning on January 1, 2015. Our agreement with Genzyme expires in 2027. We have also granted Genzyme a right of first offer to co-promote any future thyroid cancer product that we commercialize. If Genzyme does not commit the necessary resources to market and sell the Afirma GEC test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had previously agreed to co-promote with Genzyme.</w:t>
      </w:r>
    </w:p>
    <w:p>
      <w:pPr>
        <w:spacing w:after="0" w:line="19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On February 13,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will pay Genzyme 25% of net 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 If Genzyme does not commit the necessary resources to market and sell the Afirma GEC test outside the United States to the level of our expectations, or if they terminate the agreement, we may not realize the benefits of this relationship and our ability to generate revenue in the future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recognize a large portion of our revenue upon the earlier of receipt of third-party payer notification of payment or when cash is received. We have little visibility as to when we will receive payment for our diagnostic test, and we must appeal negative payment decisions, which delays collections. For tests performed where we have an agreed upon reimbursement rate or we are able to make a reasonable estimate of reimbursement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In the first period in which revenue is accrued for a particular payer, there generally is a one-time increase in revenue. In situations where we are not able to make a reasonable estimate of reimbursement,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We rely on sole suppliers, such as NuGEN Technologies, Inc., Affymetrix, Inc. and Thermo Fischer Scientific, Inc., for critical supply of reagents, equipment, chips and other materials that we use to perform our tests. We also purchase components used in our collection kits from sole- source suppliers. Some of these items are unique to these suppliers and vendors. In addition, we utilize a sole source to assemble and distribute our sample collection kits.</w:t>
      </w:r>
    </w:p>
    <w:p>
      <w:pPr>
        <w:spacing w:after="0"/>
        <w:rPr>
          <w:sz w:val="20"/>
          <w:szCs w:val="20"/>
          <w:color w:val="auto"/>
        </w:rPr>
      </w:pPr>
      <w:r>
        <w:rPr>
          <w:rFonts w:ascii="Arial" w:cs="Arial" w:eastAsia="Arial" w:hAnsi="Arial"/>
          <w:sz w:val="16"/>
          <w:szCs w:val="16"/>
          <w:color w:val="auto"/>
        </w:rPr>
        <w:t>While we have developed alternate sourcing strategies for these materials and vendors, we cannot be certain whether these strategies will be effective or the</w:t>
      </w:r>
    </w:p>
    <w:p>
      <w:pPr>
        <w:sectPr>
          <w:pgSz w:w="11900" w:h="16865" w:orient="portrait"/>
          <w:cols w:equalWidth="0" w:num="1">
            <w:col w:w="11420"/>
          </w:cols>
          <w:pgMar w:left="240" w:top="125" w:right="239" w:bottom="0" w:gutter="0" w:footer="0" w:header="0"/>
        </w:sectPr>
      </w:pPr>
    </w:p>
    <w:bookmarkStart w:id="25" w:name="page26"/>
    <w:bookmarkEnd w:id="25"/>
    <w:p>
      <w:pPr>
        <w:ind w:right="60"/>
        <w:spacing w:after="0" w:line="273" w:lineRule="auto"/>
        <w:rPr>
          <w:sz w:val="20"/>
          <w:szCs w:val="20"/>
          <w:color w:val="auto"/>
        </w:rPr>
      </w:pPr>
      <w:r>
        <w:rPr>
          <w:rFonts w:ascii="Arial" w:cs="Arial" w:eastAsia="Arial" w:hAnsi="Arial"/>
          <w:sz w:val="17"/>
          <w:szCs w:val="17"/>
          <w:color w:val="auto"/>
        </w:rPr>
        <w:t>alternative sources will be available when we need them. If these suppliers can no longer provide us with the materials we need to perform the tests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 and reputation. In addition, in order to mitigate these risks, we maintain inventories of these supplies at higher levels than would be the case if multiple sources of supply were available. If our test volume decreases, we may hold excess inventory with expiration dates that occur before use which would adversely affect our losses and cash flow position.</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December 31, 2015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As demand for Afirma grows, and as we commercialize new products such as Percepta,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Clinical laboratory tests like our tests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and Percepta are LDTs.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the FDA requires us to seek clearance or approval to offer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containers are classified as Class I medical devices and are listed with the FDA. If the FDA were to determine that they are a Class II medical devices, we would be required to file 510(k) applications and obtain FDA clearance to use the containers, which could be time consuming and expensive.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Some of the materials we use for Afirma and Percepta and that we may use for future products are labeled for research use only. In November 2013, the FDA finalized guidance regarding the sale and use of products labeled for research or investigational use only. Among other things, the guidance advises that the FDA continues to be concerned about distribution of research-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our products are currently labeled as research-use only products. If the FDA were to undertake enforcement actions, some of our suppliers may cease selling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principal competition for our tests comes from traditional methods used by physicians to diagnose and manage patient care decisions. For example, with Afirma, practice guidelines in the United States have historically recommended that patients with indeterminate diagnoses from cytopathology</w:t>
      </w:r>
    </w:p>
    <w:p>
      <w:pPr>
        <w:sectPr>
          <w:pgSz w:w="11900" w:h="16838" w:orient="portrait"/>
          <w:cols w:equalWidth="0" w:num="1">
            <w:col w:w="11380"/>
          </w:cols>
          <w:pgMar w:left="240" w:top="125" w:right="279" w:bottom="0" w:gutter="0" w:footer="0" w:header="0"/>
        </w:sectPr>
      </w:pPr>
    </w:p>
    <w:bookmarkStart w:id="26" w:name="page27"/>
    <w:bookmarkEnd w:id="26"/>
    <w:p>
      <w:pPr>
        <w:ind w:right="360"/>
        <w:spacing w:after="0" w:line="342" w:lineRule="auto"/>
        <w:rPr>
          <w:sz w:val="20"/>
          <w:szCs w:val="20"/>
          <w:color w:val="auto"/>
        </w:rPr>
      </w:pPr>
      <w:r>
        <w:rPr>
          <w:rFonts w:ascii="Arial" w:cs="Arial" w:eastAsia="Arial" w:hAnsi="Arial"/>
          <w:sz w:val="16"/>
          <w:szCs w:val="16"/>
          <w:color w:val="auto"/>
        </w:rPr>
        <w:t>results be considered for surgery to remove all or part of the thyroid to rule out cancer. This practice has been the standard of care in the United States for many years, and we need to educate physicians about the benefits of Afirma to change clinical practice. The same will be true for our lung cancer test.</w:t>
      </w:r>
    </w:p>
    <w:p>
      <w:pPr>
        <w:spacing w:after="0" w:line="12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and Qiagen N.V. We also face competition from companies and academic institutions that use next generation sequencing technology or other methods to measure mutational markers such as BRAF and KRAS along with numerous other mutations. In the future, we may also face competition from companies such as Rosetta Genomics Ltd., Integrated Diagnostics, Inc. and others who are developing new products or technologies that may compete with our tests.</w:t>
      </w:r>
    </w:p>
    <w:p>
      <w:pPr>
        <w:spacing w:after="0" w:line="16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During 2014, we significantly expanded our sales force for Afirma. There can be no assurance that they will be successful in maintaining and growing the business. As we plan to further increase our sales channels for new tests such as Percepta,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at-will, which means that either we or the employee may terminate their employment at any time. We do not carry key man insurance for any of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requires us to expand and move our South San Francisco operations, and we have leased a new facility beginning in June 2015. The move to the new laboratory facility could require us to re-certify our laboratory in South San Francisco. This move of our offices and laboratory could disrupt our business and will require the investment of resources. If we are unable to manage our growth effectively, it may be difficult for us to execute our business strategy and our business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ectPr>
          <w:pgSz w:w="11900" w:h="16838" w:orient="portrait"/>
          <w:cols w:equalWidth="0" w:num="1">
            <w:col w:w="11420"/>
          </w:cols>
          <w:pgMar w:left="240" w:top="125" w:right="239" w:bottom="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Standard industry billing codes, known as CPT codes, that we use to bill for cytopathology do not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will not result in errors or delays in payments. A specific CPT code for the GEC was published by the American Medical Association in early 2015. The code must become effective by January 1, 2016. There can be no assurance that we or our customers which bill will not face issues as the new code is utilized, which could have an adverse effect on our collection rates, revenue, and cost of collecting.</w:t>
      </w:r>
    </w:p>
    <w:p>
      <w:pPr>
        <w:spacing w:after="0" w:line="16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we introduce new tests, such as Percepta,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have recently launched the Percepta test and are in the process of developing a test for interstitial lung disease, specifically IPF. Our lung cancer test, Percepta, has been clinically validated in three independent clinical trials including two multi-center, prospective studies, and we have completed analytical verification and studies required to transfer it to our CLIA-certified laboratory. We plan to conduct clinical utility studies this year. Our product for interstitial lung diseases may not be fully developed and introduced as planned in 2016.</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acquired Allegro Diagnostics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our recent acquisition of Allegro or any businesses we may acquire in the future.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relocate either of our facilities, we could be required to undergo certification at our new facility in order to offer our tests.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establish standards for the day-to-day operation of our clinical reference laboratories, including the training and skills required of personnel and quality control matters. In addition, both of our clinical reference laboratories are required to be licensed on a test-specific basis by New York State. We have received approval for the Afirma tests we currently offer, but will need to obtain approval for Percepta and any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w:t>
      </w:r>
    </w:p>
    <w:p>
      <w:pPr>
        <w:sectPr>
          <w:pgSz w:w="11900" w:h="16838" w:orient="portrait"/>
          <w:cols w:equalWidth="0" w:num="1">
            <w:col w:w="11400"/>
          </w:cols>
          <w:pgMar w:left="240" w:top="368" w:right="259" w:bottom="0" w:gutter="0" w:footer="0" w:header="0"/>
        </w:sectPr>
      </w:pPr>
    </w:p>
    <w:bookmarkStart w:id="29" w:name="page30"/>
    <w:bookmarkEnd w:id="29"/>
    <w:p>
      <w:pPr>
        <w:ind w:right="240"/>
        <w:spacing w:after="0" w:line="277" w:lineRule="auto"/>
        <w:rPr>
          <w:sz w:val="20"/>
          <w:szCs w:val="20"/>
          <w:color w:val="auto"/>
        </w:rPr>
      </w:pPr>
      <w:r>
        <w:rPr>
          <w:rFonts w:ascii="Arial" w:cs="Arial" w:eastAsia="Arial" w:hAnsi="Arial"/>
          <w:sz w:val="18"/>
          <w:szCs w:val="18"/>
          <w:color w:val="auto"/>
        </w:rPr>
        <w:t>specimens from those states. New tests we may develop may be subject to new approvals by regulatory bodies such as New York State, and we may not be able to offer our new tests until such approvals are received.</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may constrain our ability to offer tests internationally in the future.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or our other tests were to be regulated as a device. The PPACA also mandates a reduction in payments for clinical laboratory services paid under the Medicare Clinical Laboratory Fee Schedule, or CLFS, of 1.75% for the years 2011 through 2015 and a productivity adjustment to the CLFS which affects our cytopathology billings.</w:t>
      </w:r>
    </w:p>
    <w:p>
      <w:pPr>
        <w:spacing w:after="0" w:line="17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5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April 2014, the President signed the Protecting Access to Medicare Act of 2014, or PAMA, which included a substantial new payment system for clinical laboratory tests under the CLFS. Under PAMA, laboratories that receive the majority of their Medicare revenues from payments made under the CLFS would report, beginning January 1, 2016, and then on an every three year basis thereafter (or annually for “advanced diagnostic laboratory tests”), private payer payment rates and volumes for their tests. CMS will use the rates and volumes reported by laboratories to develop Medicare payment rates for the tests equal to the volume-weighted median of the private payer payment rates for the tests. The payment rates calculated under PAMA will be effective starting January 1, 2017. Any reductions to payment rates resulting from the new methodology are limited to 10% per test per year in each of the years 2017 through 2019 and to 15% per test per year in each of 2020 through 2022. Although CMS has not yet issued regulations to implement PAMA, we believe our Afirma GEC as well as Percepta would be considered an advanced diagnostic laboratory test. Further rule-making from CMS will define the time period and data elements evaluated on an annual basis to set reimbursement rates for tests like ours.</w:t>
      </w:r>
    </w:p>
    <w:p>
      <w:pPr>
        <w:spacing w:after="0" w:line="167"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PAMA also requires CMS to issue unique Health Care Common Procedure Coding System, or HCPCS code to advanced diagnostic laboratory tests by January 1, 2016 for tests that were paid under the Medicare program prior to passage of the Act. In March 2015, we were issued a unique Tier1 CPT code that could impact reimbursement of the Afirma GEC in the future. Under PAMA, new advanced diagnostic laboratory tests paid by Medicare after the date of passage of PAMA will also receive unique HCPCS codes impacting private payer reimbursement of future tests we may commercialize.</w:t>
      </w:r>
    </w:p>
    <w:p>
      <w:pPr>
        <w:spacing w:after="0" w:line="15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PAMA codified coverage rules for laboratory tests by requiring any local coverage determination to be made following the established procedures for development and appeals of local coverage determinations. PAMA also authorizes CMS to consolidate coverage policies for clinical laboratory tests among one to four laboratory-specific MACs. These same contractors may also be designated to process claims if CMS determines that such a model is appropriate.</w:t>
      </w:r>
    </w:p>
    <w:p>
      <w:pPr>
        <w:sectPr>
          <w:pgSz w:w="11900" w:h="16838" w:orient="portrait"/>
          <w:cols w:equalWidth="0" w:num="1">
            <w:col w:w="11420"/>
          </w:cols>
          <w:pgMar w:left="240" w:top="125" w:right="239" w:bottom="0" w:gutter="0" w:footer="0" w:header="0"/>
        </w:sectPr>
      </w:pPr>
    </w:p>
    <w:bookmarkStart w:id="30" w:name="page31"/>
    <w:bookmarkEnd w:id="30"/>
    <w:p>
      <w:pPr>
        <w:spacing w:after="0" w:line="2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addition to changes adopted by PAMA, in 2013 CMS announced plans to bundle payments for clinical laboratory tests together with other services performed during hospital outpatient visits under the Hospital Outpatient Prospective Payment System. CMS exempted molecular diagnostic tests from this packaging provision at that time.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If the U.S. Supreme Court finds parts of PPACA to be unconstitutional, patients may be unable to afford our tests due to changes in their insurance coverage. These events may result in patients delaying or forgoing medical checkups or treatment due to their inability to pay for our tests, which could have an adverse effect on our revenue.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100" w:hanging="324"/>
        <w:spacing w:after="0" w:line="276"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81" w:lineRule="exact"/>
        <w:rPr>
          <w:rFonts w:ascii="Arial" w:cs="Arial" w:eastAsia="Arial" w:hAnsi="Arial"/>
          <w:sz w:val="18"/>
          <w:szCs w:val="18"/>
          <w:color w:val="auto"/>
        </w:rPr>
      </w:pPr>
    </w:p>
    <w:p>
      <w:pPr>
        <w:ind w:left="980" w:right="80" w:hanging="324"/>
        <w:spacing w:after="0" w:line="259"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6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right="24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w:t>
      </w:r>
    </w:p>
    <w:p>
      <w:pPr>
        <w:sectPr>
          <w:pgSz w:w="11900" w:h="16863" w:orient="portrait"/>
          <w:cols w:equalWidth="0" w:num="1">
            <w:col w:w="11420"/>
          </w:cols>
          <w:pgMar w:left="240" w:top="125" w:right="239" w:bottom="0" w:gutter="0" w:footer="0" w:header="0"/>
        </w:sectPr>
      </w:pPr>
    </w:p>
    <w:bookmarkStart w:id="31" w:name="page32"/>
    <w:bookmarkEnd w:id="31"/>
    <w:p>
      <w:pPr>
        <w:ind w:right="200"/>
        <w:spacing w:after="0" w:line="277" w:lineRule="auto"/>
        <w:rPr>
          <w:sz w:val="20"/>
          <w:szCs w:val="20"/>
          <w:color w:val="auto"/>
        </w:rPr>
      </w:pPr>
      <w:r>
        <w:rPr>
          <w:rFonts w:ascii="Arial" w:cs="Arial" w:eastAsia="Arial" w:hAnsi="Arial"/>
          <w:sz w:val="18"/>
          <w:szCs w:val="18"/>
          <w:color w:val="auto"/>
        </w:rPr>
        <w:t>payments received by us, and we could be required to curtail or cease our operations. Any of the foregoing consequences could seriously harm our business and our financial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Percepta, which may classify a patient as low risk for lung cancer who is later found to have a malignancy,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perform all of the Afirma GEC testing at our laboratory in South San Francisco, California. Our laboratory in Austin, Texas accepts and stores substantially all FNA samples pending transfer to our California laboratory for Afirma GEC processing. We have commenced Percepta testing in our South San Francisco laboratory as well. The equipment we use to perform our tests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ectPr>
          <w:pgSz w:w="11900" w:h="16838" w:orient="portrait"/>
          <w:cols w:equalWidth="0" w:num="1">
            <w:col w:w="11420"/>
          </w:cols>
          <w:pgMar w:left="240" w:top="125" w:right="239" w:bottom="0" w:gutter="0" w:footer="0" w:header="0"/>
        </w:sectPr>
      </w:pPr>
    </w:p>
    <w:bookmarkStart w:id="32" w:name="page33"/>
    <w:bookmarkEnd w:id="32"/>
    <w:p>
      <w:pPr>
        <w:ind w:right="60" w:firstLine="648"/>
        <w:spacing w:after="0" w:line="291"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ectPr>
          <w:pgSz w:w="11900" w:h="16838" w:orient="portrait"/>
          <w:cols w:equalWidth="0" w:num="1">
            <w:col w:w="11420"/>
          </w:cols>
          <w:pgMar w:left="240" w:top="125" w:right="239"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intellectual property effectively, our business would be harmed.</w:t>
      </w:r>
    </w:p>
    <w:p>
      <w:pPr>
        <w:sectPr>
          <w:pgSz w:w="11900" w:h="16838" w:orient="portrait"/>
          <w:cols w:equalWidth="0" w:num="1">
            <w:col w:w="11420"/>
          </w:cols>
          <w:pgMar w:left="240" w:top="125" w:right="239" w:bottom="0" w:gutter="0" w:footer="0" w:header="0"/>
          <w:type w:val="continuous"/>
        </w:sectPr>
      </w:pPr>
    </w:p>
    <w:bookmarkStart w:id="33" w:name="page34"/>
    <w:bookmarkEnd w:id="33"/>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five issued patents which expire between 2029 and 2032 related to methods used in the Afirma diagnostic platform, in addition to seven pending U.S. utility patent applications, three U.S. provisional applications and one PCT application. Some of these U.S. utility patent applications have pending foreign counterparts. We also exclusively licensed intellectual property, including rights to three pending United States utility patent applications in the thyroid space that would expire between 2030 and 2033 once issued, related to methods that are used in the Afirma diagnostic test, some of which have foreign counterparts. In the lung diagnostic space, we exclusively licensed intellectual property rights to 19 pending patent applications and two issued patents in the U.S. and abroad. Patents issuing from the licensed portfolio will expire between 2024 and 2028. In addition, we own four pending patent applications, a PCT application, and a provisional U.S. application related to our Percepta test, as well as a PCT application, a pending U.S. application, and two provisional U.S. applications related to our interstitial lung disease test under development. Any patents granted from the current lung cancer patent applications will expire from 2032 to 2034 and those from the interstitial lung disease patent applications will expire from 2034 to 2036. It is possible that none of our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particular, the patent positions of companies engaged in the development and commercialization of genomic diagnostic tests, like the Afirma GEC, Malignancy Classifiers and Percepta,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w:t>
      </w:r>
    </w:p>
    <w:p>
      <w:pPr>
        <w:sectPr>
          <w:pgSz w:w="11900" w:h="16838" w:orient="portrait"/>
          <w:cols w:equalWidth="0" w:num="1">
            <w:col w:w="11420"/>
          </w:cols>
          <w:pgMar w:left="240" w:top="341" w:right="239" w:bottom="0" w:gutter="0" w:footer="0" w:header="0"/>
        </w:sectPr>
      </w:pPr>
    </w:p>
    <w:bookmarkStart w:id="34" w:name="page35"/>
    <w:bookmarkEnd w:id="34"/>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intellectual property does not adequately protect us against competitors’ products and methods, our competitive position could be adversely affected, as could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not registered certain of our trademarks, including Afirma and Percepta,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ectPr>
          <w:pgSz w:w="11900" w:h="16911" w:orient="portrait"/>
          <w:cols w:equalWidth="0" w:num="1">
            <w:col w:w="11420"/>
          </w:cols>
          <w:pgMar w:left="240" w:top="125"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the annual report for the year ending December 31, 2014,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6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ectPr>
          <w:pgSz w:w="11900" w:h="16838" w:orient="portrait"/>
          <w:cols w:equalWidth="0" w:num="1">
            <w:col w:w="11420"/>
          </w:cols>
          <w:pgMar w:left="240" w:top="337" w:right="239" w:bottom="0" w:gutter="0" w:footer="0" w:header="0"/>
        </w:sectPr>
      </w:pPr>
    </w:p>
    <w:bookmarkStart w:id="36" w:name="page37"/>
    <w:bookmarkEnd w:id="36"/>
    <w:p>
      <w:pPr>
        <w:spacing w:after="0" w:line="39"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substantial investors sell large blocks of stock, particularly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May 1, 2015, directors and executive officers and their affiliates beneficially owned, in the aggregate, 51%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w:t>
      </w:r>
    </w:p>
    <w:p>
      <w:pPr>
        <w:sectPr>
          <w:pgSz w:w="11900" w:h="16877" w:orient="portrait"/>
          <w:cols w:equalWidth="0" w:num="1">
            <w:col w:w="11420"/>
          </w:cols>
          <w:pgMar w:left="240" w:top="125" w:right="239" w:bottom="0" w:gutter="0" w:footer="0" w:header="0"/>
        </w:sectPr>
      </w:pPr>
    </w:p>
    <w:bookmarkStart w:id="37" w:name="page38"/>
    <w:bookmarkEnd w:id="37"/>
    <w:p>
      <w:pPr>
        <w:ind w:right="40"/>
        <w:spacing w:after="0" w:line="277" w:lineRule="auto"/>
        <w:rPr>
          <w:sz w:val="20"/>
          <w:szCs w:val="20"/>
          <w:color w:val="auto"/>
        </w:rPr>
      </w:pPr>
      <w:r>
        <w:rPr>
          <w:rFonts w:ascii="Arial" w:cs="Arial" w:eastAsia="Arial" w:hAnsi="Arial"/>
          <w:sz w:val="18"/>
          <w:szCs w:val="18"/>
          <w:color w:val="auto"/>
        </w:rPr>
        <w:t>general business conditions and other factors that our board of directors may deem relevant. As a result, capital appreciation, if any, of our common stock will be the sole source of gain for the foreseeable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May 14, 2015, we entered into amended and restated change of control and severance agreements with our executive officers who had an existing change of control and severance agreement — Bonnie Anderson, our President and Chief Executive Officer, Julie Brooks, our General Counsel and Secretary, Shelly Guyer, our Chief Financial Officer, and Christopher Hall, our Chief Operating Officer. The amendments to the existing agreements are noted in the following description of the agreements.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 Pursuant to the agreement, if the named executive officer is terminated by us without “cause” (as defined in the agreement), or terminates his or her employment for “good reason” (as defined in the agreement), each during a period not within two months prior to and ending 12 months following a change of control, or the “change of control period” (as defined in the agreement), he or she is entitled to the following benefits:</w:t>
      </w:r>
    </w:p>
    <w:p>
      <w:pPr>
        <w:spacing w:after="0" w:line="178" w:lineRule="exact"/>
        <w:rPr>
          <w:sz w:val="20"/>
          <w:szCs w:val="20"/>
          <w:color w:val="auto"/>
        </w:rPr>
      </w:pPr>
    </w:p>
    <w:p>
      <w:pPr>
        <w:jc w:val="both"/>
        <w:ind w:right="200" w:firstLine="756"/>
        <w:spacing w:after="0" w:line="286" w:lineRule="auto"/>
        <w:rPr>
          <w:sz w:val="20"/>
          <w:szCs w:val="20"/>
          <w:color w:val="auto"/>
        </w:rPr>
      </w:pPr>
      <w:r>
        <w:rPr>
          <w:rFonts w:ascii="Arial" w:cs="Arial" w:eastAsia="Arial" w:hAnsi="Arial"/>
          <w:sz w:val="17"/>
          <w:szCs w:val="17"/>
          <w:color w:val="auto"/>
        </w:rPr>
        <w:t>Ms. Anderson —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Ms. Brooks, Ms. Guyer and Mr. Hall — six months of salary continuation from the termination date.</w:t>
      </w:r>
    </w:p>
    <w:p>
      <w:pPr>
        <w:spacing w:after="0" w:line="225" w:lineRule="exact"/>
        <w:rPr>
          <w:sz w:val="20"/>
          <w:szCs w:val="20"/>
          <w:color w:val="auto"/>
        </w:rPr>
      </w:pPr>
    </w:p>
    <w:p>
      <w:pPr>
        <w:ind w:right="80" w:firstLine="756"/>
        <w:spacing w:after="0" w:line="293" w:lineRule="auto"/>
        <w:rPr>
          <w:sz w:val="20"/>
          <w:szCs w:val="20"/>
          <w:color w:val="auto"/>
        </w:rPr>
      </w:pPr>
      <w:r>
        <w:rPr>
          <w:rFonts w:ascii="Arial" w:cs="Arial" w:eastAsia="Arial" w:hAnsi="Arial"/>
          <w:sz w:val="16"/>
          <w:szCs w:val="16"/>
          <w:color w:val="auto"/>
        </w:rPr>
        <w:t>If Ms. Anderson is terminated by us without cause, or Ms. Anderson terminates her employment for good reason each during the change of control period, Ms. Anderson is entitled to (i) a lump sum severance payment equal to 24 months of salary from the termination date (increased from 12 months in her original agreement), (ii) a lump sum payment equal to 100% of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Her amended and restated agreement eliminated the provision in her original agreement extending the post-termination exercise period of such awards to 24 months after the termination date.</w:t>
      </w:r>
    </w:p>
    <w:p>
      <w:pPr>
        <w:spacing w:after="0" w:line="165" w:lineRule="exact"/>
        <w:rPr>
          <w:sz w:val="20"/>
          <w:szCs w:val="20"/>
          <w:color w:val="auto"/>
        </w:rPr>
      </w:pPr>
    </w:p>
    <w:p>
      <w:pPr>
        <w:ind w:right="20" w:firstLine="756"/>
        <w:spacing w:after="0" w:line="271" w:lineRule="auto"/>
        <w:rPr>
          <w:sz w:val="20"/>
          <w:szCs w:val="20"/>
          <w:color w:val="auto"/>
        </w:rPr>
      </w:pPr>
      <w:r>
        <w:rPr>
          <w:rFonts w:ascii="Arial" w:cs="Arial" w:eastAsia="Arial" w:hAnsi="Arial"/>
          <w:sz w:val="17"/>
          <w:szCs w:val="17"/>
          <w:color w:val="auto"/>
        </w:rPr>
        <w:t>If Ms. Brooks, Ms. Guyer or Mr. Hall is terminated by us without cause, or Ms. Brooks, Ms. Guyer or Mr. Hall terminates their employment for good reason, each during the change of control period, Ms. Brooks, Ms. Guyer and Mr. Hall are entitled to (i) a lump sum severance payment equal to 12 months of salary from the termination date (increased from six months in Ms. Brooks’, Ms. Guyer’s and Mr. Hall’s original agreements), (ii) a lump sum payment equal to 100% (increased from 50% in Ms. Brooks’, Ms. Guyer’s and Mr. Hall’s original agreements) of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Ms. Brooks’, Ms. Guyer’s and Mr. Hall’s amended and restated agreements eliminated the provisions in their original agreements extending the post-termination exercise period of such awards to 18 months after the termination date.</w:t>
      </w:r>
    </w:p>
    <w:p>
      <w:pPr>
        <w:spacing w:after="0" w:line="179" w:lineRule="exact"/>
        <w:rPr>
          <w:sz w:val="20"/>
          <w:szCs w:val="20"/>
          <w:color w:val="auto"/>
        </w:rPr>
      </w:pPr>
    </w:p>
    <w:p>
      <w:pPr>
        <w:ind w:right="60" w:firstLine="756"/>
        <w:spacing w:after="0" w:line="293" w:lineRule="auto"/>
        <w:rPr>
          <w:sz w:val="20"/>
          <w:szCs w:val="20"/>
          <w:color w:val="auto"/>
        </w:rPr>
      </w:pPr>
      <w:r>
        <w:rPr>
          <w:rFonts w:ascii="Arial" w:cs="Arial" w:eastAsia="Arial" w:hAnsi="Arial"/>
          <w:sz w:val="16"/>
          <w:szCs w:val="16"/>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the end of the salary continuation period after their respective termination date or (ii) the date upon which the executive and his or her eligible dependents become covered under similar plans. The amended and restated agreements extended the benefits continuation periods to the extent the correlative salary continuation periods were extended.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9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Amended and Restated Change of Control and Severance Agreement, effective as of May 14, 2015, between Bonnie Anderson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Amended and Restated Change of Control and Severance Agreement, effective as of May 14, 2015, between Shelly Guyer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Amended and Restated Change of Control and Severance Agreement, effective as of May 14, 2015, between Christopher Hall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Amended and Restated Change of Control and Severance Agreement, effective as of May 14, 2015, between Julie Brooks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4180" w:type="dxa"/>
            <w:vAlign w:val="bottom"/>
          </w:tcPr>
          <w:p>
            <w:pPr>
              <w:ind w:left="48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4180" w:type="dxa"/>
            <w:vAlign w:val="bottom"/>
          </w:tcPr>
          <w:p>
            <w:pPr>
              <w:ind w:left="4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340" w:firstLine="8"/>
        <w:spacing w:after="0" w:line="501"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herewith.</w:t>
      </w:r>
    </w:p>
    <w:p>
      <w:pPr>
        <w:ind w:right="100" w:firstLine="8"/>
        <w:spacing w:after="0" w:line="259"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ind w:left="3960"/>
              <w:spacing w:after="0"/>
              <w:rPr>
                <w:sz w:val="20"/>
                <w:szCs w:val="20"/>
                <w:color w:val="auto"/>
              </w:rPr>
            </w:pPr>
            <w:r>
              <w:rPr>
                <w:rFonts w:ascii="Arial" w:cs="Arial" w:eastAsia="Arial" w:hAnsi="Arial"/>
                <w:sz w:val="18"/>
                <w:szCs w:val="18"/>
                <w:color w:val="auto"/>
              </w:rPr>
              <w:t>51</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gridSpan w:val="2"/>
          </w:tcPr>
          <w:p>
            <w:pPr>
              <w:spacing w:after="0"/>
              <w:rPr>
                <w:sz w:val="24"/>
                <w:szCs w:val="24"/>
                <w:color w:val="auto"/>
              </w:rPr>
            </w:pPr>
          </w:p>
        </w:tc>
        <w:tc>
          <w:tcPr>
            <w:tcW w:w="9760" w:type="dxa"/>
            <w:vAlign w:val="bottom"/>
            <w:gridSpan w:val="2"/>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Amended and Restated Change of Control and Severance Agreement, effective as of May 14, 2015, between Bonnie Anderson and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Amended and Restated Change of Control and Severance Agreement, effective as of May 14, 2015, between Shelly Guyer and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Amended and Restated Change of Control and Severance Agreement, effective as of May 14, 2015, between Christopher Hall and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Amended and Restated Change of Control and Severance Agreement, effective as of May 14, 2015, between Julie Brooks and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280" w:firstLine="8"/>
        <w:spacing w:after="0" w:line="501"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herewith.</w:t>
      </w:r>
    </w:p>
    <w:p>
      <w:pPr>
        <w:ind w:right="100" w:firstLine="8"/>
        <w:spacing w:after="0" w:line="259"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ectPr>
          <w:pgSz w:w="11900" w:h="16838" w:orient="portrait"/>
          <w:cols w:equalWidth="0" w:num="1">
            <w:col w:w="11460"/>
          </w:cols>
          <w:pgMar w:left="240" w:top="125" w:right="199" w:bottom="144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9" w:name="page40"/>
    <w:bookmarkEnd w:id="39"/>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AND SEVERANCE AGREEMENT</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This Amended and Restated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Bonnie Anderson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May 14,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0" w:firstLine="656"/>
        <w:spacing w:after="0" w:line="279"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1"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40" w:firstLine="656"/>
        <w:spacing w:after="0" w:line="272" w:lineRule="auto"/>
        <w:tabs>
          <w:tab w:leader="none" w:pos="129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77" w:lineRule="exact"/>
        <w:rPr>
          <w:rFonts w:ascii="Arial" w:cs="Arial" w:eastAsia="Arial" w:hAnsi="Arial"/>
          <w:sz w:val="17"/>
          <w:szCs w:val="17"/>
          <w:color w:val="auto"/>
        </w:rPr>
      </w:pPr>
    </w:p>
    <w:p>
      <w:pPr>
        <w:ind w:right="20" w:firstLine="656"/>
        <w:spacing w:after="0" w:line="264"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6" w:lineRule="auto"/>
        <w:tabs>
          <w:tab w:leader="none" w:pos="194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65" w:lineRule="exact"/>
        <w:rPr>
          <w:rFonts w:ascii="Arial" w:cs="Arial" w:eastAsia="Arial" w:hAnsi="Arial"/>
          <w:sz w:val="17"/>
          <w:szCs w:val="17"/>
          <w:color w:val="auto"/>
        </w:rPr>
      </w:pPr>
    </w:p>
    <w:p>
      <w:pPr>
        <w:ind w:right="340" w:firstLine="1953"/>
        <w:spacing w:after="0" w:line="277" w:lineRule="auto"/>
        <w:tabs>
          <w:tab w:leader="none" w:pos="2614"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right="660" w:firstLine="1953"/>
        <w:spacing w:after="0" w:line="277" w:lineRule="auto"/>
        <w:tabs>
          <w:tab w:leader="none" w:pos="2624"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Continuing Severance Payments</w:t>
      </w:r>
      <w:r>
        <w:rPr>
          <w:rFonts w:ascii="Arial" w:cs="Arial" w:eastAsia="Arial" w:hAnsi="Arial"/>
          <w:sz w:val="18"/>
          <w:szCs w:val="18"/>
          <w:color w:val="auto"/>
        </w:rPr>
        <w:t>. Executive will be paid continuing payments of severance pay at a rate equal to Executive’s base salary rate, as then in effect, for twelve (12) months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of such termination of employment to be paid periodically in accordance with the Company’s normal payroll policies.</w:t>
      </w:r>
    </w:p>
    <w:p>
      <w:pPr>
        <w:spacing w:after="0" w:line="225" w:lineRule="exact"/>
        <w:rPr>
          <w:sz w:val="20"/>
          <w:szCs w:val="20"/>
          <w:color w:val="auto"/>
        </w:rPr>
      </w:pPr>
    </w:p>
    <w:p>
      <w:pPr>
        <w:ind w:right="20" w:firstLine="2178"/>
        <w:spacing w:after="0" w:line="272" w:lineRule="auto"/>
        <w:tabs>
          <w:tab w:leader="none" w:pos="2791"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Executive will be entitled to receive the award Executive would have otherwise received had Executive remained employed by the Company through the end of the applicable performance period (and through the date of payment if continued employment through such date would be required to earn the bonus), but without the Board or any committee of the Board exercising any negative discretion to reduce the amount of the award, pro-rated by multiplying such bonus amount by a fraction, the numerator of which shall be the number of days from and including the first day of the relevant performance period through and including the date of Executive’s termination, and the denominator of which shall be the number of days in the performance period. The amount will be paid in a lump sum payment in cash at the same time awards are otherwise paid to other senior executives participating in that or a similar incentive plan or arrangement.</w:t>
      </w:r>
    </w:p>
    <w:p>
      <w:pPr>
        <w:spacing w:after="0" w:line="177" w:lineRule="exact"/>
        <w:rPr>
          <w:rFonts w:ascii="Arial" w:cs="Arial" w:eastAsia="Arial" w:hAnsi="Arial"/>
          <w:sz w:val="17"/>
          <w:szCs w:val="17"/>
          <w:color w:val="auto"/>
        </w:rPr>
      </w:pPr>
    </w:p>
    <w:p>
      <w:pPr>
        <w:ind w:right="60" w:firstLine="1953"/>
        <w:spacing w:after="0" w:line="287" w:lineRule="auto"/>
        <w:tabs>
          <w:tab w:leader="none" w:pos="261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w:t>
      </w:r>
    </w:p>
    <w:p>
      <w:pPr>
        <w:sectPr>
          <w:pgSz w:w="11900" w:h="16863" w:orient="portrait"/>
          <w:cols w:equalWidth="0" w:num="1">
            <w:col w:w="11420"/>
          </w:cols>
          <w:pgMar w:left="240" w:top="121" w:right="239" w:bottom="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0" w:lineRule="exact"/>
        <w:rPr>
          <w:sz w:val="20"/>
          <w:szCs w:val="20"/>
          <w:color w:val="auto"/>
        </w:rPr>
      </w:pPr>
    </w:p>
    <w:p>
      <w:pPr>
        <w:ind w:right="40" w:firstLine="1897"/>
        <w:spacing w:after="0" w:line="259" w:lineRule="auto"/>
        <w:tabs>
          <w:tab w:leader="none" w:pos="2598"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Fifty percent (50%)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fifty percent (50%) of the amount of the Equity Award assuming the performance criteria had been achieved at target levels for the relevant performance period(s).</w:t>
      </w:r>
    </w:p>
    <w:p>
      <w:pPr>
        <w:spacing w:after="0" w:line="186" w:lineRule="exact"/>
        <w:rPr>
          <w:rFonts w:ascii="Arial" w:cs="Arial" w:eastAsia="Arial" w:hAnsi="Arial"/>
          <w:sz w:val="18"/>
          <w:szCs w:val="18"/>
          <w:color w:val="auto"/>
        </w:rPr>
      </w:pPr>
    </w:p>
    <w:p>
      <w:pPr>
        <w:ind w:right="40" w:firstLine="1897"/>
        <w:spacing w:after="0" w:line="297" w:lineRule="auto"/>
        <w:tabs>
          <w:tab w:leader="none" w:pos="260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 stock option and/or stock appreciation right will not extend beyond the earlier of its original maximum term or the tenth (10th) anniversary of the original date of grant.</w:t>
      </w:r>
    </w:p>
    <w:p>
      <w:pPr>
        <w:spacing w:after="0" w:line="158" w:lineRule="exact"/>
        <w:rPr>
          <w:rFonts w:ascii="Arial" w:cs="Arial" w:eastAsia="Arial" w:hAnsi="Arial"/>
          <w:sz w:val="16"/>
          <w:szCs w:val="16"/>
          <w:color w:val="auto"/>
        </w:rPr>
      </w:pPr>
    </w:p>
    <w:p>
      <w:pPr>
        <w:ind w:right="120" w:firstLine="1305"/>
        <w:spacing w:after="0" w:line="312" w:lineRule="auto"/>
        <w:tabs>
          <w:tab w:leader="none" w:pos="195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47" w:lineRule="exact"/>
        <w:rPr>
          <w:sz w:val="20"/>
          <w:szCs w:val="20"/>
          <w:color w:val="auto"/>
        </w:rPr>
      </w:pPr>
    </w:p>
    <w:p>
      <w:pPr>
        <w:ind w:right="320" w:firstLine="1953"/>
        <w:spacing w:after="0" w:line="277" w:lineRule="auto"/>
        <w:tabs>
          <w:tab w:leader="none" w:pos="261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54" w:lineRule="auto"/>
        <w:tabs>
          <w:tab w:leader="none" w:pos="2624"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Executive will receive a lump-sum payment (less applicable withholding taxes) equal to the twenty-four (24) 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8"/>
          <w:szCs w:val="18"/>
          <w:i w:val="1"/>
          <w:iCs w:val="1"/>
          <w:color w:val="auto"/>
        </w:rPr>
        <w:t>less</w:t>
      </w:r>
      <w:r>
        <w:rPr>
          <w:rFonts w:ascii="Arial" w:cs="Arial" w:eastAsia="Arial" w:hAnsi="Arial"/>
          <w:sz w:val="18"/>
          <w:szCs w:val="18"/>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92" w:lineRule="exact"/>
        <w:rPr>
          <w:rFonts w:ascii="Arial" w:cs="Arial" w:eastAsia="Arial" w:hAnsi="Arial"/>
          <w:sz w:val="18"/>
          <w:szCs w:val="18"/>
          <w:color w:val="auto"/>
        </w:rPr>
      </w:pPr>
    </w:p>
    <w:p>
      <w:pPr>
        <w:ind w:left="2640" w:hanging="740"/>
        <w:spacing w:after="0"/>
        <w:tabs>
          <w:tab w:leader="none" w:pos="2640" w:val="left"/>
        </w:tabs>
        <w:numPr>
          <w:ilvl w:val="2"/>
          <w:numId w:val="25"/>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percent (100%) of the higher of</w:t>
      </w:r>
    </w:p>
    <w:p>
      <w:pPr>
        <w:spacing w:after="0" w:line="34" w:lineRule="exact"/>
        <w:rPr>
          <w:rFonts w:ascii="Arial" w:cs="Arial" w:eastAsia="Arial" w:hAnsi="Arial"/>
          <w:sz w:val="17"/>
          <w:szCs w:val="17"/>
          <w:color w:val="auto"/>
        </w:rPr>
      </w:pPr>
    </w:p>
    <w:p>
      <w:pPr>
        <w:jc w:val="both"/>
        <w:ind w:right="240" w:firstLine="8"/>
        <w:spacing w:after="0" w:line="292" w:lineRule="auto"/>
        <w:tabs>
          <w:tab w:leader="none" w:pos="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2" w:lineRule="exact"/>
        <w:rPr>
          <w:rFonts w:ascii="Arial" w:cs="Arial" w:eastAsia="Arial" w:hAnsi="Arial"/>
          <w:sz w:val="16"/>
          <w:szCs w:val="16"/>
          <w:color w:val="auto"/>
        </w:rPr>
      </w:pPr>
    </w:p>
    <w:p>
      <w:pPr>
        <w:ind w:firstLine="1953"/>
        <w:spacing w:after="0" w:line="268" w:lineRule="auto"/>
        <w:tabs>
          <w:tab w:leader="none" w:pos="2610" w:val="left"/>
        </w:tabs>
        <w:numPr>
          <w:ilvl w:val="3"/>
          <w:numId w:val="26"/>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twenty-four (24)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twenty-four (24) payments. For the avoidance of doubt, the taxable payments in lieu of COBRA reimbursements may be used for any purpose, including, but not limited to continuation coverage under COBRA, and will be subject to all applicable tax withholdings.</w:t>
      </w:r>
    </w:p>
    <w:p>
      <w:pPr>
        <w:spacing w:after="0" w:line="185" w:lineRule="exact"/>
        <w:rPr>
          <w:rFonts w:ascii="Arial" w:cs="Arial" w:eastAsia="Arial" w:hAnsi="Arial"/>
          <w:sz w:val="17"/>
          <w:szCs w:val="17"/>
          <w:color w:val="auto"/>
        </w:rPr>
      </w:pPr>
    </w:p>
    <w:p>
      <w:pPr>
        <w:ind w:right="340" w:firstLine="1953"/>
        <w:spacing w:after="0" w:line="279" w:lineRule="auto"/>
        <w:tabs>
          <w:tab w:leader="none" w:pos="2600" w:val="left"/>
        </w:tabs>
        <w:numPr>
          <w:ilvl w:val="3"/>
          <w:numId w:val="26"/>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1" w:lineRule="exact"/>
        <w:rPr>
          <w:rFonts w:ascii="Arial" w:cs="Arial" w:eastAsia="Arial" w:hAnsi="Arial"/>
          <w:sz w:val="17"/>
          <w:szCs w:val="17"/>
          <w:color w:val="auto"/>
        </w:rPr>
      </w:pPr>
    </w:p>
    <w:p>
      <w:pPr>
        <w:ind w:right="20" w:firstLine="1305"/>
        <w:spacing w:after="0" w:line="259" w:lineRule="auto"/>
        <w:tabs>
          <w:tab w:leader="none" w:pos="195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420" w:firstLine="1305"/>
        <w:spacing w:after="0" w:line="264" w:lineRule="auto"/>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then existing written severance and benefits plans and practices or pursuant to other written agreements with the Company.</w:t>
      </w:r>
    </w:p>
    <w:p>
      <w:pPr>
        <w:sectPr>
          <w:pgSz w:w="11900" w:h="16838" w:orient="portrait"/>
          <w:cols w:equalWidth="0" w:num="1">
            <w:col w:w="11400"/>
          </w:cols>
          <w:pgMar w:left="240" w:top="125" w:right="259" w:bottom="0" w:gutter="0" w:footer="0" w:header="0"/>
        </w:sectPr>
      </w:pPr>
    </w:p>
    <w:bookmarkStart w:id="41" w:name="page42"/>
    <w:bookmarkEnd w:id="41"/>
    <w:p>
      <w:pPr>
        <w:spacing w:after="0" w:line="39" w:lineRule="exact"/>
        <w:rPr>
          <w:sz w:val="20"/>
          <w:szCs w:val="20"/>
          <w:color w:val="auto"/>
        </w:rPr>
      </w:pPr>
    </w:p>
    <w:p>
      <w:pPr>
        <w:ind w:right="40" w:firstLine="1305"/>
        <w:spacing w:after="0" w:line="257" w:lineRule="auto"/>
        <w:tabs>
          <w:tab w:leader="none" w:pos="1955" w:val="left"/>
        </w:tabs>
        <w:numPr>
          <w:ilvl w:val="2"/>
          <w:numId w:val="27"/>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p>
    <w:p>
      <w:pPr>
        <w:spacing w:after="0" w:line="225" w:lineRule="exact"/>
        <w:rPr>
          <w:rFonts w:ascii="Arial" w:cs="Arial" w:eastAsia="Arial" w:hAnsi="Arial"/>
          <w:sz w:val="18"/>
          <w:szCs w:val="18"/>
          <w:color w:val="auto"/>
        </w:rPr>
      </w:pPr>
    </w:p>
    <w:p>
      <w:pPr>
        <w:ind w:firstLine="1305"/>
        <w:spacing w:after="0" w:line="255" w:lineRule="auto"/>
        <w:tabs>
          <w:tab w:leader="none" w:pos="1942"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93" w:lineRule="exact"/>
        <w:rPr>
          <w:rFonts w:ascii="Arial" w:cs="Arial" w:eastAsia="Arial" w:hAnsi="Arial"/>
          <w:sz w:val="18"/>
          <w:szCs w:val="18"/>
          <w:color w:val="auto"/>
        </w:rPr>
      </w:pPr>
    </w:p>
    <w:p>
      <w:pPr>
        <w:ind w:right="20" w:firstLine="1305"/>
        <w:spacing w:after="0" w:line="259"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Invention Assignment Agreements</w:t>
      </w:r>
      <w:r>
        <w:rPr>
          <w:rFonts w:ascii="Arial" w:cs="Arial" w:eastAsia="Arial" w:hAnsi="Arial"/>
          <w:sz w:val="18"/>
          <w:szCs w:val="18"/>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13, 2008, between the Company and Executive, as such agreement may be amended from time to time.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53"/>
        <w:spacing w:after="0" w:line="293" w:lineRule="auto"/>
        <w:tabs>
          <w:tab w:leader="none" w:pos="2614" w:val="left"/>
        </w:tabs>
        <w:numPr>
          <w:ilvl w:val="3"/>
          <w:numId w:val="2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4" w:lineRule="exact"/>
        <w:rPr>
          <w:rFonts w:ascii="Arial" w:cs="Arial" w:eastAsia="Arial" w:hAnsi="Arial"/>
          <w:sz w:val="16"/>
          <w:szCs w:val="16"/>
          <w:color w:val="auto"/>
        </w:rPr>
      </w:pPr>
    </w:p>
    <w:p>
      <w:pPr>
        <w:ind w:firstLine="1953"/>
        <w:spacing w:after="0" w:line="254" w:lineRule="auto"/>
        <w:tabs>
          <w:tab w:leader="none" w:pos="2624" w:val="left"/>
        </w:tabs>
        <w:numPr>
          <w:ilvl w:val="3"/>
          <w:numId w:val="28"/>
        </w:numPr>
        <w:rPr>
          <w:rFonts w:ascii="Arial" w:cs="Arial" w:eastAsia="Arial" w:hAnsi="Arial"/>
          <w:sz w:val="18"/>
          <w:szCs w:val="18"/>
          <w:color w:val="auto"/>
        </w:rPr>
      </w:pPr>
      <w:r>
        <w:rPr>
          <w:rFonts w:ascii="Arial" w:cs="Arial" w:eastAsia="Arial" w:hAnsi="Arial"/>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(60th)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w:t>
      </w:r>
    </w:p>
    <w:p>
      <w:pPr>
        <w:spacing w:after="0" w:line="192" w:lineRule="exact"/>
        <w:rPr>
          <w:rFonts w:ascii="Arial" w:cs="Arial" w:eastAsia="Arial" w:hAnsi="Arial"/>
          <w:sz w:val="18"/>
          <w:szCs w:val="18"/>
          <w:color w:val="auto"/>
        </w:rPr>
      </w:pPr>
    </w:p>
    <w:p>
      <w:pPr>
        <w:ind w:right="160" w:firstLine="1953"/>
        <w:spacing w:after="0" w:line="291" w:lineRule="auto"/>
        <w:tabs>
          <w:tab w:leader="none" w:pos="2633" w:val="left"/>
        </w:tabs>
        <w:numPr>
          <w:ilvl w:val="3"/>
          <w:numId w:val="2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day following the date of Executive’s separation from service. All subsequent Deferred Payments, if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58" w:lineRule="exact"/>
        <w:rPr>
          <w:sz w:val="20"/>
          <w:szCs w:val="20"/>
          <w:color w:val="auto"/>
        </w:rPr>
      </w:pPr>
    </w:p>
    <w:p>
      <w:pPr>
        <w:ind w:right="560" w:firstLine="1953"/>
        <w:spacing w:after="0" w:line="277" w:lineRule="auto"/>
        <w:tabs>
          <w:tab w:leader="none" w:pos="261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70" w:lineRule="exact"/>
        <w:rPr>
          <w:rFonts w:ascii="Arial" w:cs="Arial" w:eastAsia="Arial" w:hAnsi="Arial"/>
          <w:sz w:val="18"/>
          <w:szCs w:val="18"/>
          <w:color w:val="auto"/>
        </w:rPr>
      </w:pPr>
    </w:p>
    <w:p>
      <w:pPr>
        <w:ind w:firstLine="1953"/>
        <w:spacing w:after="0" w:line="264" w:lineRule="auto"/>
        <w:tabs>
          <w:tab w:leader="none" w:pos="26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1" w:lineRule="exact"/>
        <w:rPr>
          <w:rFonts w:ascii="Arial" w:cs="Arial" w:eastAsia="Arial" w:hAnsi="Arial"/>
          <w:sz w:val="18"/>
          <w:szCs w:val="18"/>
          <w:color w:val="auto"/>
        </w:rPr>
      </w:pPr>
    </w:p>
    <w:p>
      <w:pPr>
        <w:ind w:right="300" w:firstLine="1953"/>
        <w:spacing w:after="0" w:line="257" w:lineRule="auto"/>
        <w:tabs>
          <w:tab w:leader="none" w:pos="261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8" w:lineRule="exact"/>
        <w:rPr>
          <w:rFonts w:ascii="Arial" w:cs="Arial" w:eastAsia="Arial" w:hAnsi="Arial"/>
          <w:sz w:val="18"/>
          <w:szCs w:val="18"/>
          <w:color w:val="auto"/>
        </w:rPr>
      </w:pPr>
    </w:p>
    <w:p>
      <w:pPr>
        <w:ind w:right="100" w:firstLine="656"/>
        <w:spacing w:after="0" w:line="264" w:lineRule="auto"/>
        <w:tabs>
          <w:tab w:leader="none" w:pos="129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right="20" w:firstLine="1305"/>
        <w:spacing w:after="0" w:line="302" w:lineRule="auto"/>
        <w:tabs>
          <w:tab w:leader="none" w:pos="1952"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w:t>
      </w:r>
    </w:p>
    <w:p>
      <w:pPr>
        <w:sectPr>
          <w:pgSz w:w="11900" w:h="16877" w:orient="portrait"/>
          <w:cols w:equalWidth="0" w:num="1">
            <w:col w:w="11400"/>
          </w:cols>
          <w:pgMar w:left="240" w:top="125" w:right="259" w:bottom="0" w:gutter="0" w:footer="0" w:header="0"/>
        </w:sectPr>
      </w:pPr>
    </w:p>
    <w:bookmarkStart w:id="42" w:name="page43"/>
    <w:bookmarkEnd w:id="42"/>
    <w:p>
      <w:pPr>
        <w:ind w:right="460"/>
        <w:spacing w:after="0" w:line="291" w:lineRule="auto"/>
        <w:rPr>
          <w:sz w:val="20"/>
          <w:szCs w:val="20"/>
          <w:color w:val="auto"/>
        </w:rPr>
      </w:pPr>
      <w:r>
        <w:rPr>
          <w:rFonts w:ascii="Arial" w:cs="Arial" w:eastAsia="Arial" w:hAnsi="Arial"/>
          <w:sz w:val="16"/>
          <w:szCs w:val="16"/>
          <w:color w:val="auto"/>
        </w:rPr>
        <w:t>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w:t>
      </w:r>
    </w:p>
    <w:p>
      <w:pPr>
        <w:ind w:right="60" w:firstLine="8"/>
        <w:spacing w:after="0" w:line="261" w:lineRule="auto"/>
        <w:tabs>
          <w:tab w:leader="none" w:pos="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reduction of employee benefits. In the event that acceleration of vesting of equity award compensation is to be reduced, such acceleration of vesting will be cancelled in the reverse order of the date of grant of Executive’s equity awards.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5660" w:right="2420" w:hanging="5004"/>
        <w:spacing w:after="0" w:line="528"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 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940" w:hanging="635"/>
        <w:spacing w:after="0"/>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mean:</w:t>
      </w:r>
    </w:p>
    <w:p>
      <w:pPr>
        <w:spacing w:after="0" w:line="225" w:lineRule="exact"/>
        <w:rPr>
          <w:rFonts w:ascii="Arial" w:cs="Arial" w:eastAsia="Arial" w:hAnsi="Arial"/>
          <w:sz w:val="18"/>
          <w:szCs w:val="18"/>
          <w:color w:val="auto"/>
        </w:rPr>
      </w:pPr>
    </w:p>
    <w:p>
      <w:pPr>
        <w:ind w:left="2620" w:hanging="538"/>
        <w:spacing w:after="0"/>
        <w:tabs>
          <w:tab w:leader="none" w:pos="2620"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willful or grossly negligent failure of the Executive to substantially perform his or her duties as an employee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2620" w:hanging="538"/>
        <w:spacing w:after="0"/>
        <w:tabs>
          <w:tab w:leader="none" w:pos="2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commission of a gross misconduct which is injurious to the Company;</w:t>
      </w:r>
    </w:p>
    <w:p>
      <w:pPr>
        <w:spacing w:after="0" w:line="225" w:lineRule="exact"/>
        <w:rPr>
          <w:rFonts w:ascii="Arial" w:cs="Arial" w:eastAsia="Arial" w:hAnsi="Arial"/>
          <w:sz w:val="18"/>
          <w:szCs w:val="18"/>
          <w:color w:val="auto"/>
        </w:rPr>
      </w:pPr>
    </w:p>
    <w:p>
      <w:pPr>
        <w:ind w:left="2640" w:hanging="558"/>
        <w:spacing w:after="0"/>
        <w:tabs>
          <w:tab w:leader="none" w:pos="26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breach of a material provision of any agreement between Executive and the Company;</w:t>
      </w:r>
    </w:p>
    <w:p>
      <w:pPr>
        <w:spacing w:after="0" w:line="225" w:lineRule="exact"/>
        <w:rPr>
          <w:rFonts w:ascii="Arial" w:cs="Arial" w:eastAsia="Arial" w:hAnsi="Arial"/>
          <w:sz w:val="18"/>
          <w:szCs w:val="18"/>
          <w:color w:val="auto"/>
        </w:rPr>
      </w:pPr>
    </w:p>
    <w:p>
      <w:pPr>
        <w:ind w:left="2620" w:hanging="538"/>
        <w:spacing w:after="0"/>
        <w:tabs>
          <w:tab w:leader="none" w:pos="2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material and willful violation of a federal or state law or regulation applicable to the business of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Company;</w:t>
      </w:r>
    </w:p>
    <w:p>
      <w:pPr>
        <w:spacing w:after="0" w:line="210" w:lineRule="exact"/>
        <w:rPr>
          <w:rFonts w:ascii="Arial" w:cs="Arial" w:eastAsia="Arial" w:hAnsi="Arial"/>
          <w:sz w:val="18"/>
          <w:szCs w:val="18"/>
          <w:color w:val="auto"/>
        </w:rPr>
      </w:pPr>
    </w:p>
    <w:p>
      <w:pPr>
        <w:ind w:left="2600" w:hanging="518"/>
        <w:spacing w:after="0"/>
        <w:tabs>
          <w:tab w:leader="none" w:pos="2600" w:val="left"/>
        </w:tabs>
        <w:numPr>
          <w:ilvl w:val="2"/>
          <w:numId w:val="34"/>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or</w:t>
      </w:r>
    </w:p>
    <w:p>
      <w:pPr>
        <w:spacing w:after="0" w:line="210" w:lineRule="exact"/>
        <w:rPr>
          <w:rFonts w:ascii="Arial" w:cs="Arial" w:eastAsia="Arial" w:hAnsi="Arial"/>
          <w:sz w:val="17"/>
          <w:szCs w:val="17"/>
          <w:color w:val="auto"/>
        </w:rPr>
      </w:pPr>
    </w:p>
    <w:p>
      <w:pPr>
        <w:ind w:right="200" w:firstLine="2082"/>
        <w:spacing w:after="0" w:line="277" w:lineRule="auto"/>
        <w:tabs>
          <w:tab w:leader="none" w:pos="2604"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-2740025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66" w:lineRule="exact"/>
        <w:rPr>
          <w:sz w:val="20"/>
          <w:szCs w:val="20"/>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2082"/>
        <w:spacing w:after="0" w:line="257" w:lineRule="auto"/>
        <w:tabs>
          <w:tab w:leader="none" w:pos="26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8" w:lineRule="exact"/>
        <w:rPr>
          <w:rFonts w:ascii="Arial" w:cs="Arial" w:eastAsia="Arial" w:hAnsi="Arial"/>
          <w:sz w:val="18"/>
          <w:szCs w:val="18"/>
          <w:color w:val="auto"/>
        </w:rPr>
      </w:pPr>
    </w:p>
    <w:p>
      <w:pPr>
        <w:ind w:right="60" w:firstLine="2082"/>
        <w:spacing w:after="0" w:line="279" w:lineRule="auto"/>
        <w:tabs>
          <w:tab w:leader="none" w:pos="261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1" w:lineRule="exact"/>
        <w:rPr>
          <w:rFonts w:ascii="Arial" w:cs="Arial" w:eastAsia="Arial" w:hAnsi="Arial"/>
          <w:sz w:val="17"/>
          <w:szCs w:val="17"/>
          <w:color w:val="auto"/>
        </w:rPr>
      </w:pPr>
    </w:p>
    <w:p>
      <w:pPr>
        <w:ind w:right="100" w:firstLine="2082"/>
        <w:spacing w:after="0" w:line="255" w:lineRule="auto"/>
        <w:tabs>
          <w:tab w:leader="none" w:pos="26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ectPr>
          <w:pgSz w:w="11900" w:h="16838" w:orient="portrait"/>
          <w:cols w:equalWidth="0" w:num="1">
            <w:col w:w="11400"/>
          </w:cols>
          <w:pgMar w:left="240" w:top="125" w:right="259" w:bottom="0" w:gutter="0" w:footer="0" w:header="0"/>
        </w:sectPr>
      </w:pPr>
    </w:p>
    <w:bookmarkStart w:id="43" w:name="page44"/>
    <w:bookmarkEnd w:id="43"/>
    <w:p>
      <w:pPr>
        <w:spacing w:after="0" w:line="69" w:lineRule="exact"/>
        <w:rPr>
          <w:sz w:val="20"/>
          <w:szCs w:val="20"/>
          <w:color w:val="auto"/>
        </w:rPr>
      </w:pPr>
    </w:p>
    <w:p>
      <w:pPr>
        <w:ind w:right="160" w:firstLine="207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60" w:firstLine="2074"/>
        <w:spacing w:after="0" w:line="286"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right="480" w:firstLine="1305"/>
        <w:spacing w:after="0" w:line="27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 of Control Period</w:t>
      </w:r>
      <w:r>
        <w:rPr>
          <w:rFonts w:ascii="Arial" w:cs="Arial" w:eastAsia="Arial" w:hAnsi="Arial"/>
          <w:sz w:val="18"/>
          <w:szCs w:val="18"/>
          <w:color w:val="auto"/>
        </w:rPr>
        <w:t>. “</w:t>
      </w:r>
      <w:r>
        <w:rPr>
          <w:rFonts w:ascii="Arial" w:cs="Arial" w:eastAsia="Arial" w:hAnsi="Arial"/>
          <w:sz w:val="18"/>
          <w:szCs w:val="18"/>
          <w:b w:val="1"/>
          <w:bCs w:val="1"/>
          <w:i w:val="1"/>
          <w:iCs w:val="1"/>
          <w:color w:val="auto"/>
        </w:rPr>
        <w:t>Change of Control Period</w:t>
      </w:r>
      <w:r>
        <w:rPr>
          <w:rFonts w:ascii="Arial" w:cs="Arial" w:eastAsia="Arial" w:hAnsi="Arial"/>
          <w:sz w:val="18"/>
          <w:szCs w:val="18"/>
          <w:color w:val="auto"/>
        </w:rPr>
        <w:t>” will mean the period beginning two (2) months prior to, and ending twelve (12) months following, a Change of Control.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will mean the Internal Revenue Code of 1986, as amended.</w:t>
      </w:r>
    </w:p>
    <w:p>
      <w:pPr>
        <w:spacing w:after="0" w:line="225" w:lineRule="exact"/>
        <w:rPr>
          <w:rFonts w:ascii="Arial" w:cs="Arial" w:eastAsia="Arial" w:hAnsi="Arial"/>
          <w:sz w:val="18"/>
          <w:szCs w:val="18"/>
          <w:color w:val="auto"/>
        </w:rPr>
      </w:pPr>
    </w:p>
    <w:p>
      <w:pPr>
        <w:jc w:val="both"/>
        <w:ind w:right="280" w:firstLine="1305"/>
        <w:spacing w:after="0" w:line="288" w:lineRule="auto"/>
        <w:tabs>
          <w:tab w:leader="none" w:pos="195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w:t>
      </w: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55" w:lineRule="exact"/>
        <w:rPr>
          <w:rFonts w:ascii="Arial" w:cs="Arial" w:eastAsia="Arial" w:hAnsi="Arial"/>
          <w:sz w:val="16"/>
          <w:szCs w:val="16"/>
          <w:color w:val="auto"/>
        </w:rPr>
      </w:pPr>
    </w:p>
    <w:p>
      <w:pPr>
        <w:ind w:firstLine="1305"/>
        <w:spacing w:after="0" w:line="277" w:lineRule="auto"/>
        <w:tabs>
          <w:tab w:leader="none" w:pos="194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will mean Executive’s outstanding stock options, stock appreciation rights, restricted stock units, performance shares, performance stock units and any other Company equity compensation awards.</w:t>
      </w:r>
    </w:p>
    <w:p>
      <w:pPr>
        <w:spacing w:after="0" w:line="170" w:lineRule="exact"/>
        <w:rPr>
          <w:rFonts w:ascii="Arial" w:cs="Arial" w:eastAsia="Arial" w:hAnsi="Arial"/>
          <w:sz w:val="18"/>
          <w:szCs w:val="18"/>
          <w:color w:val="auto"/>
        </w:rPr>
      </w:pPr>
    </w:p>
    <w:p>
      <w:pPr>
        <w:ind w:right="160" w:firstLine="1305"/>
        <w:spacing w:after="0" w:line="308" w:lineRule="auto"/>
        <w:tabs>
          <w:tab w:leader="none" w:pos="196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46" w:lineRule="exact"/>
        <w:rPr>
          <w:rFonts w:ascii="Arial" w:cs="Arial" w:eastAsia="Arial" w:hAnsi="Arial"/>
          <w:sz w:val="17"/>
          <w:szCs w:val="17"/>
          <w:color w:val="auto"/>
        </w:rPr>
      </w:pPr>
    </w:p>
    <w:p>
      <w:pPr>
        <w:ind w:right="20" w:firstLine="2082"/>
        <w:spacing w:after="0" w:line="312" w:lineRule="auto"/>
        <w:tabs>
          <w:tab w:leader="none" w:pos="2609"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46" w:lineRule="exact"/>
        <w:rPr>
          <w:rFonts w:ascii="Arial" w:cs="Arial" w:eastAsia="Arial" w:hAnsi="Arial"/>
          <w:sz w:val="16"/>
          <w:szCs w:val="16"/>
          <w:color w:val="auto"/>
        </w:rPr>
      </w:pPr>
    </w:p>
    <w:p>
      <w:pPr>
        <w:ind w:firstLine="2082"/>
        <w:spacing w:after="0" w:line="277" w:lineRule="auto"/>
        <w:tabs>
          <w:tab w:leader="none" w:pos="26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2082"/>
        <w:spacing w:after="0" w:line="312" w:lineRule="auto"/>
        <w:tabs>
          <w:tab w:leader="none" w:pos="26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46" w:lineRule="exact"/>
        <w:rPr>
          <w:rFonts w:ascii="Arial" w:cs="Arial" w:eastAsia="Arial" w:hAnsi="Arial"/>
          <w:sz w:val="16"/>
          <w:szCs w:val="16"/>
          <w:color w:val="auto"/>
        </w:rPr>
      </w:pPr>
    </w:p>
    <w:p>
      <w:pPr>
        <w:ind w:left="2620" w:hanging="538"/>
        <w:spacing w:after="0"/>
        <w:tabs>
          <w:tab w:leader="none" w:pos="2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fifty (50) miles.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ind w:right="160" w:firstLine="1305"/>
        <w:spacing w:after="0" w:line="286" w:lineRule="auto"/>
        <w:tabs>
          <w:tab w:leader="none" w:pos="1952" w:val="left"/>
        </w:tabs>
        <w:numPr>
          <w:ilvl w:val="2"/>
          <w:numId w:val="38"/>
        </w:numPr>
        <w:rPr>
          <w:rFonts w:ascii="Arial" w:cs="Arial" w:eastAsia="Arial" w:hAnsi="Arial"/>
          <w:sz w:val="16"/>
          <w:szCs w:val="16"/>
          <w:color w:val="auto"/>
        </w:rPr>
      </w:pPr>
      <w:r>
        <w:rPr>
          <w:rFonts w:ascii="Arial" w:cs="Arial" w:eastAsia="Arial" w:hAnsi="Arial"/>
          <w:sz w:val="16"/>
          <w:szCs w:val="16"/>
          <w:u w:val="single" w:color="auto"/>
          <w:color w:val="auto"/>
        </w:rPr>
        <w:t>Section 409A Limit</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 Limit</w:t>
      </w:r>
      <w:r>
        <w:rPr>
          <w:rFonts w:ascii="Arial" w:cs="Arial" w:eastAsia="Arial" w:hAnsi="Arial"/>
          <w:sz w:val="16"/>
          <w:szCs w:val="16"/>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the Code for the year in which Executive’s employment is terminated.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942"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3" w:lineRule="exact"/>
        <w:rPr>
          <w:rFonts w:ascii="Arial" w:cs="Arial" w:eastAsia="Arial" w:hAnsi="Arial"/>
          <w:sz w:val="18"/>
          <w:szCs w:val="18"/>
          <w:color w:val="auto"/>
        </w:rPr>
      </w:pPr>
    </w:p>
    <w:p>
      <w:pPr>
        <w:ind w:right="380" w:firstLine="1305"/>
        <w:spacing w:after="0" w:line="342" w:lineRule="auto"/>
        <w:tabs>
          <w:tab w:leader="none" w:pos="1952"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40" w:firstLine="1305"/>
        <w:spacing w:after="0" w:line="342" w:lineRule="auto"/>
        <w:tabs>
          <w:tab w:leader="none" w:pos="1942"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w:t>
      </w:r>
    </w:p>
    <w:p>
      <w:pPr>
        <w:sectPr>
          <w:pgSz w:w="11900" w:h="16908" w:orient="portrait"/>
          <w:cols w:equalWidth="0" w:num="1">
            <w:col w:w="11420"/>
          </w:cols>
          <w:pgMar w:left="240" w:top="125" w:right="239" w:bottom="0" w:gutter="0" w:footer="0" w:header="0"/>
        </w:sectPr>
      </w:pPr>
    </w:p>
    <w:bookmarkStart w:id="44" w:name="page45"/>
    <w:bookmarkEnd w:id="44"/>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Chairman of the Board of Directors and the General Counsel and mailed notices will be addressed to its corporate headquarters, and all notices will be directed to the attention of its Board of Directors and General Counsel.</w:t>
      </w:r>
    </w:p>
    <w:p>
      <w:pPr>
        <w:spacing w:after="0" w:line="188" w:lineRule="exact"/>
        <w:rPr>
          <w:sz w:val="20"/>
          <w:szCs w:val="20"/>
          <w:color w:val="auto"/>
        </w:rPr>
      </w:pPr>
    </w:p>
    <w:p>
      <w:pPr>
        <w:ind w:right="120" w:firstLine="1305"/>
        <w:spacing w:after="0" w:line="312" w:lineRule="auto"/>
        <w:tabs>
          <w:tab w:leader="none" w:pos="195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so indicated, and will specify the termination date (which will be not more than ninety (90) days after the giving of such notice).</w:t>
      </w:r>
    </w:p>
    <w:p>
      <w:pPr>
        <w:spacing w:after="0" w:line="225" w:lineRule="exact"/>
        <w:rPr>
          <w:sz w:val="20"/>
          <w:szCs w:val="20"/>
          <w:color w:val="auto"/>
        </w:rPr>
      </w:pPr>
    </w:p>
    <w:p>
      <w:pPr>
        <w:ind w:right="160" w:firstLine="656"/>
        <w:spacing w:after="0" w:line="286" w:lineRule="auto"/>
        <w:tabs>
          <w:tab w:leader="none" w:pos="129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60" w:firstLine="1305"/>
        <w:spacing w:after="0" w:line="273" w:lineRule="auto"/>
        <w:tabs>
          <w:tab w:leader="none" w:pos="1942"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ind w:right="80" w:firstLine="1305"/>
        <w:spacing w:after="0" w:line="295" w:lineRule="auto"/>
        <w:tabs>
          <w:tab w:leader="none" w:pos="1952"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w:t>
      </w:r>
      <w:r>
        <w:rPr>
          <w:rFonts w:ascii="Arial" w:cs="Arial" w:eastAsia="Arial" w:hAnsi="Arial"/>
          <w:sz w:val="16"/>
          <w:szCs w:val="16"/>
          <w:color w:val="auto"/>
        </w:rPr>
        <w:t xml:space="preserve"> </w:t>
      </w:r>
      <w:r>
        <w:rPr>
          <w:rFonts w:ascii="Arial" w:cs="Arial" w:eastAsia="Arial" w:hAnsi="Arial"/>
          <w:sz w:val="16"/>
          <w:szCs w:val="16"/>
          <w:b w:val="1"/>
          <w:bCs w:val="1"/>
          <w:color w:val="auto"/>
        </w:rPr>
        <w:t>include any statutory claims under local, state, or federal law</w:t>
      </w:r>
      <w:r>
        <w:rPr>
          <w:rFonts w:ascii="Arial" w:cs="Arial" w:eastAsia="Arial" w:hAnsi="Arial"/>
          <w:sz w:val="16"/>
          <w:szCs w:val="16"/>
          <w:color w:val="auto"/>
        </w:rPr>
        <w:t>, including, but not limited to, claims under Title VII of the Civil Rights Act of 1964, the</w:t>
      </w:r>
      <w:r>
        <w:rPr>
          <w:rFonts w:ascii="Arial" w:cs="Arial" w:eastAsia="Arial" w:hAnsi="Arial"/>
          <w:sz w:val="16"/>
          <w:szCs w:val="16"/>
          <w:b w:val="1"/>
          <w:bCs w:val="1"/>
          <w:color w:val="auto"/>
        </w:rPr>
        <w:t xml:space="preserve"> </w:t>
      </w:r>
      <w:r>
        <w:rPr>
          <w:rFonts w:ascii="Arial" w:cs="Arial" w:eastAsia="Arial" w:hAnsi="Arial"/>
          <w:sz w:val="16"/>
          <w:szCs w:val="16"/>
          <w:color w:val="auto"/>
        </w:rPr>
        <w:t>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0" w:lineRule="exact"/>
        <w:rPr>
          <w:sz w:val="20"/>
          <w:szCs w:val="20"/>
          <w:color w:val="auto"/>
        </w:rPr>
      </w:pPr>
    </w:p>
    <w:p>
      <w:pPr>
        <w:ind w:firstLine="1359"/>
        <w:spacing w:after="0" w:line="269" w:lineRule="auto"/>
        <w:tabs>
          <w:tab w:leader="none" w:pos="1955"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2" w:lineRule="exact"/>
        <w:rPr>
          <w:rFonts w:ascii="Arial" w:cs="Arial" w:eastAsia="Arial" w:hAnsi="Arial"/>
          <w:sz w:val="17"/>
          <w:szCs w:val="17"/>
          <w:color w:val="auto"/>
        </w:rPr>
      </w:pPr>
    </w:p>
    <w:p>
      <w:pPr>
        <w:ind w:right="40" w:firstLine="1305"/>
        <w:spacing w:after="0" w:line="257"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xml:space="preserve">. Except as provided by the Act, arbitration will be the sole, exclusive, and final remedy for any dispute between Executive and the Company. </w:t>
      </w:r>
      <w:r>
        <w:rPr>
          <w:rFonts w:ascii="Arial" w:cs="Arial" w:eastAsia="Arial" w:hAnsi="Arial"/>
          <w:sz w:val="18"/>
          <w:szCs w:val="18"/>
          <w:b w:val="1"/>
          <w:bCs w:val="1"/>
          <w:color w:val="auto"/>
        </w:rPr>
        <w:t>Accordingly, except as provided by the Act and this Agreement, neither Executive nor the Company will be permitted to</w:t>
      </w:r>
      <w:r>
        <w:rPr>
          <w:rFonts w:ascii="Arial" w:cs="Arial" w:eastAsia="Arial" w:hAnsi="Arial"/>
          <w:sz w:val="18"/>
          <w:szCs w:val="18"/>
          <w:color w:val="auto"/>
        </w:rPr>
        <w:t xml:space="preserve"> </w:t>
      </w:r>
      <w:r>
        <w:rPr>
          <w:rFonts w:ascii="Arial" w:cs="Arial" w:eastAsia="Arial" w:hAnsi="Arial"/>
          <w:sz w:val="18"/>
          <w:szCs w:val="18"/>
          <w:b w:val="1"/>
          <w:bCs w:val="1"/>
          <w:color w:val="auto"/>
        </w:rPr>
        <w:t>pursue court action regarding claims that are subject to arbitration</w:t>
      </w:r>
      <w:r>
        <w:rPr>
          <w:rFonts w:ascii="Arial" w:cs="Arial" w:eastAsia="Arial" w:hAnsi="Arial"/>
          <w:sz w:val="18"/>
          <w:szCs w:val="18"/>
          <w:color w:val="auto"/>
        </w:rPr>
        <w:t>. Notwithstanding, the arbitrator will not have the authority to disregard or refuse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any lawful Company policy, and the arbitrator will not order or require the Company to adopt a policy not otherwise required by law which the Company has not adopted.</w:t>
      </w:r>
    </w:p>
    <w:p>
      <w:pPr>
        <w:spacing w:after="0" w:line="188" w:lineRule="exact"/>
        <w:rPr>
          <w:rFonts w:ascii="Arial" w:cs="Arial" w:eastAsia="Arial" w:hAnsi="Arial"/>
          <w:sz w:val="18"/>
          <w:szCs w:val="18"/>
          <w:color w:val="auto"/>
        </w:rPr>
      </w:pPr>
    </w:p>
    <w:p>
      <w:pPr>
        <w:ind w:right="820" w:firstLine="1305"/>
        <w:spacing w:after="0" w:line="264"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Administrative Relief</w:t>
      </w:r>
      <w:r>
        <w:rPr>
          <w:rFonts w:ascii="Arial" w:cs="Arial" w:eastAsia="Arial" w:hAnsi="Arial"/>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Equal Employment Opportunity Commission, the National Labor Relations Board, or the Workers’ Compensation Board. However, Executive may not pursue court action regarding any such claim, except as permitted by law.</w:t>
      </w:r>
    </w:p>
    <w:p>
      <w:pPr>
        <w:spacing w:after="0" w:line="170" w:lineRule="exact"/>
        <w:rPr>
          <w:sz w:val="20"/>
          <w:szCs w:val="20"/>
          <w:color w:val="auto"/>
        </w:rPr>
      </w:pPr>
    </w:p>
    <w:p>
      <w:pPr>
        <w:ind w:right="80" w:firstLine="1305"/>
        <w:spacing w:after="0" w:line="276" w:lineRule="auto"/>
        <w:tabs>
          <w:tab w:leader="none" w:pos="1949"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4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ectPr>
          <w:pgSz w:w="11900" w:h="16929" w:orient="portrait"/>
          <w:cols w:equalWidth="0" w:num="1">
            <w:col w:w="11420"/>
          </w:cols>
          <w:pgMar w:left="240" w:top="125" w:right="239" w:bottom="0" w:gutter="0" w:footer="0" w:header="0"/>
        </w:sectPr>
      </w:pPr>
    </w:p>
    <w:bookmarkStart w:id="45" w:name="page46"/>
    <w:bookmarkEnd w:id="45"/>
    <w:p>
      <w:pPr>
        <w:ind w:firstLine="1305"/>
        <w:spacing w:after="0" w:line="259"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80" w:firstLine="1305"/>
        <w:spacing w:after="0" w:line="288" w:lineRule="auto"/>
        <w:tabs>
          <w:tab w:leader="none" w:pos="195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original Change of Control and Severance Agreement dated August 24, 2012 and any rights to extended post-termination exercise period, severance and/or change of control benefits set forth in Executive’s Employment Agreement dated February 15, 2008 and amendments thereto dated December 22, 2008 and March 11, 2009, Executive’s Restricted Stock Purchase Agreement under the 2008 Stock Plan dated February 15, 2008, Executive’s Stock Option Agreement — Early Exercise under the 2008 Stock Plan dated February 3, 2010 and amendment thereto dated December 6, 2010, Executive’s Stock Option Agreement — Early Exercise under the 2008 Stock Plan dated September 28, 2010, Executive’s Stock Option Agreement under the 2008 Stock Plan dated February 23, 2011, and Executive’s Stock Option Agreement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69" w:lineRule="exact"/>
        <w:rPr>
          <w:rFonts w:ascii="Arial" w:cs="Arial" w:eastAsia="Arial" w:hAnsi="Arial"/>
          <w:sz w:val="16"/>
          <w:szCs w:val="16"/>
          <w:color w:val="auto"/>
        </w:rPr>
      </w:pPr>
    </w:p>
    <w:p>
      <w:pPr>
        <w:ind w:right="160" w:firstLine="1305"/>
        <w:spacing w:after="0" w:line="302" w:lineRule="auto"/>
        <w:tabs>
          <w:tab w:leader="none" w:pos="195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4" w:lineRule="exact"/>
        <w:rPr>
          <w:rFonts w:ascii="Arial" w:cs="Arial" w:eastAsia="Arial" w:hAnsi="Arial"/>
          <w:sz w:val="16"/>
          <w:szCs w:val="16"/>
          <w:color w:val="auto"/>
        </w:rPr>
      </w:pPr>
    </w:p>
    <w:p>
      <w:pPr>
        <w:ind w:right="360" w:firstLine="1305"/>
        <w:spacing w:after="0" w:line="277" w:lineRule="auto"/>
        <w:tabs>
          <w:tab w:leader="none" w:pos="194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other taxes.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1305"/>
        <w:spacing w:after="0" w:line="277"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director or officer, as of the day and year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VERACYTE, INC.</w:t>
            </w:r>
          </w:p>
        </w:tc>
      </w:tr>
      <w:tr>
        <w:trPr>
          <w:trHeight w:val="648"/>
        </w:trPr>
        <w:tc>
          <w:tcPr>
            <w:tcW w:w="3300" w:type="dxa"/>
            <w:vAlign w:val="bottom"/>
          </w:tcPr>
          <w:p>
            <w:pPr>
              <w:spacing w:after="0"/>
              <w:rPr>
                <w:sz w:val="24"/>
                <w:szCs w:val="24"/>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w w:val="91"/>
              </w:rPr>
              <w:t>By:/s/ Shelly Guyer</w:t>
            </w:r>
          </w:p>
        </w:tc>
      </w:tr>
      <w:tr>
        <w:trPr>
          <w:trHeight w:val="20"/>
        </w:trPr>
        <w:tc>
          <w:tcPr>
            <w:tcW w:w="3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Date:</w:t>
        <w:tab/>
        <w:t>May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5700" w:val="left"/>
          <w:tab w:leader="none" w:pos="634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Date:</w:t>
        <w:tab/>
        <w:t>May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of the Amended and Restated Change of Control and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 OF CLAIMS</w:t>
      </w:r>
    </w:p>
    <w:p>
      <w:pPr>
        <w:spacing w:after="0" w:line="22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This release of claims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by and between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Bonnie Anderson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The Company and Executive are sometimes collectively referred to herein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individually referred to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w:t>
      </w:r>
    </w:p>
    <w:p>
      <w:pPr>
        <w:sectPr>
          <w:pgSz w:w="11900" w:h="16838" w:orient="portrait"/>
          <w:cols w:equalWidth="0" w:num="1">
            <w:col w:w="11420"/>
          </w:cols>
          <w:pgMar w:left="240" w:top="341" w:right="239" w:bottom="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signed an At-Will Employment, Confidential Information, Invention Assignment, and Arbitration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ectPr>
          <w:pgSz w:w="11900" w:h="16838" w:orient="portrait"/>
          <w:cols w:equalWidth="0" w:num="1">
            <w:col w:w="11400"/>
          </w:cols>
          <w:pgMar w:left="240" w:top="121" w:right="259" w:bottom="0" w:gutter="0" w:footer="0" w:header="0"/>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signed an Amended and Restated Change of Control and Severance Agreement with the company 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 Agreement</w:t>
      </w:r>
      <w:r>
        <w:rPr>
          <w:rFonts w:ascii="Arial" w:cs="Arial" w:eastAsia="Arial" w:hAnsi="Arial"/>
          <w:sz w:val="16"/>
          <w:szCs w:val="16"/>
          <w:color w:val="auto"/>
        </w:rPr>
        <w:t>”), which, among other things, provides for certain severance benefits to be paid to Executive by the Company upon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Executive’s employment following a Change of Control (as defined in the Change of Control Agreement) of the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669" w:lineRule="exact"/>
        <w:rPr>
          <w:sz w:val="20"/>
          <w:szCs w:val="20"/>
          <w:color w:val="auto"/>
        </w:rPr>
      </w:pPr>
    </w:p>
    <w:p>
      <w:pPr>
        <w:sectPr>
          <w:pgSz w:w="11900" w:h="16838" w:orient="portrait"/>
          <w:cols w:equalWidth="0" w:num="2">
            <w:col w:w="10960" w:space="0"/>
            <w:col w:w="440"/>
          </w:cols>
          <w:pgMar w:left="240" w:top="121" w:right="259" w:bottom="0" w:gutter="0" w:footer="0" w:header="0"/>
          <w:type w:val="continuous"/>
        </w:sectPr>
      </w:pPr>
    </w:p>
    <w:p>
      <w:pPr>
        <w:spacing w:after="0" w:line="7"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was employed by the Company until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when Executive’s employment was terminated following a</w:t>
      </w:r>
    </w:p>
    <w:p>
      <w:pPr>
        <w:spacing w:after="0" w:line="460" w:lineRule="exact"/>
        <w:rPr>
          <w:sz w:val="20"/>
          <w:szCs w:val="20"/>
          <w:color w:val="auto"/>
        </w:rPr>
      </w:pPr>
    </w:p>
    <w:p>
      <w:pPr>
        <w:sectPr>
          <w:pgSz w:w="11900" w:h="16838" w:orient="portrait"/>
          <w:cols w:equalWidth="0" w:num="2">
            <w:col w:w="5840" w:space="720"/>
            <w:col w:w="4840"/>
          </w:cols>
          <w:pgMar w:left="240" w:top="121" w:right="259" w:bottom="0" w:gutter="0" w:footer="0" w:header="0"/>
          <w:type w:val="continuous"/>
        </w:sect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Section 4 of the Change of Control and Severance Agreement between the Company and Executive, Executive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enter into and not revoke a standard release of claims in favor of the Company as a condition to receiving the severance benefits described in the Change of Control Agreement; and</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resolve any and all disputes, claims, complaints, grievances, charges, actions, petitions and demands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including the mutual promises and covenants made herein,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 the Termination Date.</w:t>
      </w:r>
    </w:p>
    <w:p>
      <w:pPr>
        <w:spacing w:after="0" w:line="225" w:lineRule="exact"/>
        <w:rPr>
          <w:rFonts w:ascii="Arial" w:cs="Arial" w:eastAsia="Arial" w:hAnsi="Arial"/>
          <w:sz w:val="18"/>
          <w:szCs w:val="18"/>
          <w:color w:val="auto"/>
        </w:rPr>
      </w:pPr>
    </w:p>
    <w:p>
      <w:pPr>
        <w:ind w:right="440" w:firstLine="656"/>
        <w:spacing w:after="0" w:line="276" w:lineRule="auto"/>
        <w:tabs>
          <w:tab w:leader="none" w:pos="129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2" w:lineRule="exact"/>
        <w:rPr>
          <w:rFonts w:ascii="Arial" w:cs="Arial" w:eastAsia="Arial" w:hAnsi="Arial"/>
          <w:sz w:val="17"/>
          <w:szCs w:val="17"/>
          <w:color w:val="auto"/>
        </w:rPr>
      </w:pPr>
    </w:p>
    <w:p>
      <w:pPr>
        <w:ind w:right="180" w:firstLine="656"/>
        <w:spacing w:after="0" w:line="291" w:lineRule="auto"/>
        <w:tabs>
          <w:tab w:leader="none" w:pos="129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possess against any of the Releasees arising from any omissions, acts, facts, or damages that have occurred up until and including the Effective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 without limitation the following:</w:t>
      </w:r>
    </w:p>
    <w:p>
      <w:pPr>
        <w:spacing w:after="0" w:line="211" w:lineRule="exact"/>
        <w:rPr>
          <w:sz w:val="20"/>
          <w:szCs w:val="20"/>
          <w:color w:val="auto"/>
        </w:rPr>
      </w:pPr>
    </w:p>
    <w:p>
      <w:pPr>
        <w:ind w:left="1940" w:hanging="635"/>
        <w:spacing w:after="0"/>
        <w:tabs>
          <w:tab w:leader="none" w:pos="1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211" w:lineRule="exact"/>
        <w:rPr>
          <w:sz w:val="20"/>
          <w:szCs w:val="20"/>
          <w:color w:val="auto"/>
        </w:rPr>
      </w:pPr>
    </w:p>
    <w:p>
      <w:pPr>
        <w:ind w:right="60" w:firstLine="1305"/>
        <w:spacing w:after="0" w:line="264"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1" w:lineRule="exact"/>
        <w:rPr>
          <w:rFonts w:ascii="Arial" w:cs="Arial" w:eastAsia="Arial" w:hAnsi="Arial"/>
          <w:sz w:val="18"/>
          <w:szCs w:val="18"/>
          <w:color w:val="auto"/>
        </w:rPr>
      </w:pPr>
    </w:p>
    <w:p>
      <w:pPr>
        <w:ind w:right="20" w:firstLine="1305"/>
        <w:spacing w:after="0" w:line="257" w:lineRule="auto"/>
        <w:tabs>
          <w:tab w:leader="none" w:pos="1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18"/>
          <w:szCs w:val="18"/>
          <w:color w:val="auto"/>
        </w:rPr>
      </w:pPr>
    </w:p>
    <w:p>
      <w:pPr>
        <w:ind w:firstLine="1305"/>
        <w:spacing w:after="0" w:line="255"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Act];(1)</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100" w:firstLine="1305"/>
        <w:spacing w:after="0" w:line="277" w:lineRule="auto"/>
        <w:tabs>
          <w:tab w:leader="none" w:pos="19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ectPr>
          <w:pgSz w:w="11900" w:h="16838" w:orient="portrait"/>
          <w:cols w:equalWidth="0" w:num="1">
            <w:col w:w="11400"/>
          </w:cols>
          <w:pgMar w:left="240" w:top="121" w:right="259" w:bottom="0" w:gutter="0" w:footer="0" w:header="0"/>
          <w:type w:val="continuous"/>
        </w:sectPr>
      </w:pPr>
    </w:p>
    <w:bookmarkStart w:id="47" w:name="page48"/>
    <w:bookmarkEnd w:id="47"/>
    <w:p>
      <w:pPr>
        <w:ind w:right="60"/>
        <w:spacing w:after="0" w:line="28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0" w:firstLine="8"/>
        <w:spacing w:after="0" w:line="342" w:lineRule="auto"/>
        <w:tabs>
          <w:tab w:leader="none" w:pos="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7" w:lineRule="auto"/>
        <w:tabs>
          <w:tab w:leader="none" w:pos="12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b w:val="1"/>
          <w:bCs w:val="1"/>
          <w:i w:val="1"/>
          <w:iCs w:val="1"/>
          <w:color w:val="auto"/>
        </w:rPr>
        <w:t>prior</w:t>
      </w:r>
      <w:r>
        <w:rPr>
          <w:rFonts w:ascii="Arial" w:cs="Arial" w:eastAsia="Arial" w:hAnsi="Arial"/>
          <w:sz w:val="16"/>
          <w:szCs w:val="16"/>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68" w:lineRule="exact"/>
        <w:rPr>
          <w:rFonts w:ascii="Arial" w:cs="Arial" w:eastAsia="Arial" w:hAnsi="Arial"/>
          <w:sz w:val="16"/>
          <w:szCs w:val="16"/>
          <w:color w:val="auto"/>
        </w:rPr>
      </w:pPr>
    </w:p>
    <w:p>
      <w:pPr>
        <w:ind w:right="100" w:firstLine="656"/>
        <w:spacing w:after="0" w:line="342" w:lineRule="auto"/>
        <w:tabs>
          <w:tab w:leader="none" w:pos="12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24"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370" w:lineRule="exact"/>
        <w:rPr>
          <w:sz w:val="20"/>
          <w:szCs w:val="20"/>
          <w:color w:val="auto"/>
        </w:rPr>
      </w:pPr>
    </w:p>
    <w:p>
      <w:pPr>
        <w:ind w:right="80" w:firstLine="656"/>
        <w:spacing w:after="0" w:line="255" w:lineRule="auto"/>
        <w:tabs>
          <w:tab w:leader="none" w:pos="1296"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93" w:lineRule="exact"/>
        <w:rPr>
          <w:rFonts w:ascii="Arial" w:cs="Arial" w:eastAsia="Arial" w:hAnsi="Arial"/>
          <w:sz w:val="18"/>
          <w:szCs w:val="18"/>
          <w:color w:val="auto"/>
        </w:rPr>
      </w:pPr>
    </w:p>
    <w:p>
      <w:pPr>
        <w:ind w:right="100" w:firstLine="656"/>
        <w:spacing w:after="0" w:line="277" w:lineRule="auto"/>
        <w:tabs>
          <w:tab w:leader="none" w:pos="1296"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Sufficiency of Consideration</w:t>
      </w:r>
      <w:r>
        <w:rPr>
          <w:rFonts w:ascii="Arial" w:cs="Arial" w:eastAsia="Arial" w:hAnsi="Arial"/>
          <w:sz w:val="18"/>
          <w:szCs w:val="18"/>
          <w:color w:val="auto"/>
        </w:rPr>
        <w:t>. Executive hereby acknowledges and agrees that Executive has received good and sufficient consideration for every promise, duty, release, obligation, agreement and right contained in this Release.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00" w:hanging="292"/>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ectPr>
          <w:pgSz w:w="11900" w:h="16838" w:orient="portrait"/>
          <w:cols w:equalWidth="0" w:num="1">
            <w:col w:w="11420"/>
          </w:cols>
          <w:pgMar w:left="240" w:top="341" w:right="239" w:bottom="0" w:gutter="0" w:footer="0" w:header="0"/>
        </w:sectPr>
      </w:pPr>
    </w:p>
    <w:bookmarkStart w:id="48" w:name="page49"/>
    <w:bookmarkEnd w:id="48"/>
    <w:p>
      <w:pPr>
        <w:ind w:right="60" w:firstLine="656"/>
        <w:spacing w:after="0" w:line="291" w:lineRule="auto"/>
        <w:tabs>
          <w:tab w:leader="none" w:pos="129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7" w:lineRule="exact"/>
        <w:rPr>
          <w:rFonts w:ascii="Arial" w:cs="Arial" w:eastAsia="Arial" w:hAnsi="Arial"/>
          <w:sz w:val="16"/>
          <w:szCs w:val="16"/>
          <w:color w:val="auto"/>
        </w:rPr>
      </w:pPr>
    </w:p>
    <w:p>
      <w:pPr>
        <w:ind w:right="160" w:firstLine="656"/>
        <w:spacing w:after="0" w:line="293" w:lineRule="auto"/>
        <w:tabs>
          <w:tab w:leader="none" w:pos="147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4" w:lineRule="exact"/>
        <w:rPr>
          <w:rFonts w:ascii="Arial" w:cs="Arial" w:eastAsia="Arial" w:hAnsi="Arial"/>
          <w:sz w:val="16"/>
          <w:szCs w:val="16"/>
          <w:color w:val="auto"/>
        </w:rPr>
      </w:pPr>
    </w:p>
    <w:p>
      <w:pPr>
        <w:ind w:right="640" w:firstLine="656"/>
        <w:spacing w:after="0" w:line="277" w:lineRule="auto"/>
        <w:tabs>
          <w:tab w:leader="none" w:pos="128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0" w:lineRule="exact"/>
        <w:rPr>
          <w:rFonts w:ascii="Arial" w:cs="Arial" w:eastAsia="Arial" w:hAnsi="Arial"/>
          <w:sz w:val="18"/>
          <w:szCs w:val="18"/>
          <w:color w:val="auto"/>
        </w:rPr>
      </w:pPr>
    </w:p>
    <w:p>
      <w:pPr>
        <w:ind w:right="20" w:firstLine="656"/>
        <w:spacing w:after="0" w:line="259" w:lineRule="auto"/>
        <w:tabs>
          <w:tab w:leader="none" w:pos="12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6" w:lineRule="exact"/>
        <w:rPr>
          <w:rFonts w:ascii="Arial" w:cs="Arial" w:eastAsia="Arial" w:hAnsi="Arial"/>
          <w:sz w:val="18"/>
          <w:szCs w:val="18"/>
          <w:color w:val="auto"/>
        </w:rPr>
      </w:pPr>
    </w:p>
    <w:p>
      <w:pPr>
        <w:ind w:right="180" w:firstLine="656"/>
        <w:spacing w:after="0" w:line="259" w:lineRule="auto"/>
        <w:tabs>
          <w:tab w:leader="none" w:pos="12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Solicitation of Employees</w:t>
      </w:r>
      <w:r>
        <w:rPr>
          <w:rFonts w:ascii="Arial" w:cs="Arial" w:eastAsia="Arial" w:hAnsi="Arial"/>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attorneys’ fees and other fees incurred in connection with the preparation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260" w:firstLine="656"/>
        <w:spacing w:after="0" w:line="255" w:lineRule="auto"/>
        <w:tabs>
          <w:tab w:leader="none" w:pos="12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MAY GRANT INJUNCTIONS AND OTHER RELIEF IN SUCH DISPUTES. THE ARBITRATOR WILL ADMINISTER AND CONDUCT ANY ARBITRATION IN ACCORDANCE WITH CALIFORNIA LAW, INCLUDING THE CALIFORNIA CODE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GOVERN.(4)</w:t>
      </w:r>
    </w:p>
    <w:p>
      <w:pPr>
        <w:spacing w:after="0" w:line="185" w:lineRule="exact"/>
        <w:rPr>
          <w:sz w:val="20"/>
          <w:szCs w:val="20"/>
          <w:color w:val="auto"/>
        </w:rPr>
      </w:pPr>
    </w:p>
    <w:p>
      <w:pPr>
        <w:ind w:right="100" w:firstLine="656"/>
        <w:spacing w:after="0" w:line="25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8" w:lineRule="exact"/>
        <w:rPr>
          <w:rFonts w:ascii="Arial" w:cs="Arial" w:eastAsia="Arial" w:hAnsi="Arial"/>
          <w:sz w:val="18"/>
          <w:szCs w:val="18"/>
          <w:color w:val="auto"/>
        </w:rPr>
      </w:pPr>
    </w:p>
    <w:p>
      <w:pPr>
        <w:ind w:right="100" w:firstLine="656"/>
        <w:spacing w:after="0" w:line="264"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right="80" w:firstLine="656"/>
        <w:spacing w:after="0" w:line="264"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1" w:lineRule="exact"/>
        <w:rPr>
          <w:rFonts w:ascii="Arial" w:cs="Arial" w:eastAsia="Arial" w:hAnsi="Arial"/>
          <w:sz w:val="18"/>
          <w:szCs w:val="18"/>
          <w:color w:val="auto"/>
        </w:rPr>
      </w:pPr>
    </w:p>
    <w:p>
      <w:pPr>
        <w:ind w:firstLine="656"/>
        <w:spacing w:after="0" w:line="312" w:lineRule="auto"/>
        <w:tabs>
          <w:tab w:leader="none" w:pos="129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w:t>
      </w:r>
    </w:p>
    <w:p>
      <w:pPr>
        <w:sectPr>
          <w:pgSz w:w="11900" w:h="16838" w:orient="portrait"/>
          <w:cols w:equalWidth="0" w:num="1">
            <w:col w:w="11420"/>
          </w:cols>
          <w:pgMar w:left="240" w:top="341" w:right="239" w:bottom="0" w:gutter="0" w:footer="0" w:header="0"/>
        </w:sectPr>
      </w:pPr>
    </w:p>
    <w:bookmarkStart w:id="49" w:name="page50"/>
    <w:bookmarkEnd w:id="49"/>
    <w:p>
      <w:pPr>
        <w:ind w:right="60"/>
        <w:spacing w:after="0" w:line="277" w:lineRule="auto"/>
        <w:rPr>
          <w:sz w:val="20"/>
          <w:szCs w:val="20"/>
          <w:color w:val="auto"/>
        </w:rPr>
      </w:pPr>
      <w:r>
        <w:rPr>
          <w:rFonts w:ascii="Arial" w:cs="Arial" w:eastAsia="Arial" w:hAnsi="Arial"/>
          <w:sz w:val="18"/>
          <w:szCs w:val="18"/>
          <w:color w:val="auto"/>
        </w:rPr>
        <w:t>with the Company, with the exception of the Severance Agreement, the Confidentiality Agreement, and Executive’s written equity compensation agreements with the Company.</w:t>
      </w:r>
    </w:p>
    <w:p>
      <w:pPr>
        <w:spacing w:after="0" w:line="170" w:lineRule="exact"/>
        <w:rPr>
          <w:sz w:val="20"/>
          <w:szCs w:val="20"/>
          <w:color w:val="auto"/>
        </w:rPr>
      </w:pPr>
    </w:p>
    <w:p>
      <w:pPr>
        <w:ind w:left="1300" w:hanging="644"/>
        <w:spacing w:after="0"/>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right="460" w:firstLine="656"/>
        <w:spacing w:after="0" w:line="277" w:lineRule="auto"/>
        <w:tabs>
          <w:tab w:leader="none" w:pos="129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 without regard for choice-of-law provisions. Executive consents to personal and exclusive jurisdiction and venue in the State of California.(5)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right="300" w:firstLine="8"/>
        <w:spacing w:after="0" w:line="258"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1" w:lineRule="exact"/>
        <w:rPr>
          <w:rFonts w:ascii="Arial" w:cs="Arial" w:eastAsia="Arial" w:hAnsi="Arial"/>
          <w:sz w:val="18"/>
          <w:szCs w:val="18"/>
          <w:color w:val="auto"/>
        </w:rPr>
      </w:pPr>
    </w:p>
    <w:p>
      <w:pPr>
        <w:ind w:right="300" w:firstLine="8"/>
        <w:spacing w:after="0" w:line="261"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79" w:lineRule="auto"/>
        <w:tabs>
          <w:tab w:leader="none" w:pos="1292"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71" w:lineRule="exact"/>
        <w:rPr>
          <w:rFonts w:ascii="Arial" w:cs="Arial" w:eastAsia="Arial" w:hAnsi="Arial"/>
          <w:sz w:val="17"/>
          <w:szCs w:val="17"/>
          <w:color w:val="auto"/>
        </w:rPr>
      </w:pPr>
    </w:p>
    <w:p>
      <w:pPr>
        <w:ind w:right="300" w:firstLine="656"/>
        <w:spacing w:after="0" w:line="277" w:lineRule="auto"/>
        <w:tabs>
          <w:tab w:leader="none" w:pos="129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right="360" w:firstLine="656"/>
        <w:spacing w:after="0" w:line="264" w:lineRule="auto"/>
        <w:tabs>
          <w:tab w:leader="none" w:pos="129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225" w:lineRule="exact"/>
        <w:rPr>
          <w:rFonts w:ascii="Arial" w:cs="Arial" w:eastAsia="Arial" w:hAnsi="Arial"/>
          <w:sz w:val="18"/>
          <w:szCs w:val="18"/>
          <w:color w:val="auto"/>
        </w:rPr>
      </w:pPr>
    </w:p>
    <w:p>
      <w:pPr>
        <w:ind w:left="1960" w:right="200" w:hanging="655"/>
        <w:spacing w:after="0" w:line="277" w:lineRule="auto"/>
        <w:tabs>
          <w:tab w:leader="none" w:pos="1967"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Executive has been represented in the preparation, negotiation, and execution of this Agreement by legal counsel of Executive’s own choice or has elected not to retain legal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under the age of 40 at the time Executive’s employment relationship is terminated.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respective dates set forth below.</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BONNIE ANDERSON, an individual</w:t>
      </w:r>
    </w:p>
    <w:p>
      <w:pPr>
        <w:spacing w:after="0" w:line="200" w:lineRule="exact"/>
        <w:rPr>
          <w:sz w:val="20"/>
          <w:szCs w:val="20"/>
          <w:color w:val="auto"/>
        </w:rPr>
      </w:pPr>
    </w:p>
    <w:p>
      <w:pPr>
        <w:spacing w:after="0" w:line="259"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14605</wp:posOffset>
            </wp:positionV>
            <wp:extent cx="31299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AND SEVERANCE AGREEMENT</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This Amended and Restated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Shelly Guyer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May 14,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0" w:firstLine="656"/>
        <w:spacing w:after="0" w:line="279" w:lineRule="auto"/>
        <w:tabs>
          <w:tab w:leader="none" w:pos="12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1"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40" w:firstLine="656"/>
        <w:spacing w:after="0" w:line="272" w:lineRule="auto"/>
        <w:tabs>
          <w:tab w:leader="none" w:pos="129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77" w:lineRule="exact"/>
        <w:rPr>
          <w:rFonts w:ascii="Arial" w:cs="Arial" w:eastAsia="Arial" w:hAnsi="Arial"/>
          <w:sz w:val="17"/>
          <w:szCs w:val="17"/>
          <w:color w:val="auto"/>
        </w:rPr>
      </w:pPr>
    </w:p>
    <w:p>
      <w:pPr>
        <w:ind w:right="20" w:firstLine="656"/>
        <w:spacing w:after="0" w:line="264" w:lineRule="auto"/>
        <w:tabs>
          <w:tab w:leader="none" w:pos="129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6" w:lineRule="auto"/>
        <w:tabs>
          <w:tab w:leader="none" w:pos="1942"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65" w:lineRule="exact"/>
        <w:rPr>
          <w:rFonts w:ascii="Arial" w:cs="Arial" w:eastAsia="Arial" w:hAnsi="Arial"/>
          <w:sz w:val="17"/>
          <w:szCs w:val="17"/>
          <w:color w:val="auto"/>
        </w:rPr>
      </w:pPr>
    </w:p>
    <w:p>
      <w:pPr>
        <w:ind w:right="340" w:firstLine="1953"/>
        <w:spacing w:after="0" w:line="277" w:lineRule="auto"/>
        <w:tabs>
          <w:tab w:leader="none" w:pos="2614"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right="140" w:firstLine="1953"/>
        <w:spacing w:after="0" w:line="264" w:lineRule="auto"/>
        <w:tabs>
          <w:tab w:leader="none" w:pos="2624"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Continuing Severance Payments</w:t>
      </w:r>
      <w:r>
        <w:rPr>
          <w:rFonts w:ascii="Arial" w:cs="Arial" w:eastAsia="Arial" w:hAnsi="Arial"/>
          <w:sz w:val="18"/>
          <w:szCs w:val="18"/>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53"/>
        <w:spacing w:after="0" w:line="286" w:lineRule="auto"/>
        <w:tabs>
          <w:tab w:leader="none" w:pos="2633"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1" w:lineRule="exact"/>
        <w:rPr>
          <w:rFonts w:ascii="Arial" w:cs="Arial" w:eastAsia="Arial" w:hAnsi="Arial"/>
          <w:sz w:val="16"/>
          <w:szCs w:val="16"/>
          <w:color w:val="auto"/>
        </w:rPr>
      </w:pPr>
    </w:p>
    <w:p>
      <w:pPr>
        <w:ind w:right="140" w:firstLine="1305"/>
        <w:spacing w:after="0" w:line="312" w:lineRule="auto"/>
        <w:tabs>
          <w:tab w:leader="none" w:pos="195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46" w:lineRule="exact"/>
        <w:rPr>
          <w:rFonts w:ascii="Arial" w:cs="Arial" w:eastAsia="Arial" w:hAnsi="Arial"/>
          <w:sz w:val="16"/>
          <w:szCs w:val="16"/>
          <w:color w:val="auto"/>
        </w:rPr>
      </w:pPr>
    </w:p>
    <w:p>
      <w:pPr>
        <w:ind w:right="340" w:firstLine="1953"/>
        <w:spacing w:after="0" w:line="277" w:lineRule="auto"/>
        <w:tabs>
          <w:tab w:leader="none" w:pos="261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ectPr>
          <w:pgSz w:w="11900" w:h="16861" w:orient="portrait"/>
          <w:cols w:equalWidth="0" w:num="1">
            <w:col w:w="11420"/>
          </w:cols>
          <w:pgMar w:left="240" w:top="121" w:right="239" w:bottom="0" w:gutter="0" w:footer="0" w:header="0"/>
        </w:sectPr>
      </w:pPr>
    </w:p>
    <w:bookmarkStart w:id="52" w:name="page53"/>
    <w:bookmarkEnd w:id="52"/>
    <w:p>
      <w:pPr>
        <w:ind w:left="2640" w:hanging="687"/>
        <w:spacing w:after="0"/>
        <w:tabs>
          <w:tab w:leader="none" w:pos="264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Executive will receive a lump-sum payment (less applicable withholding taxes) equal to the twelve</w:t>
      </w:r>
    </w:p>
    <w:p>
      <w:pPr>
        <w:spacing w:after="0" w:line="46" w:lineRule="exact"/>
        <w:rPr>
          <w:rFonts w:ascii="Arial" w:cs="Arial" w:eastAsia="Arial" w:hAnsi="Arial"/>
          <w:sz w:val="16"/>
          <w:szCs w:val="16"/>
          <w:color w:val="auto"/>
        </w:rPr>
      </w:pPr>
    </w:p>
    <w:p>
      <w:pPr>
        <w:ind w:right="160" w:firstLine="8"/>
        <w:spacing w:after="0" w:line="290" w:lineRule="auto"/>
        <w:tabs>
          <w:tab w:leader="none" w:pos="3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4" w:lineRule="exact"/>
        <w:rPr>
          <w:rFonts w:ascii="Arial" w:cs="Arial" w:eastAsia="Arial" w:hAnsi="Arial"/>
          <w:sz w:val="16"/>
          <w:szCs w:val="16"/>
          <w:color w:val="auto"/>
        </w:rPr>
      </w:pPr>
    </w:p>
    <w:p>
      <w:pPr>
        <w:ind w:left="2640" w:hanging="687"/>
        <w:spacing w:after="0"/>
        <w:tabs>
          <w:tab w:leader="none" w:pos="264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percent (100%) of the higher of</w:t>
      </w:r>
    </w:p>
    <w:p>
      <w:pPr>
        <w:spacing w:after="0" w:line="35" w:lineRule="exact"/>
        <w:rPr>
          <w:sz w:val="20"/>
          <w:szCs w:val="20"/>
          <w:color w:val="auto"/>
        </w:rPr>
      </w:pPr>
    </w:p>
    <w:p>
      <w:pPr>
        <w:jc w:val="both"/>
        <w:ind w:right="220" w:firstLine="8"/>
        <w:spacing w:after="0" w:line="292" w:lineRule="auto"/>
        <w:tabs>
          <w:tab w:leader="none" w:pos="2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2" w:lineRule="exact"/>
        <w:rPr>
          <w:rFonts w:ascii="Arial" w:cs="Arial" w:eastAsia="Arial" w:hAnsi="Arial"/>
          <w:sz w:val="16"/>
          <w:szCs w:val="16"/>
          <w:color w:val="auto"/>
        </w:rPr>
      </w:pPr>
    </w:p>
    <w:p>
      <w:pPr>
        <w:ind w:right="20" w:firstLine="1953"/>
        <w:spacing w:after="0" w:line="259" w:lineRule="auto"/>
        <w:tabs>
          <w:tab w:leader="none" w:pos="261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spacing w:after="0" w:line="3" w:lineRule="exact"/>
        <w:rPr>
          <w:sz w:val="20"/>
          <w:szCs w:val="20"/>
          <w:color w:val="auto"/>
        </w:rPr>
      </w:pPr>
    </w:p>
    <w:p>
      <w:pPr>
        <w:ind w:firstLine="8"/>
        <w:spacing w:after="0" w:line="255"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90" w:lineRule="exact"/>
        <w:rPr>
          <w:rFonts w:ascii="Arial" w:cs="Arial" w:eastAsia="Arial" w:hAnsi="Arial"/>
          <w:sz w:val="18"/>
          <w:szCs w:val="18"/>
          <w:color w:val="auto"/>
        </w:rPr>
      </w:pPr>
    </w:p>
    <w:p>
      <w:pPr>
        <w:ind w:right="360" w:firstLine="1953"/>
        <w:spacing w:after="0" w:line="279" w:lineRule="auto"/>
        <w:tabs>
          <w:tab w:leader="none" w:pos="2600" w:val="left"/>
        </w:tabs>
        <w:numPr>
          <w:ilvl w:val="3"/>
          <w:numId w:val="69"/>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1" w:lineRule="exact"/>
        <w:rPr>
          <w:rFonts w:ascii="Arial" w:cs="Arial" w:eastAsia="Arial" w:hAnsi="Arial"/>
          <w:sz w:val="17"/>
          <w:szCs w:val="17"/>
          <w:color w:val="auto"/>
        </w:rPr>
      </w:pPr>
    </w:p>
    <w:p>
      <w:pPr>
        <w:ind w:right="40" w:firstLine="1305"/>
        <w:spacing w:after="0" w:line="259" w:lineRule="auto"/>
        <w:tabs>
          <w:tab w:leader="none" w:pos="1955"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60" w:firstLine="1305"/>
        <w:spacing w:after="0" w:line="259" w:lineRule="auto"/>
        <w:tabs>
          <w:tab w:leader="none" w:pos="1952"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60" w:firstLine="1305"/>
        <w:spacing w:after="0" w:line="257" w:lineRule="auto"/>
        <w:tabs>
          <w:tab w:leader="none" w:pos="1955"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p>
    <w:p>
      <w:pPr>
        <w:spacing w:after="0" w:line="225" w:lineRule="exact"/>
        <w:rPr>
          <w:rFonts w:ascii="Arial" w:cs="Arial" w:eastAsia="Arial" w:hAnsi="Arial"/>
          <w:sz w:val="18"/>
          <w:szCs w:val="18"/>
          <w:color w:val="auto"/>
        </w:rPr>
      </w:pPr>
    </w:p>
    <w:p>
      <w:pPr>
        <w:ind w:right="20" w:firstLine="1305"/>
        <w:spacing w:after="0" w:line="255" w:lineRule="auto"/>
        <w:tabs>
          <w:tab w:leader="none" w:pos="1942"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93" w:lineRule="exact"/>
        <w:rPr>
          <w:rFonts w:ascii="Arial" w:cs="Arial" w:eastAsia="Arial" w:hAnsi="Arial"/>
          <w:sz w:val="18"/>
          <w:szCs w:val="18"/>
          <w:color w:val="auto"/>
        </w:rPr>
      </w:pPr>
    </w:p>
    <w:p>
      <w:pPr>
        <w:ind w:right="60" w:firstLine="1305"/>
        <w:spacing w:after="0" w:line="286" w:lineRule="auto"/>
        <w:tabs>
          <w:tab w:leader="none" w:pos="1952" w:val="left"/>
        </w:tabs>
        <w:numPr>
          <w:ilvl w:val="2"/>
          <w:numId w:val="7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Confidentiality Agreement dated April 8, 2013, between the Company and Executive, as such agreement may be amended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53" w:name="page54"/>
    <w:bookmarkEnd w:id="53"/>
    <w:p>
      <w:pPr>
        <w:ind w:right="60" w:firstLine="1953"/>
        <w:spacing w:after="0" w:line="293" w:lineRule="auto"/>
        <w:tabs>
          <w:tab w:leader="none" w:pos="2614" w:val="left"/>
        </w:tabs>
        <w:numPr>
          <w:ilvl w:val="1"/>
          <w:numId w:val="7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4" w:lineRule="exact"/>
        <w:rPr>
          <w:rFonts w:ascii="Arial" w:cs="Arial" w:eastAsia="Arial" w:hAnsi="Arial"/>
          <w:sz w:val="16"/>
          <w:szCs w:val="16"/>
          <w:color w:val="auto"/>
        </w:rPr>
      </w:pPr>
    </w:p>
    <w:p>
      <w:pPr>
        <w:ind w:firstLine="1953"/>
        <w:spacing w:after="0" w:line="254" w:lineRule="auto"/>
        <w:tabs>
          <w:tab w:leader="none" w:pos="26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(60th)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w:t>
      </w:r>
    </w:p>
    <w:p>
      <w:pPr>
        <w:spacing w:after="0" w:line="192" w:lineRule="exact"/>
        <w:rPr>
          <w:rFonts w:ascii="Arial" w:cs="Arial" w:eastAsia="Arial" w:hAnsi="Arial"/>
          <w:sz w:val="18"/>
          <w:szCs w:val="18"/>
          <w:color w:val="auto"/>
        </w:rPr>
      </w:pPr>
    </w:p>
    <w:p>
      <w:pPr>
        <w:ind w:right="160" w:firstLine="1953"/>
        <w:spacing w:after="0" w:line="291" w:lineRule="auto"/>
        <w:tabs>
          <w:tab w:leader="none" w:pos="2633" w:val="left"/>
        </w:tabs>
        <w:numPr>
          <w:ilvl w:val="1"/>
          <w:numId w:val="7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40" w:firstLine="8"/>
        <w:spacing w:after="0" w:line="270" w:lineRule="auto"/>
        <w:tabs>
          <w:tab w:leader="none" w:pos="2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8" w:lineRule="exact"/>
        <w:rPr>
          <w:rFonts w:ascii="Arial" w:cs="Arial" w:eastAsia="Arial" w:hAnsi="Arial"/>
          <w:sz w:val="17"/>
          <w:szCs w:val="17"/>
          <w:color w:val="auto"/>
        </w:rPr>
      </w:pPr>
    </w:p>
    <w:p>
      <w:pPr>
        <w:ind w:right="560" w:firstLine="1953"/>
        <w:spacing w:after="0" w:line="277" w:lineRule="auto"/>
        <w:tabs>
          <w:tab w:leader="none" w:pos="26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70" w:lineRule="exact"/>
        <w:rPr>
          <w:rFonts w:ascii="Arial" w:cs="Arial" w:eastAsia="Arial" w:hAnsi="Arial"/>
          <w:sz w:val="18"/>
          <w:szCs w:val="18"/>
          <w:color w:val="auto"/>
        </w:rPr>
      </w:pPr>
    </w:p>
    <w:p>
      <w:pPr>
        <w:ind w:firstLine="1953"/>
        <w:spacing w:after="0" w:line="264" w:lineRule="auto"/>
        <w:tabs>
          <w:tab w:leader="none" w:pos="26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1" w:lineRule="exact"/>
        <w:rPr>
          <w:rFonts w:ascii="Arial" w:cs="Arial" w:eastAsia="Arial" w:hAnsi="Arial"/>
          <w:sz w:val="18"/>
          <w:szCs w:val="18"/>
          <w:color w:val="auto"/>
        </w:rPr>
      </w:pPr>
    </w:p>
    <w:p>
      <w:pPr>
        <w:ind w:right="300" w:firstLine="1953"/>
        <w:spacing w:after="0" w:line="257" w:lineRule="auto"/>
        <w:tabs>
          <w:tab w:leader="none" w:pos="26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8" w:lineRule="exact"/>
        <w:rPr>
          <w:sz w:val="20"/>
          <w:szCs w:val="20"/>
          <w:color w:val="auto"/>
        </w:rPr>
      </w:pPr>
    </w:p>
    <w:p>
      <w:pPr>
        <w:ind w:right="100" w:firstLine="656"/>
        <w:spacing w:after="0" w:line="264" w:lineRule="auto"/>
        <w:tabs>
          <w:tab w:leader="none" w:pos="129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right="20" w:firstLine="1305"/>
        <w:spacing w:after="0" w:line="284" w:lineRule="auto"/>
        <w:tabs>
          <w:tab w:leader="none" w:pos="1952"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w:t>
      </w:r>
    </w:p>
    <w:p>
      <w:pPr>
        <w:spacing w:after="0" w:line="4" w:lineRule="exact"/>
        <w:rPr>
          <w:rFonts w:ascii="Arial" w:cs="Arial" w:eastAsia="Arial" w:hAnsi="Arial"/>
          <w:sz w:val="16"/>
          <w:szCs w:val="16"/>
          <w:color w:val="auto"/>
        </w:rPr>
      </w:pPr>
    </w:p>
    <w:p>
      <w:pPr>
        <w:ind w:right="60" w:firstLine="8"/>
        <w:spacing w:after="0" w:line="261" w:lineRule="auto"/>
        <w:tabs>
          <w:tab w:leader="none" w:pos="3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reduction of employee benefits. In the event that acceleration of vesting of equity award compensation is to be reduced, such acceleration of vesting will be cancelled in the reverse order of the date of grant of Executive’s equity awards.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mean:</w:t>
      </w:r>
    </w:p>
    <w:p>
      <w:pPr>
        <w:spacing w:after="0" w:line="225" w:lineRule="exact"/>
        <w:rPr>
          <w:rFonts w:ascii="Arial" w:cs="Arial" w:eastAsia="Arial" w:hAnsi="Arial"/>
          <w:sz w:val="18"/>
          <w:szCs w:val="18"/>
          <w:color w:val="auto"/>
        </w:rPr>
      </w:pPr>
    </w:p>
    <w:p>
      <w:pPr>
        <w:ind w:left="2620" w:hanging="538"/>
        <w:spacing w:after="0"/>
        <w:tabs>
          <w:tab w:leader="none" w:pos="2620" w:val="left"/>
        </w:tabs>
        <w:numPr>
          <w:ilvl w:val="2"/>
          <w:numId w:val="78"/>
        </w:numPr>
        <w:rPr>
          <w:rFonts w:ascii="Arial" w:cs="Arial" w:eastAsia="Arial" w:hAnsi="Arial"/>
          <w:sz w:val="16"/>
          <w:szCs w:val="16"/>
          <w:color w:val="auto"/>
        </w:rPr>
      </w:pPr>
      <w:r>
        <w:rPr>
          <w:rFonts w:ascii="Arial" w:cs="Arial" w:eastAsia="Arial" w:hAnsi="Arial"/>
          <w:sz w:val="16"/>
          <w:szCs w:val="16"/>
          <w:color w:val="auto"/>
        </w:rPr>
        <w:t>The willful or grossly negligent failure of the Executive to substantially perform his or her duties as an employee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2620" w:hanging="538"/>
        <w:spacing w:after="0"/>
        <w:tabs>
          <w:tab w:leader="none" w:pos="2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Executive’s commission of a gross misconduct which is injurious to the Company;</w:t>
      </w:r>
    </w:p>
    <w:p>
      <w:pPr>
        <w:spacing w:after="0" w:line="225" w:lineRule="exact"/>
        <w:rPr>
          <w:rFonts w:ascii="Arial" w:cs="Arial" w:eastAsia="Arial" w:hAnsi="Arial"/>
          <w:sz w:val="18"/>
          <w:szCs w:val="18"/>
          <w:color w:val="auto"/>
        </w:rPr>
      </w:pPr>
    </w:p>
    <w:p>
      <w:pPr>
        <w:ind w:left="2640" w:hanging="558"/>
        <w:spacing w:after="0"/>
        <w:tabs>
          <w:tab w:leader="none" w:pos="2640" w:val="left"/>
        </w:tabs>
        <w:numPr>
          <w:ilvl w:val="2"/>
          <w:numId w:val="78"/>
        </w:numPr>
        <w:rPr>
          <w:rFonts w:ascii="Arial" w:cs="Arial" w:eastAsia="Arial" w:hAnsi="Arial"/>
          <w:sz w:val="18"/>
          <w:szCs w:val="18"/>
          <w:color w:val="auto"/>
        </w:rPr>
      </w:pPr>
      <w:r>
        <w:rPr>
          <w:rFonts w:ascii="Arial" w:cs="Arial" w:eastAsia="Arial" w:hAnsi="Arial"/>
          <w:sz w:val="18"/>
          <w:szCs w:val="18"/>
          <w:color w:val="auto"/>
        </w:rPr>
        <w:t>Executive’s breach of a material provision of any agreement between Executive and the Company;</w:t>
      </w:r>
    </w:p>
    <w:p>
      <w:pPr>
        <w:sectPr>
          <w:pgSz w:w="11900" w:h="16838" w:orient="portrait"/>
          <w:cols w:equalWidth="0" w:num="1">
            <w:col w:w="11400"/>
          </w:cols>
          <w:pgMar w:left="240" w:top="125" w:right="259" w:bottom="0" w:gutter="0" w:footer="0" w:header="0"/>
        </w:sectPr>
      </w:pPr>
    </w:p>
    <w:bookmarkStart w:id="54" w:name="page55"/>
    <w:bookmarkEnd w:id="54"/>
    <w:p>
      <w:pPr>
        <w:spacing w:after="0" w:line="90" w:lineRule="exact"/>
        <w:rPr>
          <w:sz w:val="20"/>
          <w:szCs w:val="20"/>
          <w:color w:val="auto"/>
        </w:rPr>
      </w:pPr>
    </w:p>
    <w:p>
      <w:pPr>
        <w:ind w:left="2620" w:hanging="538"/>
        <w:spacing w:after="0"/>
        <w:tabs>
          <w:tab w:leader="none" w:pos="2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Executive’s material and willful violation of a federal or state law or regulation applicable to the business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2600" w:hanging="503"/>
        <w:spacing w:after="0"/>
        <w:tabs>
          <w:tab w:leader="none" w:pos="2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or</w:t>
      </w:r>
    </w:p>
    <w:p>
      <w:pPr>
        <w:spacing w:after="0" w:line="211" w:lineRule="exact"/>
        <w:rPr>
          <w:sz w:val="20"/>
          <w:szCs w:val="20"/>
          <w:color w:val="auto"/>
        </w:rPr>
      </w:pPr>
    </w:p>
    <w:p>
      <w:pPr>
        <w:ind w:right="220" w:firstLine="2082"/>
        <w:spacing w:after="0" w:line="277" w:lineRule="auto"/>
        <w:tabs>
          <w:tab w:leader="none" w:pos="26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66" w:lineRule="exact"/>
        <w:rPr>
          <w:sz w:val="20"/>
          <w:szCs w:val="20"/>
          <w:color w:val="auto"/>
        </w:rPr>
      </w:pPr>
    </w:p>
    <w:p>
      <w:pPr>
        <w:ind w:left="1960" w:hanging="655"/>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60" w:firstLine="2082"/>
        <w:spacing w:after="0" w:line="257" w:lineRule="auto"/>
        <w:tabs>
          <w:tab w:leader="none" w:pos="260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8" w:lineRule="exact"/>
        <w:rPr>
          <w:rFonts w:ascii="Arial" w:cs="Arial" w:eastAsia="Arial" w:hAnsi="Arial"/>
          <w:sz w:val="18"/>
          <w:szCs w:val="18"/>
          <w:color w:val="auto"/>
        </w:rPr>
      </w:pPr>
    </w:p>
    <w:p>
      <w:pPr>
        <w:ind w:right="80" w:firstLine="2082"/>
        <w:spacing w:after="0" w:line="279" w:lineRule="auto"/>
        <w:tabs>
          <w:tab w:leader="none" w:pos="2618" w:val="left"/>
        </w:tabs>
        <w:numPr>
          <w:ilvl w:val="1"/>
          <w:numId w:val="82"/>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1" w:lineRule="exact"/>
        <w:rPr>
          <w:rFonts w:ascii="Arial" w:cs="Arial" w:eastAsia="Arial" w:hAnsi="Arial"/>
          <w:sz w:val="17"/>
          <w:szCs w:val="17"/>
          <w:color w:val="auto"/>
        </w:rPr>
      </w:pPr>
    </w:p>
    <w:p>
      <w:pPr>
        <w:ind w:firstLine="2082"/>
        <w:spacing w:after="0" w:line="287" w:lineRule="auto"/>
        <w:tabs>
          <w:tab w:leader="none" w:pos="2628"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160" w:firstLine="207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40" w:firstLine="2089"/>
        <w:spacing w:after="0" w:line="286"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right="480" w:firstLine="1305"/>
        <w:spacing w:after="0" w:line="277"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Change of Control Period</w:t>
      </w:r>
      <w:r>
        <w:rPr>
          <w:rFonts w:ascii="Arial" w:cs="Arial" w:eastAsia="Arial" w:hAnsi="Arial"/>
          <w:sz w:val="18"/>
          <w:szCs w:val="18"/>
          <w:color w:val="auto"/>
        </w:rPr>
        <w:t>. “</w:t>
      </w:r>
      <w:r>
        <w:rPr>
          <w:rFonts w:ascii="Arial" w:cs="Arial" w:eastAsia="Arial" w:hAnsi="Arial"/>
          <w:sz w:val="18"/>
          <w:szCs w:val="18"/>
          <w:b w:val="1"/>
          <w:bCs w:val="1"/>
          <w:i w:val="1"/>
          <w:iCs w:val="1"/>
          <w:color w:val="auto"/>
        </w:rPr>
        <w:t>Change of Control Period</w:t>
      </w:r>
      <w:r>
        <w:rPr>
          <w:rFonts w:ascii="Arial" w:cs="Arial" w:eastAsia="Arial" w:hAnsi="Arial"/>
          <w:sz w:val="18"/>
          <w:szCs w:val="18"/>
          <w:color w:val="auto"/>
        </w:rPr>
        <w:t>” will mean the period beginning two (2) months prior to, and ending twelve (12) months following, a Change of Control.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will mean the Internal Revenue Code of 1986,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1305"/>
        <w:spacing w:after="0" w:line="288" w:lineRule="auto"/>
        <w:tabs>
          <w:tab w:leader="none" w:pos="195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w:t>
      </w: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55" w:lineRule="exact"/>
        <w:rPr>
          <w:rFonts w:ascii="Arial" w:cs="Arial" w:eastAsia="Arial" w:hAnsi="Arial"/>
          <w:sz w:val="16"/>
          <w:szCs w:val="16"/>
          <w:color w:val="auto"/>
        </w:rPr>
      </w:pPr>
    </w:p>
    <w:p>
      <w:pPr>
        <w:ind w:firstLine="1305"/>
        <w:spacing w:after="0" w:line="277" w:lineRule="auto"/>
        <w:tabs>
          <w:tab w:leader="none" w:pos="194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will mean Executive’s outstanding stock options, stock appreciation rights, restricted stock units, performance shares, performance stock units and any other Company equity compensation awards.</w:t>
      </w:r>
    </w:p>
    <w:p>
      <w:pPr>
        <w:sectPr>
          <w:pgSz w:w="11900" w:h="16929" w:orient="portrait"/>
          <w:cols w:equalWidth="0" w:num="1">
            <w:col w:w="11420"/>
          </w:cols>
          <w:pgMar w:left="240" w:top="341" w:right="239" w:bottom="0" w:gutter="0" w:footer="0" w:header="0"/>
        </w:sectPr>
      </w:pPr>
    </w:p>
    <w:bookmarkStart w:id="55" w:name="page56"/>
    <w:bookmarkEnd w:id="55"/>
    <w:p>
      <w:pPr>
        <w:ind w:right="160" w:firstLine="1305"/>
        <w:spacing w:after="0" w:line="308" w:lineRule="auto"/>
        <w:tabs>
          <w:tab w:leader="none" w:pos="196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46" w:lineRule="exact"/>
        <w:rPr>
          <w:rFonts w:ascii="Arial" w:cs="Arial" w:eastAsia="Arial" w:hAnsi="Arial"/>
          <w:sz w:val="17"/>
          <w:szCs w:val="17"/>
          <w:color w:val="auto"/>
        </w:rPr>
      </w:pPr>
    </w:p>
    <w:p>
      <w:pPr>
        <w:ind w:right="20" w:firstLine="2082"/>
        <w:spacing w:after="0" w:line="312" w:lineRule="auto"/>
        <w:tabs>
          <w:tab w:leader="none" w:pos="2609"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46" w:lineRule="exact"/>
        <w:rPr>
          <w:rFonts w:ascii="Arial" w:cs="Arial" w:eastAsia="Arial" w:hAnsi="Arial"/>
          <w:sz w:val="16"/>
          <w:szCs w:val="16"/>
          <w:color w:val="auto"/>
        </w:rPr>
      </w:pPr>
    </w:p>
    <w:p>
      <w:pPr>
        <w:ind w:firstLine="2082"/>
        <w:spacing w:after="0" w:line="277" w:lineRule="auto"/>
        <w:tabs>
          <w:tab w:leader="none" w:pos="261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70" w:lineRule="exact"/>
        <w:rPr>
          <w:rFonts w:ascii="Arial" w:cs="Arial" w:eastAsia="Arial" w:hAnsi="Arial"/>
          <w:sz w:val="18"/>
          <w:szCs w:val="18"/>
          <w:color w:val="auto"/>
        </w:rPr>
      </w:pPr>
    </w:p>
    <w:p>
      <w:pPr>
        <w:ind w:right="180" w:firstLine="2082"/>
        <w:spacing w:after="0" w:line="312" w:lineRule="auto"/>
        <w:tabs>
          <w:tab w:leader="none" w:pos="2628" w:val="left"/>
        </w:tabs>
        <w:numPr>
          <w:ilvl w:val="1"/>
          <w:numId w:val="85"/>
        </w:numPr>
        <w:rPr>
          <w:rFonts w:ascii="Arial" w:cs="Arial" w:eastAsia="Arial" w:hAnsi="Arial"/>
          <w:sz w:val="16"/>
          <w:szCs w:val="16"/>
          <w:color w:val="auto"/>
        </w:rPr>
      </w:pPr>
      <w:r>
        <w:rPr>
          <w:rFonts w:ascii="Arial" w:cs="Arial" w:eastAsia="Arial" w:hAnsi="Arial"/>
          <w:sz w:val="16"/>
          <w:szCs w:val="16"/>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46" w:lineRule="exact"/>
        <w:rPr>
          <w:rFonts w:ascii="Arial" w:cs="Arial" w:eastAsia="Arial" w:hAnsi="Arial"/>
          <w:sz w:val="16"/>
          <w:szCs w:val="16"/>
          <w:color w:val="auto"/>
        </w:rPr>
      </w:pPr>
    </w:p>
    <w:p>
      <w:pPr>
        <w:ind w:left="2620" w:hanging="538"/>
        <w:spacing w:after="0"/>
        <w:tabs>
          <w:tab w:leader="none" w:pos="2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fifty (50) miles.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ind w:right="160" w:firstLine="1305"/>
        <w:spacing w:after="0" w:line="286" w:lineRule="auto"/>
        <w:tabs>
          <w:tab w:leader="none" w:pos="195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Section 409A Limit</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 Limit</w:t>
      </w:r>
      <w:r>
        <w:rPr>
          <w:rFonts w:ascii="Arial" w:cs="Arial" w:eastAsia="Arial" w:hAnsi="Arial"/>
          <w:sz w:val="16"/>
          <w:szCs w:val="16"/>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Code for the year in which Executive’s employment is terminated.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942"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3" w:lineRule="exact"/>
        <w:rPr>
          <w:rFonts w:ascii="Arial" w:cs="Arial" w:eastAsia="Arial" w:hAnsi="Arial"/>
          <w:sz w:val="18"/>
          <w:szCs w:val="18"/>
          <w:color w:val="auto"/>
        </w:rPr>
      </w:pPr>
    </w:p>
    <w:p>
      <w:pPr>
        <w:ind w:right="380" w:firstLine="1305"/>
        <w:spacing w:after="0" w:line="342" w:lineRule="auto"/>
        <w:tabs>
          <w:tab w:leader="none" w:pos="1952"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5" w:lineRule="auto"/>
        <w:tabs>
          <w:tab w:leader="none" w:pos="1942"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9" w:lineRule="exact"/>
        <w:rPr>
          <w:rFonts w:ascii="Arial" w:cs="Arial" w:eastAsia="Arial" w:hAnsi="Arial"/>
          <w:sz w:val="18"/>
          <w:szCs w:val="18"/>
          <w:color w:val="auto"/>
        </w:rPr>
      </w:pPr>
    </w:p>
    <w:p>
      <w:pPr>
        <w:ind w:right="120" w:firstLine="1305"/>
        <w:spacing w:after="0" w:line="302" w:lineRule="auto"/>
        <w:tabs>
          <w:tab w:leader="none" w:pos="1952"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4" w:lineRule="exact"/>
        <w:rPr>
          <w:rFonts w:ascii="Arial" w:cs="Arial" w:eastAsia="Arial" w:hAnsi="Arial"/>
          <w:sz w:val="16"/>
          <w:szCs w:val="16"/>
          <w:color w:val="auto"/>
        </w:rPr>
      </w:pPr>
    </w:p>
    <w:p>
      <w:pPr>
        <w:ind w:right="160" w:firstLine="656"/>
        <w:spacing w:after="0" w:line="286" w:lineRule="auto"/>
        <w:tabs>
          <w:tab w:leader="none" w:pos="129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60" w:firstLine="1305"/>
        <w:spacing w:after="0" w:line="273" w:lineRule="auto"/>
        <w:tabs>
          <w:tab w:leader="none" w:pos="1942"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ectPr>
          <w:pgSz w:w="11900" w:h="16838" w:orient="portrait"/>
          <w:cols w:equalWidth="0" w:num="1">
            <w:col w:w="11420"/>
          </w:cols>
          <w:pgMar w:left="240" w:top="341" w:right="239" w:bottom="0" w:gutter="0" w:footer="0" w:header="0"/>
        </w:sectPr>
      </w:pPr>
    </w:p>
    <w:bookmarkStart w:id="56" w:name="page57"/>
    <w:bookmarkEnd w:id="56"/>
    <w:p>
      <w:pPr>
        <w:spacing w:after="0" w:line="50" w:lineRule="exact"/>
        <w:rPr>
          <w:sz w:val="20"/>
          <w:szCs w:val="20"/>
          <w:color w:val="auto"/>
        </w:rPr>
      </w:pPr>
    </w:p>
    <w:p>
      <w:pPr>
        <w:ind w:right="80" w:firstLine="1305"/>
        <w:spacing w:after="0" w:line="258"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Disputes that Executive agrees to arbitrate, and thereby agrees to waive any right to a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include any statutory claims under local, state, or federal law</w:t>
      </w:r>
      <w:r>
        <w:rPr>
          <w:rFonts w:ascii="Arial" w:cs="Arial" w:eastAsia="Arial" w:hAnsi="Arial"/>
          <w:sz w:val="18"/>
          <w:szCs w:val="18"/>
          <w:color w:val="auto"/>
        </w:rPr>
        <w:t>, including, but not limited to, claims under Title VII of the Civil Rights Act of 1964, the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harassment, discrimination, and wrongful termination, and any statutory or common law claims. Executive further understands that this Agreement to arbitrate also applies to any disputes that the Company may have with Executive.</w:t>
      </w:r>
    </w:p>
    <w:p>
      <w:pPr>
        <w:spacing w:after="0" w:line="170" w:lineRule="exact"/>
        <w:rPr>
          <w:sz w:val="20"/>
          <w:szCs w:val="20"/>
          <w:color w:val="auto"/>
        </w:rPr>
      </w:pPr>
    </w:p>
    <w:p>
      <w:pPr>
        <w:ind w:firstLine="1359"/>
        <w:spacing w:after="0" w:line="269" w:lineRule="auto"/>
        <w:tabs>
          <w:tab w:leader="none" w:pos="1955" w:val="left"/>
        </w:tabs>
        <w:numPr>
          <w:ilvl w:val="2"/>
          <w:numId w:val="90"/>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2" w:lineRule="exact"/>
        <w:rPr>
          <w:rFonts w:ascii="Arial" w:cs="Arial" w:eastAsia="Arial" w:hAnsi="Arial"/>
          <w:sz w:val="17"/>
          <w:szCs w:val="17"/>
          <w:color w:val="auto"/>
        </w:rPr>
      </w:pPr>
    </w:p>
    <w:p>
      <w:pPr>
        <w:ind w:right="40" w:firstLine="1305"/>
        <w:spacing w:after="0" w:line="257" w:lineRule="auto"/>
        <w:tabs>
          <w:tab w:leader="none" w:pos="195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xml:space="preserve">. Except as provided by the Act, arbitration will be the sole, exclusive, and final remedy for any dispute between Executive and the Company. </w:t>
      </w:r>
      <w:r>
        <w:rPr>
          <w:rFonts w:ascii="Arial" w:cs="Arial" w:eastAsia="Arial" w:hAnsi="Arial"/>
          <w:sz w:val="18"/>
          <w:szCs w:val="18"/>
          <w:b w:val="1"/>
          <w:bCs w:val="1"/>
          <w:color w:val="auto"/>
        </w:rPr>
        <w:t>Accordingly, except as provided by the Act and this Agreement, neither Executive nor the Company will be permitted to</w:t>
      </w:r>
      <w:r>
        <w:rPr>
          <w:rFonts w:ascii="Arial" w:cs="Arial" w:eastAsia="Arial" w:hAnsi="Arial"/>
          <w:sz w:val="18"/>
          <w:szCs w:val="18"/>
          <w:color w:val="auto"/>
        </w:rPr>
        <w:t xml:space="preserve"> </w:t>
      </w:r>
      <w:r>
        <w:rPr>
          <w:rFonts w:ascii="Arial" w:cs="Arial" w:eastAsia="Arial" w:hAnsi="Arial"/>
          <w:sz w:val="18"/>
          <w:szCs w:val="18"/>
          <w:b w:val="1"/>
          <w:bCs w:val="1"/>
          <w:color w:val="auto"/>
        </w:rPr>
        <w:t>pursue court action regarding claims that are subject to arbitration</w:t>
      </w:r>
      <w:r>
        <w:rPr>
          <w:rFonts w:ascii="Arial" w:cs="Arial" w:eastAsia="Arial" w:hAnsi="Arial"/>
          <w:sz w:val="18"/>
          <w:szCs w:val="18"/>
          <w:color w:val="auto"/>
        </w:rPr>
        <w:t>. Notwithstanding, the arbitrator will not have the authority to disregard or refuse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any lawful Company policy, and the arbitrator will not order or require the Company to adopt a policy not otherwise required by law which the Company has not adopted.</w:t>
      </w:r>
    </w:p>
    <w:p>
      <w:pPr>
        <w:spacing w:after="0" w:line="188" w:lineRule="exact"/>
        <w:rPr>
          <w:rFonts w:ascii="Arial" w:cs="Arial" w:eastAsia="Arial" w:hAnsi="Arial"/>
          <w:sz w:val="18"/>
          <w:szCs w:val="18"/>
          <w:color w:val="auto"/>
        </w:rPr>
      </w:pPr>
    </w:p>
    <w:p>
      <w:pPr>
        <w:ind w:right="600" w:firstLine="1305"/>
        <w:spacing w:after="0" w:line="279" w:lineRule="auto"/>
        <w:tabs>
          <w:tab w:leader="none" w:pos="1955"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1" w:lineRule="exact"/>
        <w:rPr>
          <w:rFonts w:ascii="Arial" w:cs="Arial" w:eastAsia="Arial" w:hAnsi="Arial"/>
          <w:sz w:val="17"/>
          <w:szCs w:val="17"/>
          <w:color w:val="auto"/>
        </w:rPr>
      </w:pPr>
    </w:p>
    <w:p>
      <w:pPr>
        <w:ind w:right="80" w:firstLine="1305"/>
        <w:spacing w:after="0" w:line="276" w:lineRule="auto"/>
        <w:tabs>
          <w:tab w:leader="none" w:pos="1949"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4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70" w:lineRule="exact"/>
        <w:rPr>
          <w:rFonts w:ascii="Arial" w:cs="Arial" w:eastAsia="Arial" w:hAnsi="Arial"/>
          <w:sz w:val="18"/>
          <w:szCs w:val="18"/>
          <w:color w:val="auto"/>
        </w:rPr>
      </w:pPr>
    </w:p>
    <w:p>
      <w:pPr>
        <w:ind w:firstLine="1305"/>
        <w:spacing w:after="0" w:line="259" w:lineRule="auto"/>
        <w:tabs>
          <w:tab w:leader="none" w:pos="195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55" w:lineRule="auto"/>
        <w:tabs>
          <w:tab w:leader="none" w:pos="19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original Change of Control and Severance Agreement dated April 8, 2013 and any rights to extended post-termination exercise period, severance and/or change of control benefits set forth in Executive’s offer letter dated April 1, 2013. No waiver, alteration, or modification of any of the provisions of this Agreement will be binding unless in writing and signed by duly authorized representatives of the parties hereto and which specifically mention this Agreement.</w:t>
      </w:r>
    </w:p>
    <w:p>
      <w:pPr>
        <w:spacing w:after="0" w:line="193" w:lineRule="exact"/>
        <w:rPr>
          <w:rFonts w:ascii="Arial" w:cs="Arial" w:eastAsia="Arial" w:hAnsi="Arial"/>
          <w:sz w:val="18"/>
          <w:szCs w:val="18"/>
          <w:color w:val="auto"/>
        </w:rPr>
      </w:pPr>
    </w:p>
    <w:p>
      <w:pPr>
        <w:ind w:right="160" w:firstLine="1305"/>
        <w:spacing w:after="0" w:line="302" w:lineRule="auto"/>
        <w:tabs>
          <w:tab w:leader="none" w:pos="195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4" w:lineRule="exact"/>
        <w:rPr>
          <w:rFonts w:ascii="Arial" w:cs="Arial" w:eastAsia="Arial" w:hAnsi="Arial"/>
          <w:sz w:val="16"/>
          <w:szCs w:val="16"/>
          <w:color w:val="auto"/>
        </w:rPr>
      </w:pPr>
    </w:p>
    <w:p>
      <w:pPr>
        <w:ind w:right="360" w:firstLine="1305"/>
        <w:spacing w:after="0" w:line="277" w:lineRule="auto"/>
        <w:tabs>
          <w:tab w:leader="none" w:pos="1949"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other taxes.</w:t>
      </w:r>
    </w:p>
    <w:p>
      <w:pPr>
        <w:sectPr>
          <w:pgSz w:w="11900" w:h="16888" w:orient="portrait"/>
          <w:cols w:equalWidth="0" w:num="1">
            <w:col w:w="11420"/>
          </w:cols>
          <w:pgMar w:left="240" w:top="121" w:right="239" w:bottom="0" w:gutter="0" w:footer="0" w:header="0"/>
        </w:sectPr>
      </w:pPr>
    </w:p>
    <w:bookmarkStart w:id="57" w:name="page58"/>
    <w:bookmarkEnd w:id="57"/>
    <w:p>
      <w:pPr>
        <w:ind w:right="560" w:firstLine="1305"/>
        <w:spacing w:after="0" w:line="277"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VERACYTE, INC.</w:t>
            </w:r>
          </w:p>
        </w:tc>
      </w:tr>
      <w:tr>
        <w:trPr>
          <w:trHeight w:val="648"/>
        </w:trPr>
        <w:tc>
          <w:tcPr>
            <w:tcW w:w="3300" w:type="dxa"/>
            <w:vAlign w:val="bottom"/>
          </w:tcPr>
          <w:p>
            <w:pPr>
              <w:spacing w:after="0"/>
              <w:rPr>
                <w:sz w:val="24"/>
                <w:szCs w:val="24"/>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w w:val="91"/>
              </w:rPr>
              <w:t>By:/s/ Bonnie Anderson</w:t>
            </w:r>
          </w:p>
        </w:tc>
      </w:tr>
      <w:tr>
        <w:trPr>
          <w:trHeight w:val="20"/>
        </w:trPr>
        <w:tc>
          <w:tcPr>
            <w:tcW w:w="3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Date:</w:t>
        <w:tab/>
        <w:t>May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5700" w:val="left"/>
          <w:tab w:leader="none" w:pos="634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Shelly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Date:</w:t>
        <w:tab/>
        <w:t>May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of the Amended and Restated Change of Control and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 OF CLAIMS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Shelly Guyer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The Company and Executive are sometimes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ectPr>
          <w:pgSz w:w="11900" w:h="16838" w:orient="portrait"/>
          <w:cols w:equalWidth="0" w:num="1">
            <w:col w:w="11420"/>
          </w:cols>
          <w:pgMar w:left="240" w:top="341" w:right="239" w:bottom="114" w:gutter="0" w:footer="0" w:header="0"/>
        </w:sectPr>
      </w:pPr>
    </w:p>
    <w:p>
      <w:pPr>
        <w:spacing w:after="0" w:line="225" w:lineRule="exact"/>
        <w:rPr>
          <w:sz w:val="20"/>
          <w:szCs w:val="20"/>
          <w:color w:val="auto"/>
        </w:rPr>
      </w:pPr>
    </w:p>
    <w:p>
      <w:pPr>
        <w:ind w:right="540" w:firstLine="7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signed a [Confidential Information and Invention Assignment Agreement] with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60" w:lineRule="exact"/>
        <w:rPr>
          <w:sz w:val="20"/>
          <w:szCs w:val="20"/>
          <w:color w:val="auto"/>
        </w:rPr>
      </w:pPr>
    </w:p>
    <w:p>
      <w:pPr>
        <w:sectPr>
          <w:pgSz w:w="11900" w:h="16838" w:orient="portrait"/>
          <w:cols w:equalWidth="0" w:num="2">
            <w:col w:w="10060" w:space="720"/>
            <w:col w:w="640"/>
          </w:cols>
          <w:pgMar w:left="240" w:top="341" w:right="239" w:bottom="114" w:gutter="0" w:footer="0" w:header="0"/>
          <w:type w:val="continuous"/>
        </w:sect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Executive signed an Amended and Restated Change of Control and Severance Agreement with the company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w:t>
      </w:r>
    </w:p>
    <w:p>
      <w:pPr>
        <w:spacing w:after="0" w:line="46" w:lineRule="exact"/>
        <w:rPr>
          <w:sz w:val="20"/>
          <w:szCs w:val="20"/>
          <w:color w:val="auto"/>
        </w:rPr>
      </w:pPr>
    </w:p>
    <w:p>
      <w:pPr>
        <w:sectPr>
          <w:pgSz w:w="11900" w:h="16838" w:orient="portrait"/>
          <w:cols w:equalWidth="0" w:num="2">
            <w:col w:w="10240" w:space="720"/>
            <w:col w:w="460"/>
          </w:cols>
          <w:pgMar w:left="240" w:top="341" w:right="239" w:bottom="114" w:gutter="0" w:footer="0" w:header="0"/>
          <w:type w:val="continuous"/>
        </w:sectPr>
      </w:pPr>
    </w:p>
    <w:p>
      <w:pPr>
        <w:ind w:right="46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Agreement</w:t>
      </w:r>
      <w:r>
        <w:rPr>
          <w:rFonts w:ascii="Arial" w:cs="Arial" w:eastAsia="Arial" w:hAnsi="Arial"/>
          <w:sz w:val="17"/>
          <w:szCs w:val="17"/>
          <w:color w:val="auto"/>
        </w:rPr>
        <w:t>”), which, among other things, provides for certain severance benefits to be paid to Executive by the Company upon the termination of Executive’s employment following a Change of Control (as defined in the Change of Control Agreement) of the Company;</w:t>
      </w:r>
    </w:p>
    <w:p>
      <w:pPr>
        <w:sectPr>
          <w:pgSz w:w="11900" w:h="16838" w:orient="portrait"/>
          <w:cols w:equalWidth="0" w:num="1">
            <w:col w:w="11420"/>
          </w:cols>
          <w:pgMar w:left="240" w:top="341" w:right="239" w:bottom="114" w:gutter="0" w:footer="0" w:header="0"/>
          <w:type w:val="continuous"/>
        </w:sectPr>
      </w:pPr>
    </w:p>
    <w:p>
      <w:pPr>
        <w:spacing w:after="0" w:line="158"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was employed by the Company until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w:t>
      </w:r>
    </w:p>
    <w:p>
      <w:pPr>
        <w:spacing w:after="0" w:line="460" w:lineRule="exact"/>
        <w:rPr>
          <w:sz w:val="20"/>
          <w:szCs w:val="20"/>
          <w:color w:val="auto"/>
        </w:rPr>
      </w:pPr>
    </w:p>
    <w:p>
      <w:pPr>
        <w:sectPr>
          <w:pgSz w:w="11900" w:h="16838" w:orient="portrait"/>
          <w:cols w:equalWidth="0" w:num="2">
            <w:col w:w="5840" w:space="720"/>
            <w:col w:w="4860"/>
          </w:cols>
          <w:pgMar w:left="240" w:top="341" w:right="239" w:bottom="114" w:gutter="0" w:footer="0" w:header="0"/>
          <w:type w:val="continuous"/>
        </w:sect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Section 4 of the Change of Control and Severance Agreement between the Company and Executive, Executive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enter into and not revoke a standard release of claims in favor of the Company as a condition to receiving the severance benefits described in the Change of Control Agreement; and</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resolve any and all disputes, claims, complaints, grievances, charges, actions, petitions and demands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including the mutual promises and covenants made herein,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 the Termination Date.</w:t>
      </w:r>
    </w:p>
    <w:p>
      <w:pPr>
        <w:spacing w:after="0" w:line="225" w:lineRule="exact"/>
        <w:rPr>
          <w:rFonts w:ascii="Arial" w:cs="Arial" w:eastAsia="Arial" w:hAnsi="Arial"/>
          <w:sz w:val="18"/>
          <w:szCs w:val="18"/>
          <w:color w:val="auto"/>
        </w:rPr>
      </w:pPr>
    </w:p>
    <w:p>
      <w:pPr>
        <w:ind w:right="460" w:firstLine="656"/>
        <w:spacing w:after="0" w:line="276" w:lineRule="auto"/>
        <w:tabs>
          <w:tab w:leader="none" w:pos="129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ectPr>
          <w:pgSz w:w="11900" w:h="16838" w:orient="portrait"/>
          <w:cols w:equalWidth="0" w:num="1">
            <w:col w:w="11420"/>
          </w:cols>
          <w:pgMar w:left="240" w:top="341" w:right="239" w:bottom="114" w:gutter="0" w:footer="0" w:header="0"/>
          <w:type w:val="continuous"/>
        </w:sectPr>
      </w:pPr>
    </w:p>
    <w:bookmarkStart w:id="58" w:name="page59"/>
    <w:bookmarkEnd w:id="58"/>
    <w:p>
      <w:pPr>
        <w:ind w:right="200" w:firstLine="656"/>
        <w:spacing w:after="0" w:line="291" w:lineRule="auto"/>
        <w:tabs>
          <w:tab w:leader="none" w:pos="129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possess against any of the Releasees arising from any omissions, acts, facts, or damages that have occurred up until and including the Effective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 without limitation the following:</w:t>
      </w:r>
    </w:p>
    <w:p>
      <w:pPr>
        <w:spacing w:after="0" w:line="211" w:lineRule="exact"/>
        <w:rPr>
          <w:sz w:val="20"/>
          <w:szCs w:val="20"/>
          <w:color w:val="auto"/>
        </w:rPr>
      </w:pPr>
    </w:p>
    <w:p>
      <w:pPr>
        <w:ind w:left="1940" w:hanging="635"/>
        <w:spacing w:after="0"/>
        <w:tabs>
          <w:tab w:leader="none" w:pos="19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211" w:lineRule="exact"/>
        <w:rPr>
          <w:sz w:val="20"/>
          <w:szCs w:val="20"/>
          <w:color w:val="auto"/>
        </w:rPr>
      </w:pPr>
    </w:p>
    <w:p>
      <w:pPr>
        <w:ind w:right="80" w:firstLine="1305"/>
        <w:spacing w:after="0" w:line="264" w:lineRule="auto"/>
        <w:tabs>
          <w:tab w:leader="none" w:pos="19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18"/>
          <w:szCs w:val="18"/>
          <w:color w:val="auto"/>
        </w:rPr>
      </w:pPr>
    </w:p>
    <w:p>
      <w:pPr>
        <w:ind w:right="20" w:firstLine="1305"/>
        <w:spacing w:after="0" w:line="255" w:lineRule="auto"/>
        <w:tabs>
          <w:tab w:leader="none" w:pos="19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Act];(1)</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120" w:firstLine="1305"/>
        <w:spacing w:after="0" w:line="277" w:lineRule="auto"/>
        <w:tabs>
          <w:tab w:leader="none" w:pos="19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0" w:firstLine="8"/>
        <w:spacing w:after="0" w:line="342" w:lineRule="auto"/>
        <w:tabs>
          <w:tab w:leader="none" w:pos="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7" w:lineRule="auto"/>
        <w:tabs>
          <w:tab w:leader="none" w:pos="129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b w:val="1"/>
          <w:bCs w:val="1"/>
          <w:i w:val="1"/>
          <w:iCs w:val="1"/>
          <w:color w:val="auto"/>
        </w:rPr>
        <w:t>prior</w:t>
      </w:r>
      <w:r>
        <w:rPr>
          <w:rFonts w:ascii="Arial" w:cs="Arial" w:eastAsia="Arial" w:hAnsi="Arial"/>
          <w:sz w:val="16"/>
          <w:szCs w:val="16"/>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ectPr>
          <w:pgSz w:w="11900" w:h="16838" w:orient="portrait"/>
          <w:cols w:equalWidth="0" w:num="1">
            <w:col w:w="11420"/>
          </w:cols>
          <w:pgMar w:left="240" w:top="125" w:right="239" w:bottom="0" w:gutter="0" w:footer="0" w:header="0"/>
        </w:sectPr>
      </w:pPr>
    </w:p>
    <w:bookmarkStart w:id="59" w:name="page60"/>
    <w:bookmarkEnd w:id="59"/>
    <w:p>
      <w:pPr>
        <w:spacing w:after="0" w:line="60" w:lineRule="exact"/>
        <w:rPr>
          <w:sz w:val="20"/>
          <w:szCs w:val="20"/>
          <w:color w:val="auto"/>
        </w:rPr>
      </w:pPr>
    </w:p>
    <w:p>
      <w:pPr>
        <w:ind w:right="80" w:firstLine="656"/>
        <w:spacing w:after="0" w:line="342" w:lineRule="auto"/>
        <w:tabs>
          <w:tab w:leader="none" w:pos="129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24" w:lineRule="exact"/>
        <w:rPr>
          <w:sz w:val="20"/>
          <w:szCs w:val="20"/>
          <w:color w:val="auto"/>
        </w:rPr>
      </w:pPr>
    </w:p>
    <w:p>
      <w:pPr>
        <w:ind w:left="1300" w:right="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4" w:lineRule="exact"/>
        <w:rPr>
          <w:sz w:val="20"/>
          <w:szCs w:val="20"/>
          <w:color w:val="auto"/>
        </w:rPr>
      </w:pPr>
    </w:p>
    <w:p>
      <w:pPr>
        <w:ind w:right="60" w:firstLine="656"/>
        <w:spacing w:after="0" w:line="255" w:lineRule="auto"/>
        <w:tabs>
          <w:tab w:leader="none" w:pos="129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93" w:lineRule="exact"/>
        <w:rPr>
          <w:rFonts w:ascii="Arial" w:cs="Arial" w:eastAsia="Arial" w:hAnsi="Arial"/>
          <w:sz w:val="18"/>
          <w:szCs w:val="18"/>
          <w:color w:val="auto"/>
        </w:rPr>
      </w:pPr>
    </w:p>
    <w:p>
      <w:pPr>
        <w:ind w:right="80" w:firstLine="656"/>
        <w:spacing w:after="0" w:line="277" w:lineRule="auto"/>
        <w:tabs>
          <w:tab w:leader="none" w:pos="129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Sufficiency of Consideration</w:t>
      </w:r>
      <w:r>
        <w:rPr>
          <w:rFonts w:ascii="Arial" w:cs="Arial" w:eastAsia="Arial" w:hAnsi="Arial"/>
          <w:sz w:val="18"/>
          <w:szCs w:val="18"/>
          <w:color w:val="auto"/>
        </w:rPr>
        <w:t>. Executive hereby acknowledges and agrees that Executive has received good and sufficient consideration for every promise, duty, release, obligation, agreement and right contained in this Release.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00" w:hanging="292"/>
        <w:spacing w:after="0"/>
        <w:tabs>
          <w:tab w:leader="none" w:pos="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29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93" w:lineRule="exact"/>
        <w:rPr>
          <w:rFonts w:ascii="Arial" w:cs="Arial" w:eastAsia="Arial" w:hAnsi="Arial"/>
          <w:sz w:val="18"/>
          <w:szCs w:val="18"/>
          <w:color w:val="auto"/>
        </w:rPr>
      </w:pPr>
    </w:p>
    <w:p>
      <w:pPr>
        <w:ind w:right="40" w:firstLine="656"/>
        <w:spacing w:after="0" w:line="291" w:lineRule="auto"/>
        <w:tabs>
          <w:tab w:leader="none" w:pos="129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7" w:lineRule="exact"/>
        <w:rPr>
          <w:rFonts w:ascii="Arial" w:cs="Arial" w:eastAsia="Arial" w:hAnsi="Arial"/>
          <w:sz w:val="16"/>
          <w:szCs w:val="16"/>
          <w:color w:val="auto"/>
        </w:rPr>
      </w:pPr>
    </w:p>
    <w:p>
      <w:pPr>
        <w:ind w:right="140" w:firstLine="656"/>
        <w:spacing w:after="0" w:line="293" w:lineRule="auto"/>
        <w:tabs>
          <w:tab w:leader="none" w:pos="129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4" w:lineRule="exact"/>
        <w:rPr>
          <w:rFonts w:ascii="Arial" w:cs="Arial" w:eastAsia="Arial" w:hAnsi="Arial"/>
          <w:sz w:val="16"/>
          <w:szCs w:val="16"/>
          <w:color w:val="auto"/>
        </w:rPr>
      </w:pPr>
    </w:p>
    <w:p>
      <w:pPr>
        <w:ind w:right="620" w:firstLine="656"/>
        <w:spacing w:after="0" w:line="277" w:lineRule="auto"/>
        <w:tabs>
          <w:tab w:leader="none" w:pos="128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0" w:lineRule="exact"/>
        <w:rPr>
          <w:rFonts w:ascii="Arial" w:cs="Arial" w:eastAsia="Arial" w:hAnsi="Arial"/>
          <w:sz w:val="18"/>
          <w:szCs w:val="18"/>
          <w:color w:val="auto"/>
        </w:rPr>
      </w:pPr>
    </w:p>
    <w:p>
      <w:pPr>
        <w:ind w:firstLine="656"/>
        <w:spacing w:after="0" w:line="259" w:lineRule="auto"/>
        <w:tabs>
          <w:tab w:leader="none" w:pos="129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6" w:lineRule="exact"/>
        <w:rPr>
          <w:rFonts w:ascii="Arial" w:cs="Arial" w:eastAsia="Arial" w:hAnsi="Arial"/>
          <w:sz w:val="18"/>
          <w:szCs w:val="18"/>
          <w:color w:val="auto"/>
        </w:rPr>
      </w:pPr>
    </w:p>
    <w:p>
      <w:pPr>
        <w:ind w:right="160" w:firstLine="656"/>
        <w:spacing w:after="0" w:line="259" w:lineRule="auto"/>
        <w:tabs>
          <w:tab w:leader="none" w:pos="129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Solicitation of Employees</w:t>
      </w:r>
      <w:r>
        <w:rPr>
          <w:rFonts w:ascii="Arial" w:cs="Arial" w:eastAsia="Arial" w:hAnsi="Arial"/>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attorneys’ fees and other fees incurred in connection with the preparation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400" w:firstLine="656"/>
        <w:spacing w:after="0" w:line="308" w:lineRule="auto"/>
        <w:tabs>
          <w:tab w:leader="none" w:pos="1292"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w:t>
      </w:r>
    </w:p>
    <w:p>
      <w:pPr>
        <w:sectPr>
          <w:pgSz w:w="11900" w:h="16899" w:orient="portrait"/>
          <w:cols w:equalWidth="0" w:num="1">
            <w:col w:w="11400"/>
          </w:cols>
          <w:pgMar w:left="240" w:top="125" w:right="259" w:bottom="0" w:gutter="0" w:footer="0" w:header="0"/>
        </w:sectPr>
      </w:pPr>
    </w:p>
    <w:bookmarkStart w:id="60" w:name="page61"/>
    <w:bookmarkEnd w:id="60"/>
    <w:p>
      <w:pPr>
        <w:spacing w:after="0" w:line="10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COUNTY, BEFORE JUDICIAL ARBITRATION &amp; MEDIATION SERVICES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MAY GRANT INJUNCTIONS AND OTHER RELIEF IN SUCH DISPUTES. THE ARBITRATOR WILL ADMINISTER AND CONDUCT ANY ARBITRATION IN ACCORDANCE WITH CALIFORNIA LAW, INCLUDING THE CALIFORNIA CODE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GOVERN.(4)</w:t>
      </w:r>
    </w:p>
    <w:p>
      <w:pPr>
        <w:spacing w:after="0" w:line="185" w:lineRule="exact"/>
        <w:rPr>
          <w:sz w:val="20"/>
          <w:szCs w:val="20"/>
          <w:color w:val="auto"/>
        </w:rPr>
      </w:pPr>
    </w:p>
    <w:p>
      <w:pPr>
        <w:ind w:right="100" w:firstLine="656"/>
        <w:spacing w:after="0" w:line="257" w:lineRule="auto"/>
        <w:tabs>
          <w:tab w:leader="none" w:pos="129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8" w:lineRule="exact"/>
        <w:rPr>
          <w:rFonts w:ascii="Arial" w:cs="Arial" w:eastAsia="Arial" w:hAnsi="Arial"/>
          <w:sz w:val="18"/>
          <w:szCs w:val="18"/>
          <w:color w:val="auto"/>
        </w:rPr>
      </w:pPr>
    </w:p>
    <w:p>
      <w:pPr>
        <w:ind w:right="100" w:firstLine="656"/>
        <w:spacing w:after="0" w:line="264" w:lineRule="auto"/>
        <w:tabs>
          <w:tab w:leader="none" w:pos="129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right="80" w:firstLine="656"/>
        <w:spacing w:after="0" w:line="264" w:lineRule="auto"/>
        <w:tabs>
          <w:tab w:leader="none" w:pos="129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1" w:lineRule="exact"/>
        <w:rPr>
          <w:rFonts w:ascii="Arial" w:cs="Arial" w:eastAsia="Arial" w:hAnsi="Arial"/>
          <w:sz w:val="18"/>
          <w:szCs w:val="18"/>
          <w:color w:val="auto"/>
        </w:rPr>
      </w:pPr>
    </w:p>
    <w:p>
      <w:pPr>
        <w:ind w:firstLine="656"/>
        <w:spacing w:after="0" w:line="257" w:lineRule="auto"/>
        <w:tabs>
          <w:tab w:leader="none" w:pos="129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right="500" w:firstLine="656"/>
        <w:spacing w:after="0" w:line="277" w:lineRule="auto"/>
        <w:tabs>
          <w:tab w:leader="none" w:pos="129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 without regard for choice-of-law provisions. Executive consents to personal and exclusive jurisdiction and venue in the State of California.(5)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right="340" w:firstLine="8"/>
        <w:spacing w:after="0" w:line="258" w:lineRule="auto"/>
        <w:tabs>
          <w:tab w:leader="none" w:pos="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1" w:lineRule="exact"/>
        <w:rPr>
          <w:rFonts w:ascii="Arial" w:cs="Arial" w:eastAsia="Arial" w:hAnsi="Arial"/>
          <w:sz w:val="18"/>
          <w:szCs w:val="18"/>
          <w:color w:val="auto"/>
        </w:rPr>
      </w:pPr>
    </w:p>
    <w:p>
      <w:pPr>
        <w:ind w:right="340" w:firstLine="8"/>
        <w:spacing w:after="0" w:line="261" w:lineRule="auto"/>
        <w:tabs>
          <w:tab w:leader="none" w:pos="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9" w:lineRule="auto"/>
        <w:tabs>
          <w:tab w:leader="none" w:pos="1292"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71" w:lineRule="exact"/>
        <w:rPr>
          <w:rFonts w:ascii="Arial" w:cs="Arial" w:eastAsia="Arial" w:hAnsi="Arial"/>
          <w:sz w:val="17"/>
          <w:szCs w:val="17"/>
          <w:color w:val="auto"/>
        </w:rPr>
      </w:pPr>
    </w:p>
    <w:p>
      <w:pPr>
        <w:ind w:right="340" w:firstLine="656"/>
        <w:spacing w:after="0" w:line="277" w:lineRule="auto"/>
        <w:tabs>
          <w:tab w:leader="none" w:pos="129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right="400" w:firstLine="656"/>
        <w:spacing w:after="0" w:line="264" w:lineRule="auto"/>
        <w:tabs>
          <w:tab w:leader="none" w:pos="129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6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Executive has been represented in the preparation, negotiation, and execution of this Agreement by legal counsel of Executive’s own choice or has elected not to retain legal counsel;</w:t>
      </w:r>
    </w:p>
    <w:p>
      <w:pPr>
        <w:sectPr>
          <w:pgSz w:w="11900" w:h="16942" w:orient="portrait"/>
          <w:cols w:equalWidth="0" w:num="1">
            <w:col w:w="11420"/>
          </w:cols>
          <w:pgMar w:left="240" w:top="125" w:right="239" w:bottom="0" w:gutter="0" w:footer="0" w:header="0"/>
        </w:sectPr>
      </w:pPr>
    </w:p>
    <w:bookmarkStart w:id="61" w:name="page62"/>
    <w:bookmarkEnd w:id="61"/>
    <w:p>
      <w:pPr>
        <w:ind w:left="1960" w:hanging="655"/>
        <w:spacing w:after="0"/>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w:t>
      </w:r>
    </w:p>
    <w:p>
      <w:pPr>
        <w:spacing w:after="0" w:line="22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00" w:hanging="292"/>
        <w:spacing w:after="0"/>
        <w:tabs>
          <w:tab w:leader="none" w:pos="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under the age of 40 at the time Executive’s employment relationship is terminated.</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respective dates set forth below.</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4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SHELLY GUYER, an individual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62" w:name="page63"/>
    <w:bookmarkEnd w:id="62"/>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AND SEVERANCE AGREEMENT</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This Amended and Restated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Christopher Hall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May 14,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0" w:firstLine="656"/>
        <w:spacing w:after="0" w:line="279" w:lineRule="auto"/>
        <w:tabs>
          <w:tab w:leader="none" w:pos="129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1"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40" w:firstLine="656"/>
        <w:spacing w:after="0" w:line="272" w:lineRule="auto"/>
        <w:tabs>
          <w:tab w:leader="none" w:pos="1296"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77" w:lineRule="exact"/>
        <w:rPr>
          <w:rFonts w:ascii="Arial" w:cs="Arial" w:eastAsia="Arial" w:hAnsi="Arial"/>
          <w:sz w:val="17"/>
          <w:szCs w:val="17"/>
          <w:color w:val="auto"/>
        </w:rPr>
      </w:pPr>
    </w:p>
    <w:p>
      <w:pPr>
        <w:ind w:right="20" w:firstLine="656"/>
        <w:spacing w:after="0" w:line="264" w:lineRule="auto"/>
        <w:tabs>
          <w:tab w:leader="none" w:pos="129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6" w:lineRule="auto"/>
        <w:tabs>
          <w:tab w:leader="none" w:pos="1942"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65" w:lineRule="exact"/>
        <w:rPr>
          <w:rFonts w:ascii="Arial" w:cs="Arial" w:eastAsia="Arial" w:hAnsi="Arial"/>
          <w:sz w:val="17"/>
          <w:szCs w:val="17"/>
          <w:color w:val="auto"/>
        </w:rPr>
      </w:pPr>
    </w:p>
    <w:p>
      <w:pPr>
        <w:ind w:right="340" w:firstLine="1953"/>
        <w:spacing w:after="0" w:line="277" w:lineRule="auto"/>
        <w:tabs>
          <w:tab w:leader="none" w:pos="2614"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right="140" w:firstLine="1953"/>
        <w:spacing w:after="0" w:line="264" w:lineRule="auto"/>
        <w:tabs>
          <w:tab w:leader="none" w:pos="2624"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Continuing Severance Payments</w:t>
      </w:r>
      <w:r>
        <w:rPr>
          <w:rFonts w:ascii="Arial" w:cs="Arial" w:eastAsia="Arial" w:hAnsi="Arial"/>
          <w:sz w:val="18"/>
          <w:szCs w:val="18"/>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53"/>
        <w:spacing w:after="0" w:line="286" w:lineRule="auto"/>
        <w:tabs>
          <w:tab w:leader="none" w:pos="2633"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1" w:lineRule="exact"/>
        <w:rPr>
          <w:rFonts w:ascii="Arial" w:cs="Arial" w:eastAsia="Arial" w:hAnsi="Arial"/>
          <w:sz w:val="16"/>
          <w:szCs w:val="16"/>
          <w:color w:val="auto"/>
        </w:rPr>
      </w:pPr>
    </w:p>
    <w:p>
      <w:pPr>
        <w:ind w:right="140" w:firstLine="1305"/>
        <w:spacing w:after="0" w:line="312" w:lineRule="auto"/>
        <w:tabs>
          <w:tab w:leader="none" w:pos="1952"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46" w:lineRule="exact"/>
        <w:rPr>
          <w:rFonts w:ascii="Arial" w:cs="Arial" w:eastAsia="Arial" w:hAnsi="Arial"/>
          <w:sz w:val="16"/>
          <w:szCs w:val="16"/>
          <w:color w:val="auto"/>
        </w:rPr>
      </w:pPr>
    </w:p>
    <w:p>
      <w:pPr>
        <w:ind w:right="340" w:firstLine="1953"/>
        <w:spacing w:after="0" w:line="277" w:lineRule="auto"/>
        <w:tabs>
          <w:tab w:leader="none" w:pos="2614"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ectPr>
          <w:pgSz w:w="11900" w:h="16861" w:orient="portrait"/>
          <w:cols w:equalWidth="0" w:num="1">
            <w:col w:w="11420"/>
          </w:cols>
          <w:pgMar w:left="240" w:top="121" w:right="239" w:bottom="0" w:gutter="0" w:footer="0" w:header="0"/>
        </w:sectPr>
      </w:pPr>
    </w:p>
    <w:bookmarkStart w:id="63" w:name="page64"/>
    <w:bookmarkEnd w:id="63"/>
    <w:p>
      <w:pPr>
        <w:spacing w:after="0" w:line="36" w:lineRule="exact"/>
        <w:rPr>
          <w:sz w:val="20"/>
          <w:szCs w:val="20"/>
          <w:color w:val="auto"/>
        </w:rPr>
      </w:pPr>
    </w:p>
    <w:p>
      <w:pPr>
        <w:ind w:left="2640" w:hanging="687"/>
        <w:spacing w:after="0"/>
        <w:tabs>
          <w:tab w:leader="none" w:pos="264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Executive will receive a lump-sum payment (less applicable withholding taxes) equal to the twelve</w:t>
      </w:r>
    </w:p>
    <w:p>
      <w:pPr>
        <w:spacing w:after="0" w:line="46" w:lineRule="exact"/>
        <w:rPr>
          <w:rFonts w:ascii="Arial" w:cs="Arial" w:eastAsia="Arial" w:hAnsi="Arial"/>
          <w:sz w:val="16"/>
          <w:szCs w:val="16"/>
          <w:color w:val="auto"/>
        </w:rPr>
      </w:pPr>
    </w:p>
    <w:p>
      <w:pPr>
        <w:ind w:right="160" w:firstLine="8"/>
        <w:spacing w:after="0" w:line="290" w:lineRule="auto"/>
        <w:tabs>
          <w:tab w:leader="none" w:pos="34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4" w:lineRule="exact"/>
        <w:rPr>
          <w:rFonts w:ascii="Arial" w:cs="Arial" w:eastAsia="Arial" w:hAnsi="Arial"/>
          <w:sz w:val="16"/>
          <w:szCs w:val="16"/>
          <w:color w:val="auto"/>
        </w:rPr>
      </w:pPr>
    </w:p>
    <w:p>
      <w:pPr>
        <w:ind w:left="2640" w:hanging="687"/>
        <w:spacing w:after="0"/>
        <w:tabs>
          <w:tab w:leader="none" w:pos="2640"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percent (100%) of the higher of</w:t>
      </w:r>
    </w:p>
    <w:p>
      <w:pPr>
        <w:spacing w:after="0" w:line="35" w:lineRule="exact"/>
        <w:rPr>
          <w:sz w:val="20"/>
          <w:szCs w:val="20"/>
          <w:color w:val="auto"/>
        </w:rPr>
      </w:pPr>
    </w:p>
    <w:p>
      <w:pPr>
        <w:jc w:val="both"/>
        <w:ind w:right="220" w:firstLine="8"/>
        <w:spacing w:after="0" w:line="292" w:lineRule="auto"/>
        <w:tabs>
          <w:tab w:leader="none" w:pos="2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2" w:lineRule="exact"/>
        <w:rPr>
          <w:rFonts w:ascii="Arial" w:cs="Arial" w:eastAsia="Arial" w:hAnsi="Arial"/>
          <w:sz w:val="16"/>
          <w:szCs w:val="16"/>
          <w:color w:val="auto"/>
        </w:rPr>
      </w:pPr>
    </w:p>
    <w:p>
      <w:pPr>
        <w:ind w:right="20" w:firstLine="1953"/>
        <w:spacing w:after="0" w:line="259" w:lineRule="auto"/>
        <w:tabs>
          <w:tab w:leader="none" w:pos="261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spacing w:after="0" w:line="3" w:lineRule="exact"/>
        <w:rPr>
          <w:sz w:val="20"/>
          <w:szCs w:val="20"/>
          <w:color w:val="auto"/>
        </w:rPr>
      </w:pPr>
    </w:p>
    <w:p>
      <w:pPr>
        <w:ind w:firstLine="8"/>
        <w:spacing w:after="0" w:line="255"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90" w:lineRule="exact"/>
        <w:rPr>
          <w:rFonts w:ascii="Arial" w:cs="Arial" w:eastAsia="Arial" w:hAnsi="Arial"/>
          <w:sz w:val="18"/>
          <w:szCs w:val="18"/>
          <w:color w:val="auto"/>
        </w:rPr>
      </w:pPr>
    </w:p>
    <w:p>
      <w:pPr>
        <w:ind w:right="360" w:firstLine="1953"/>
        <w:spacing w:after="0" w:line="279" w:lineRule="auto"/>
        <w:tabs>
          <w:tab w:leader="none" w:pos="2600" w:val="left"/>
        </w:tabs>
        <w:numPr>
          <w:ilvl w:val="3"/>
          <w:numId w:val="117"/>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1" w:lineRule="exact"/>
        <w:rPr>
          <w:rFonts w:ascii="Arial" w:cs="Arial" w:eastAsia="Arial" w:hAnsi="Arial"/>
          <w:sz w:val="17"/>
          <w:szCs w:val="17"/>
          <w:color w:val="auto"/>
        </w:rPr>
      </w:pPr>
    </w:p>
    <w:p>
      <w:pPr>
        <w:ind w:right="40" w:firstLine="1305"/>
        <w:spacing w:after="0" w:line="259" w:lineRule="auto"/>
        <w:tabs>
          <w:tab w:leader="none" w:pos="1955"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60" w:firstLine="1305"/>
        <w:spacing w:after="0" w:line="259" w:lineRule="auto"/>
        <w:tabs>
          <w:tab w:leader="none" w:pos="1952"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60" w:firstLine="1305"/>
        <w:spacing w:after="0" w:line="257" w:lineRule="auto"/>
        <w:tabs>
          <w:tab w:leader="none" w:pos="1955"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p>
    <w:p>
      <w:pPr>
        <w:spacing w:after="0" w:line="225" w:lineRule="exact"/>
        <w:rPr>
          <w:rFonts w:ascii="Arial" w:cs="Arial" w:eastAsia="Arial" w:hAnsi="Arial"/>
          <w:sz w:val="18"/>
          <w:szCs w:val="18"/>
          <w:color w:val="auto"/>
        </w:rPr>
      </w:pPr>
    </w:p>
    <w:p>
      <w:pPr>
        <w:ind w:right="20" w:firstLine="1305"/>
        <w:spacing w:after="0" w:line="255" w:lineRule="auto"/>
        <w:tabs>
          <w:tab w:leader="none" w:pos="1942" w:val="left"/>
        </w:tabs>
        <w:numPr>
          <w:ilvl w:val="2"/>
          <w:numId w:val="118"/>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93" w:lineRule="exact"/>
        <w:rPr>
          <w:rFonts w:ascii="Arial" w:cs="Arial" w:eastAsia="Arial" w:hAnsi="Arial"/>
          <w:sz w:val="18"/>
          <w:szCs w:val="18"/>
          <w:color w:val="auto"/>
        </w:rPr>
      </w:pPr>
    </w:p>
    <w:p>
      <w:pPr>
        <w:ind w:right="60" w:firstLine="1305"/>
        <w:spacing w:after="0" w:line="259" w:lineRule="auto"/>
        <w:tabs>
          <w:tab w:leader="none" w:pos="1952" w:val="left"/>
        </w:tabs>
        <w:numPr>
          <w:ilvl w:val="2"/>
          <w:numId w:val="11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Invention Assignment Agreements</w:t>
      </w:r>
      <w:r>
        <w:rPr>
          <w:rFonts w:ascii="Arial" w:cs="Arial" w:eastAsia="Arial" w:hAnsi="Arial"/>
          <w:sz w:val="18"/>
          <w:szCs w:val="18"/>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3, 2010, between the Company and Executive, as such agreement may be amended from time to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ectPr>
          <w:pgSz w:w="11900" w:h="16874" w:orient="portrait"/>
          <w:cols w:equalWidth="0" w:num="1">
            <w:col w:w="11420"/>
          </w:cols>
          <w:pgMar w:left="240" w:top="341" w:right="239" w:bottom="0" w:gutter="0" w:footer="0" w:header="0"/>
        </w:sectPr>
      </w:pPr>
    </w:p>
    <w:bookmarkStart w:id="64" w:name="page65"/>
    <w:bookmarkEnd w:id="64"/>
    <w:p>
      <w:pPr>
        <w:ind w:right="60" w:firstLine="1953"/>
        <w:spacing w:after="0" w:line="293" w:lineRule="auto"/>
        <w:tabs>
          <w:tab w:leader="none" w:pos="2614"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4" w:lineRule="exact"/>
        <w:rPr>
          <w:rFonts w:ascii="Arial" w:cs="Arial" w:eastAsia="Arial" w:hAnsi="Arial"/>
          <w:sz w:val="16"/>
          <w:szCs w:val="16"/>
          <w:color w:val="auto"/>
        </w:rPr>
      </w:pPr>
    </w:p>
    <w:p>
      <w:pPr>
        <w:ind w:firstLine="1953"/>
        <w:spacing w:after="0" w:line="254" w:lineRule="auto"/>
        <w:tabs>
          <w:tab w:leader="none" w:pos="262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(60th)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w:t>
      </w:r>
    </w:p>
    <w:p>
      <w:pPr>
        <w:spacing w:after="0" w:line="192" w:lineRule="exact"/>
        <w:rPr>
          <w:rFonts w:ascii="Arial" w:cs="Arial" w:eastAsia="Arial" w:hAnsi="Arial"/>
          <w:sz w:val="18"/>
          <w:szCs w:val="18"/>
          <w:color w:val="auto"/>
        </w:rPr>
      </w:pPr>
    </w:p>
    <w:p>
      <w:pPr>
        <w:ind w:right="160" w:firstLine="1953"/>
        <w:spacing w:after="0" w:line="291" w:lineRule="auto"/>
        <w:tabs>
          <w:tab w:leader="none" w:pos="263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40" w:firstLine="8"/>
        <w:spacing w:after="0" w:line="270" w:lineRule="auto"/>
        <w:tabs>
          <w:tab w:leader="none" w:pos="2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8" w:lineRule="exact"/>
        <w:rPr>
          <w:rFonts w:ascii="Arial" w:cs="Arial" w:eastAsia="Arial" w:hAnsi="Arial"/>
          <w:sz w:val="17"/>
          <w:szCs w:val="17"/>
          <w:color w:val="auto"/>
        </w:rPr>
      </w:pPr>
    </w:p>
    <w:p>
      <w:pPr>
        <w:ind w:right="560" w:firstLine="1953"/>
        <w:spacing w:after="0" w:line="277" w:lineRule="auto"/>
        <w:tabs>
          <w:tab w:leader="none" w:pos="261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70" w:lineRule="exact"/>
        <w:rPr>
          <w:rFonts w:ascii="Arial" w:cs="Arial" w:eastAsia="Arial" w:hAnsi="Arial"/>
          <w:sz w:val="18"/>
          <w:szCs w:val="18"/>
          <w:color w:val="auto"/>
        </w:rPr>
      </w:pPr>
    </w:p>
    <w:p>
      <w:pPr>
        <w:ind w:firstLine="1953"/>
        <w:spacing w:after="0" w:line="264" w:lineRule="auto"/>
        <w:tabs>
          <w:tab w:leader="none" w:pos="26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1" w:lineRule="exact"/>
        <w:rPr>
          <w:rFonts w:ascii="Arial" w:cs="Arial" w:eastAsia="Arial" w:hAnsi="Arial"/>
          <w:sz w:val="18"/>
          <w:szCs w:val="18"/>
          <w:color w:val="auto"/>
        </w:rPr>
      </w:pPr>
    </w:p>
    <w:p>
      <w:pPr>
        <w:ind w:right="300" w:firstLine="1953"/>
        <w:spacing w:after="0" w:line="257" w:lineRule="auto"/>
        <w:tabs>
          <w:tab w:leader="none" w:pos="261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8" w:lineRule="exact"/>
        <w:rPr>
          <w:sz w:val="20"/>
          <w:szCs w:val="20"/>
          <w:color w:val="auto"/>
        </w:rPr>
      </w:pPr>
    </w:p>
    <w:p>
      <w:pPr>
        <w:ind w:right="700" w:firstLine="656"/>
        <w:spacing w:after="0" w:line="277" w:lineRule="auto"/>
        <w:tabs>
          <w:tab w:leader="none" w:pos="129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payable to Executive (i) constitute “parachute payments” within the meaning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Section 280G of the Code, and (ii) but for this Section 5, would be subject to the excise tax imposed by Section 4999 of the Code, then Executive’s benefits under Section 3 will be either:</w:t>
      </w:r>
    </w:p>
    <w:p>
      <w:pPr>
        <w:spacing w:after="0" w:line="170" w:lineRule="exact"/>
        <w:rPr>
          <w:sz w:val="20"/>
          <w:szCs w:val="20"/>
          <w:color w:val="auto"/>
        </w:rPr>
      </w:pPr>
    </w:p>
    <w:p>
      <w:pPr>
        <w:ind w:left="1940" w:hanging="635"/>
        <w:spacing w:after="0"/>
        <w:tabs>
          <w:tab w:leader="none" w:pos="19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right="20" w:firstLine="1305"/>
        <w:spacing w:after="0" w:line="284" w:lineRule="auto"/>
        <w:tabs>
          <w:tab w:leader="none" w:pos="195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w:t>
      </w:r>
    </w:p>
    <w:p>
      <w:pPr>
        <w:spacing w:after="0" w:line="4" w:lineRule="exact"/>
        <w:rPr>
          <w:rFonts w:ascii="Arial" w:cs="Arial" w:eastAsia="Arial" w:hAnsi="Arial"/>
          <w:sz w:val="16"/>
          <w:szCs w:val="16"/>
          <w:color w:val="auto"/>
        </w:rPr>
      </w:pPr>
    </w:p>
    <w:p>
      <w:pPr>
        <w:ind w:right="60" w:firstLine="8"/>
        <w:spacing w:after="0" w:line="261" w:lineRule="auto"/>
        <w:tabs>
          <w:tab w:leader="none" w:pos="3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reduction of employee benefits. In the event that acceleration of vesting of equity award compensation is to be reduced, such acceleration of vesting will be cancelled in the reverse order of the date of grant of Executive’s equity awards.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mean:</w:t>
      </w:r>
    </w:p>
    <w:p>
      <w:pPr>
        <w:spacing w:after="0" w:line="225" w:lineRule="exact"/>
        <w:rPr>
          <w:rFonts w:ascii="Arial" w:cs="Arial" w:eastAsia="Arial" w:hAnsi="Arial"/>
          <w:sz w:val="18"/>
          <w:szCs w:val="18"/>
          <w:color w:val="auto"/>
        </w:rPr>
      </w:pPr>
    </w:p>
    <w:p>
      <w:pPr>
        <w:ind w:left="2620" w:hanging="538"/>
        <w:spacing w:after="0"/>
        <w:tabs>
          <w:tab w:leader="none" w:pos="262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The willful or grossly negligent failure of the Executive to substantially perform his or her duties as an employee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ectPr>
          <w:pgSz w:w="11900" w:h="16838" w:orient="portrait"/>
          <w:cols w:equalWidth="0" w:num="1">
            <w:col w:w="11400"/>
          </w:cols>
          <w:pgMar w:left="240" w:top="341" w:right="259" w:bottom="0" w:gutter="0" w:footer="0" w:header="0"/>
        </w:sectPr>
      </w:pPr>
    </w:p>
    <w:bookmarkStart w:id="65" w:name="page66"/>
    <w:bookmarkEnd w:id="65"/>
    <w:p>
      <w:pPr>
        <w:spacing w:after="0" w:line="105" w:lineRule="exact"/>
        <w:rPr>
          <w:sz w:val="20"/>
          <w:szCs w:val="20"/>
          <w:color w:val="auto"/>
        </w:rPr>
      </w:pPr>
    </w:p>
    <w:p>
      <w:pPr>
        <w:ind w:left="2620" w:hanging="538"/>
        <w:spacing w:after="0"/>
        <w:tabs>
          <w:tab w:leader="none" w:pos="2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Executive’s commission of a gross misconduct which is injurious to the Company;</w:t>
      </w:r>
    </w:p>
    <w:p>
      <w:pPr>
        <w:spacing w:after="0" w:line="225" w:lineRule="exact"/>
        <w:rPr>
          <w:rFonts w:ascii="Arial" w:cs="Arial" w:eastAsia="Arial" w:hAnsi="Arial"/>
          <w:sz w:val="18"/>
          <w:szCs w:val="18"/>
          <w:color w:val="auto"/>
        </w:rPr>
      </w:pPr>
    </w:p>
    <w:p>
      <w:pPr>
        <w:ind w:left="2640" w:hanging="543"/>
        <w:spacing w:after="0"/>
        <w:tabs>
          <w:tab w:leader="none" w:pos="26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Executive’s breach of a material provision of any agreement between Executive and the Company;</w:t>
      </w:r>
    </w:p>
    <w:p>
      <w:pPr>
        <w:spacing w:after="0" w:line="225" w:lineRule="exact"/>
        <w:rPr>
          <w:sz w:val="20"/>
          <w:szCs w:val="20"/>
          <w:color w:val="auto"/>
        </w:rPr>
      </w:pPr>
    </w:p>
    <w:p>
      <w:pPr>
        <w:ind w:left="2620" w:hanging="538"/>
        <w:spacing w:after="0"/>
        <w:tabs>
          <w:tab w:leader="none" w:pos="2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Executive’s material and willful violation of a federal or state law or regulation applicable to the business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2600" w:hanging="518"/>
        <w:spacing w:after="0"/>
        <w:tabs>
          <w:tab w:leader="none" w:pos="26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or</w:t>
      </w:r>
    </w:p>
    <w:p>
      <w:pPr>
        <w:spacing w:after="0" w:line="211" w:lineRule="exact"/>
        <w:rPr>
          <w:sz w:val="20"/>
          <w:szCs w:val="20"/>
          <w:color w:val="auto"/>
        </w:rPr>
      </w:pPr>
    </w:p>
    <w:p>
      <w:pPr>
        <w:ind w:right="220" w:firstLine="2082"/>
        <w:spacing w:after="0" w:line="277" w:lineRule="auto"/>
        <w:tabs>
          <w:tab w:leader="none" w:pos="260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66" w:lineRule="exact"/>
        <w:rPr>
          <w:sz w:val="20"/>
          <w:szCs w:val="20"/>
          <w:color w:val="auto"/>
        </w:rPr>
      </w:pPr>
    </w:p>
    <w:p>
      <w:pPr>
        <w:ind w:left="1960" w:hanging="655"/>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60" w:firstLine="2082"/>
        <w:spacing w:after="0" w:line="257" w:lineRule="auto"/>
        <w:tabs>
          <w:tab w:leader="none" w:pos="260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8" w:lineRule="exact"/>
        <w:rPr>
          <w:rFonts w:ascii="Arial" w:cs="Arial" w:eastAsia="Arial" w:hAnsi="Arial"/>
          <w:sz w:val="18"/>
          <w:szCs w:val="18"/>
          <w:color w:val="auto"/>
        </w:rPr>
      </w:pPr>
    </w:p>
    <w:p>
      <w:pPr>
        <w:ind w:right="80" w:firstLine="2082"/>
        <w:spacing w:after="0" w:line="279" w:lineRule="auto"/>
        <w:tabs>
          <w:tab w:leader="none" w:pos="261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1" w:lineRule="exact"/>
        <w:rPr>
          <w:rFonts w:ascii="Arial" w:cs="Arial" w:eastAsia="Arial" w:hAnsi="Arial"/>
          <w:sz w:val="17"/>
          <w:szCs w:val="17"/>
          <w:color w:val="auto"/>
        </w:rPr>
      </w:pPr>
    </w:p>
    <w:p>
      <w:pPr>
        <w:ind w:firstLine="2082"/>
        <w:spacing w:after="0" w:line="287" w:lineRule="auto"/>
        <w:tabs>
          <w:tab w:leader="none" w:pos="262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160" w:firstLine="207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60" w:firstLine="2074"/>
        <w:spacing w:after="0" w:line="286"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right="480" w:firstLine="1305"/>
        <w:spacing w:after="0" w:line="277" w:lineRule="auto"/>
        <w:tabs>
          <w:tab w:leader="none" w:pos="195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Change of Control Period</w:t>
      </w:r>
      <w:r>
        <w:rPr>
          <w:rFonts w:ascii="Arial" w:cs="Arial" w:eastAsia="Arial" w:hAnsi="Arial"/>
          <w:sz w:val="18"/>
          <w:szCs w:val="18"/>
          <w:color w:val="auto"/>
        </w:rPr>
        <w:t>. “</w:t>
      </w:r>
      <w:r>
        <w:rPr>
          <w:rFonts w:ascii="Arial" w:cs="Arial" w:eastAsia="Arial" w:hAnsi="Arial"/>
          <w:sz w:val="18"/>
          <w:szCs w:val="18"/>
          <w:b w:val="1"/>
          <w:bCs w:val="1"/>
          <w:i w:val="1"/>
          <w:iCs w:val="1"/>
          <w:color w:val="auto"/>
        </w:rPr>
        <w:t>Change of Control Period</w:t>
      </w:r>
      <w:r>
        <w:rPr>
          <w:rFonts w:ascii="Arial" w:cs="Arial" w:eastAsia="Arial" w:hAnsi="Arial"/>
          <w:sz w:val="18"/>
          <w:szCs w:val="18"/>
          <w:color w:val="auto"/>
        </w:rPr>
        <w:t>” will mean the period beginning two (2) months prior to, and ending twelve (12) months following, a Change of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will mean the Internal Revenue Code of 1986, as amended.</w:t>
      </w:r>
    </w:p>
    <w:p>
      <w:pPr>
        <w:spacing w:after="0" w:line="225" w:lineRule="exact"/>
        <w:rPr>
          <w:rFonts w:ascii="Arial" w:cs="Arial" w:eastAsia="Arial" w:hAnsi="Arial"/>
          <w:sz w:val="18"/>
          <w:szCs w:val="18"/>
          <w:color w:val="auto"/>
        </w:rPr>
      </w:pPr>
    </w:p>
    <w:p>
      <w:pPr>
        <w:jc w:val="both"/>
        <w:ind w:right="280" w:firstLine="1305"/>
        <w:spacing w:after="0" w:line="288" w:lineRule="auto"/>
        <w:tabs>
          <w:tab w:leader="none" w:pos="195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w:t>
      </w: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ectPr>
          <w:pgSz w:w="11900" w:h="16944" w:orient="portrait"/>
          <w:cols w:equalWidth="0" w:num="1">
            <w:col w:w="11420"/>
          </w:cols>
          <w:pgMar w:left="240" w:top="125" w:right="239" w:bottom="0" w:gutter="0" w:footer="0" w:header="0"/>
        </w:sectPr>
      </w:pPr>
    </w:p>
    <w:bookmarkStart w:id="66" w:name="page67"/>
    <w:bookmarkEnd w:id="66"/>
    <w:p>
      <w:pPr>
        <w:spacing w:after="0" w:line="35" w:lineRule="exact"/>
        <w:rPr>
          <w:sz w:val="20"/>
          <w:szCs w:val="20"/>
          <w:color w:val="auto"/>
        </w:rPr>
      </w:pPr>
    </w:p>
    <w:p>
      <w:pPr>
        <w:ind w:firstLine="1305"/>
        <w:spacing w:after="0" w:line="277" w:lineRule="auto"/>
        <w:tabs>
          <w:tab w:leader="none" w:pos="1949"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will mean Executive’s outstanding stock options, stock appreciation rights, restricted stock units, performance shares, performance stock units and any other Company equity compensation awards.</w:t>
      </w:r>
    </w:p>
    <w:p>
      <w:pPr>
        <w:spacing w:after="0" w:line="170" w:lineRule="exact"/>
        <w:rPr>
          <w:rFonts w:ascii="Arial" w:cs="Arial" w:eastAsia="Arial" w:hAnsi="Arial"/>
          <w:sz w:val="18"/>
          <w:szCs w:val="18"/>
          <w:color w:val="auto"/>
        </w:rPr>
      </w:pPr>
    </w:p>
    <w:p>
      <w:pPr>
        <w:ind w:right="160" w:firstLine="1305"/>
        <w:spacing w:after="0" w:line="308" w:lineRule="auto"/>
        <w:tabs>
          <w:tab w:leader="none" w:pos="1965"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46" w:lineRule="exact"/>
        <w:rPr>
          <w:rFonts w:ascii="Arial" w:cs="Arial" w:eastAsia="Arial" w:hAnsi="Arial"/>
          <w:sz w:val="17"/>
          <w:szCs w:val="17"/>
          <w:color w:val="auto"/>
        </w:rPr>
      </w:pPr>
    </w:p>
    <w:p>
      <w:pPr>
        <w:ind w:right="20" w:firstLine="2082"/>
        <w:spacing w:after="0" w:line="312" w:lineRule="auto"/>
        <w:tabs>
          <w:tab w:leader="none" w:pos="260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46" w:lineRule="exact"/>
        <w:rPr>
          <w:rFonts w:ascii="Arial" w:cs="Arial" w:eastAsia="Arial" w:hAnsi="Arial"/>
          <w:sz w:val="16"/>
          <w:szCs w:val="16"/>
          <w:color w:val="auto"/>
        </w:rPr>
      </w:pPr>
    </w:p>
    <w:p>
      <w:pPr>
        <w:ind w:firstLine="2082"/>
        <w:spacing w:after="0" w:line="277" w:lineRule="auto"/>
        <w:tabs>
          <w:tab w:leader="none" w:pos="261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70" w:lineRule="exact"/>
        <w:rPr>
          <w:rFonts w:ascii="Arial" w:cs="Arial" w:eastAsia="Arial" w:hAnsi="Arial"/>
          <w:sz w:val="18"/>
          <w:szCs w:val="18"/>
          <w:color w:val="auto"/>
        </w:rPr>
      </w:pPr>
    </w:p>
    <w:p>
      <w:pPr>
        <w:ind w:right="180" w:firstLine="2082"/>
        <w:spacing w:after="0" w:line="312" w:lineRule="auto"/>
        <w:tabs>
          <w:tab w:leader="none" w:pos="262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46" w:lineRule="exact"/>
        <w:rPr>
          <w:rFonts w:ascii="Arial" w:cs="Arial" w:eastAsia="Arial" w:hAnsi="Arial"/>
          <w:sz w:val="16"/>
          <w:szCs w:val="16"/>
          <w:color w:val="auto"/>
        </w:rPr>
      </w:pPr>
    </w:p>
    <w:p>
      <w:pPr>
        <w:ind w:left="2620" w:hanging="538"/>
        <w:spacing w:after="0"/>
        <w:tabs>
          <w:tab w:leader="none" w:pos="26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fifty (50) miles.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ind w:right="160" w:firstLine="1305"/>
        <w:spacing w:after="0" w:line="286" w:lineRule="auto"/>
        <w:tabs>
          <w:tab w:leader="none" w:pos="1952"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Section 409A Limit</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 Limit</w:t>
      </w:r>
      <w:r>
        <w:rPr>
          <w:rFonts w:ascii="Arial" w:cs="Arial" w:eastAsia="Arial" w:hAnsi="Arial"/>
          <w:sz w:val="16"/>
          <w:szCs w:val="16"/>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the Code for the year in which Executive’s employment is terminated.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942"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3" w:lineRule="exact"/>
        <w:rPr>
          <w:rFonts w:ascii="Arial" w:cs="Arial" w:eastAsia="Arial" w:hAnsi="Arial"/>
          <w:sz w:val="18"/>
          <w:szCs w:val="18"/>
          <w:color w:val="auto"/>
        </w:rPr>
      </w:pPr>
    </w:p>
    <w:p>
      <w:pPr>
        <w:ind w:right="380" w:firstLine="1305"/>
        <w:spacing w:after="0" w:line="342" w:lineRule="auto"/>
        <w:tabs>
          <w:tab w:leader="none" w:pos="195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5" w:lineRule="auto"/>
        <w:tabs>
          <w:tab w:leader="none" w:pos="1942"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9" w:lineRule="exact"/>
        <w:rPr>
          <w:rFonts w:ascii="Arial" w:cs="Arial" w:eastAsia="Arial" w:hAnsi="Arial"/>
          <w:sz w:val="18"/>
          <w:szCs w:val="18"/>
          <w:color w:val="auto"/>
        </w:rPr>
      </w:pPr>
    </w:p>
    <w:p>
      <w:pPr>
        <w:ind w:right="120" w:firstLine="1305"/>
        <w:spacing w:after="0" w:line="302" w:lineRule="auto"/>
        <w:tabs>
          <w:tab w:leader="none" w:pos="195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4" w:lineRule="exact"/>
        <w:rPr>
          <w:rFonts w:ascii="Arial" w:cs="Arial" w:eastAsia="Arial" w:hAnsi="Arial"/>
          <w:sz w:val="16"/>
          <w:szCs w:val="16"/>
          <w:color w:val="auto"/>
        </w:rPr>
      </w:pPr>
    </w:p>
    <w:p>
      <w:pPr>
        <w:ind w:right="160" w:firstLine="656"/>
        <w:spacing w:after="0" w:line="286" w:lineRule="auto"/>
        <w:tabs>
          <w:tab w:leader="none" w:pos="129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60" w:firstLine="1305"/>
        <w:spacing w:after="0" w:line="298" w:lineRule="auto"/>
        <w:tabs>
          <w:tab w:leader="none" w:pos="194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In consideration of Executive’s employment with the Company, its promise to arbitrate all employment</w:t>
      </w:r>
      <w:r>
        <w:rPr>
          <w:rFonts w:ascii="Arial" w:cs="Arial" w:eastAsia="Arial" w:hAnsi="Arial"/>
          <w:sz w:val="16"/>
          <w:szCs w:val="16"/>
          <w:b w:val="1"/>
          <w:bCs w:val="1"/>
          <w:color w:val="auto"/>
        </w:rPr>
        <w:t>-</w:t>
      </w:r>
      <w:r>
        <w:rPr>
          <w:rFonts w:ascii="Arial" w:cs="Arial" w:eastAsia="Arial" w:hAnsi="Arial"/>
          <w:sz w:val="16"/>
          <w:szCs w:val="16"/>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w:t>
      </w:r>
    </w:p>
    <w:p>
      <w:pPr>
        <w:sectPr>
          <w:pgSz w:w="11900" w:h="16873" w:orient="portrait"/>
          <w:cols w:equalWidth="0" w:num="1">
            <w:col w:w="11420"/>
          </w:cols>
          <w:pgMar w:left="240" w:top="341" w:right="239" w:bottom="0" w:gutter="0" w:footer="0" w:header="0"/>
        </w:sectPr>
      </w:pPr>
    </w:p>
    <w:bookmarkStart w:id="67" w:name="page68"/>
    <w:bookmarkEnd w:id="67"/>
    <w:p>
      <w:pPr>
        <w:ind w:right="300"/>
        <w:spacing w:after="0" w:line="277" w:lineRule="auto"/>
        <w:rPr>
          <w:sz w:val="20"/>
          <w:szCs w:val="20"/>
          <w:color w:val="auto"/>
        </w:rPr>
      </w:pPr>
      <w:r>
        <w:rPr>
          <w:rFonts w:ascii="Arial" w:cs="Arial" w:eastAsia="Arial" w:hAnsi="Arial"/>
          <w:sz w:val="18"/>
          <w:szCs w:val="18"/>
          <w:color w:val="auto"/>
        </w:rPr>
        <w:t>Procedure Section 1280 through 1294.2, including Section 1281.8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pursuant to California law. The Federal Arbitration Act will also apply with full force and effect, notwithstanding the application of procedural rules set forth under the Act.</w:t>
      </w:r>
    </w:p>
    <w:p>
      <w:pPr>
        <w:spacing w:after="0" w:line="166" w:lineRule="exact"/>
        <w:rPr>
          <w:sz w:val="20"/>
          <w:szCs w:val="20"/>
          <w:color w:val="auto"/>
        </w:rPr>
      </w:pPr>
    </w:p>
    <w:p>
      <w:pPr>
        <w:ind w:right="80" w:firstLine="1305"/>
        <w:spacing w:after="0" w:line="258" w:lineRule="auto"/>
        <w:tabs>
          <w:tab w:leader="none" w:pos="19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Disputes that Executive agrees to arbitrate, and thereby agrees to waive any right to a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include any statutory claims under local, state, or federal law</w:t>
      </w:r>
      <w:r>
        <w:rPr>
          <w:rFonts w:ascii="Arial" w:cs="Arial" w:eastAsia="Arial" w:hAnsi="Arial"/>
          <w:sz w:val="18"/>
          <w:szCs w:val="18"/>
          <w:color w:val="auto"/>
        </w:rPr>
        <w:t>, including, but not limited to, claims under Title VII of the Civil Rights Act of 1964, the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harassment, discrimination, and wrongful termination, and any statutory or common law claims. Executive further understands that this Agreement to arbitrate also applies to any disputes that the Company may have with Executive.</w:t>
      </w:r>
    </w:p>
    <w:p>
      <w:pPr>
        <w:spacing w:after="0" w:line="170" w:lineRule="exact"/>
        <w:rPr>
          <w:sz w:val="20"/>
          <w:szCs w:val="20"/>
          <w:color w:val="auto"/>
        </w:rPr>
      </w:pPr>
    </w:p>
    <w:p>
      <w:pPr>
        <w:ind w:firstLine="1359"/>
        <w:spacing w:after="0" w:line="269" w:lineRule="auto"/>
        <w:tabs>
          <w:tab w:leader="none" w:pos="1955" w:val="left"/>
        </w:tabs>
        <w:numPr>
          <w:ilvl w:val="2"/>
          <w:numId w:val="139"/>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2" w:lineRule="exact"/>
        <w:rPr>
          <w:rFonts w:ascii="Arial" w:cs="Arial" w:eastAsia="Arial" w:hAnsi="Arial"/>
          <w:sz w:val="17"/>
          <w:szCs w:val="17"/>
          <w:color w:val="auto"/>
        </w:rPr>
      </w:pPr>
    </w:p>
    <w:p>
      <w:pPr>
        <w:ind w:right="40" w:firstLine="1305"/>
        <w:spacing w:after="0" w:line="257" w:lineRule="auto"/>
        <w:tabs>
          <w:tab w:leader="none" w:pos="1952"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xml:space="preserve">. Except as provided by the Act, arbitration will be the sole, exclusive, and final remedy for any dispute between Executive and the Company. </w:t>
      </w:r>
      <w:r>
        <w:rPr>
          <w:rFonts w:ascii="Arial" w:cs="Arial" w:eastAsia="Arial" w:hAnsi="Arial"/>
          <w:sz w:val="18"/>
          <w:szCs w:val="18"/>
          <w:b w:val="1"/>
          <w:bCs w:val="1"/>
          <w:color w:val="auto"/>
        </w:rPr>
        <w:t>Accordingly, except as provided by the Act and this Agreement, neither Executive nor the Company will be permitted to</w:t>
      </w:r>
      <w:r>
        <w:rPr>
          <w:rFonts w:ascii="Arial" w:cs="Arial" w:eastAsia="Arial" w:hAnsi="Arial"/>
          <w:sz w:val="18"/>
          <w:szCs w:val="18"/>
          <w:color w:val="auto"/>
        </w:rPr>
        <w:t xml:space="preserve"> </w:t>
      </w:r>
      <w:r>
        <w:rPr>
          <w:rFonts w:ascii="Arial" w:cs="Arial" w:eastAsia="Arial" w:hAnsi="Arial"/>
          <w:sz w:val="18"/>
          <w:szCs w:val="18"/>
          <w:b w:val="1"/>
          <w:bCs w:val="1"/>
          <w:color w:val="auto"/>
        </w:rPr>
        <w:t>pursue court action regarding claims that are subject to arbitration</w:t>
      </w:r>
      <w:r>
        <w:rPr>
          <w:rFonts w:ascii="Arial" w:cs="Arial" w:eastAsia="Arial" w:hAnsi="Arial"/>
          <w:sz w:val="18"/>
          <w:szCs w:val="18"/>
          <w:color w:val="auto"/>
        </w:rPr>
        <w:t>. Notwithstanding, the arbitrator will not have the authority to disregard or refuse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any lawful Company policy, and the arbitrator will not order or require the Company to adopt a policy not otherwise required by law which the Company has not adopted.</w:t>
      </w:r>
    </w:p>
    <w:p>
      <w:pPr>
        <w:spacing w:after="0" w:line="188" w:lineRule="exact"/>
        <w:rPr>
          <w:rFonts w:ascii="Arial" w:cs="Arial" w:eastAsia="Arial" w:hAnsi="Arial"/>
          <w:sz w:val="18"/>
          <w:szCs w:val="18"/>
          <w:color w:val="auto"/>
        </w:rPr>
      </w:pPr>
    </w:p>
    <w:p>
      <w:pPr>
        <w:ind w:right="600" w:firstLine="1305"/>
        <w:spacing w:after="0" w:line="279" w:lineRule="auto"/>
        <w:tabs>
          <w:tab w:leader="none" w:pos="1955"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1" w:lineRule="exact"/>
        <w:rPr>
          <w:rFonts w:ascii="Arial" w:cs="Arial" w:eastAsia="Arial" w:hAnsi="Arial"/>
          <w:sz w:val="17"/>
          <w:szCs w:val="17"/>
          <w:color w:val="auto"/>
        </w:rPr>
      </w:pPr>
    </w:p>
    <w:p>
      <w:pPr>
        <w:ind w:right="80" w:firstLine="1305"/>
        <w:spacing w:after="0" w:line="276" w:lineRule="auto"/>
        <w:tabs>
          <w:tab w:leader="none" w:pos="1949"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4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70" w:lineRule="exact"/>
        <w:rPr>
          <w:rFonts w:ascii="Arial" w:cs="Arial" w:eastAsia="Arial" w:hAnsi="Arial"/>
          <w:sz w:val="18"/>
          <w:szCs w:val="18"/>
          <w:color w:val="auto"/>
        </w:rPr>
      </w:pPr>
    </w:p>
    <w:p>
      <w:pPr>
        <w:ind w:firstLine="1305"/>
        <w:spacing w:after="0" w:line="259" w:lineRule="auto"/>
        <w:tabs>
          <w:tab w:leader="none" w:pos="195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3" w:lineRule="auto"/>
        <w:tabs>
          <w:tab w:leader="none" w:pos="195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original Change of Control and Severance Agreement dated August 24, 2012 and any rights to extended post-termination exercise period, severance and/or change of control benefits set forth in Executive’s offer letter dated January 27, 2010, Executive’s Stock Option Agreement — Early Exercise under the 2008 Stock Plan dated March 30, 2010 and amendment thereto dated December 6, 2010, Executive’s Stock Option Agreement — Early Exercise under the 2008 Stock Plan dated September 28, 2010, Executive’s Stock Option Agreement under the 2008 Stock Plan dated February 23, 2011, Executive’s Stock Option Agreement under the 2008 Stock Plan dated March 10, 2012, and Executive’s Stock Option Agreement — Early Exercise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94" w:lineRule="exact"/>
        <w:rPr>
          <w:rFonts w:ascii="Arial" w:cs="Arial" w:eastAsia="Arial" w:hAnsi="Arial"/>
          <w:sz w:val="18"/>
          <w:szCs w:val="18"/>
          <w:color w:val="auto"/>
        </w:rPr>
      </w:pPr>
    </w:p>
    <w:p>
      <w:pPr>
        <w:ind w:right="160" w:firstLine="1305"/>
        <w:spacing w:after="0" w:line="308" w:lineRule="auto"/>
        <w:tabs>
          <w:tab w:leader="none" w:pos="195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w:t>
      </w:r>
    </w:p>
    <w:p>
      <w:pPr>
        <w:sectPr>
          <w:pgSz w:w="11900" w:h="16838" w:orient="portrait"/>
          <w:cols w:equalWidth="0" w:num="1">
            <w:col w:w="11420"/>
          </w:cols>
          <w:pgMar w:left="240" w:top="125" w:right="239" w:bottom="0" w:gutter="0" w:footer="0" w:header="0"/>
        </w:sectPr>
      </w:pPr>
    </w:p>
    <w:bookmarkStart w:id="68" w:name="page69"/>
    <w:bookmarkEnd w:id="68"/>
    <w:p>
      <w:pPr>
        <w:ind w:right="160"/>
        <w:spacing w:after="0" w:line="342" w:lineRule="auto"/>
        <w:rPr>
          <w:sz w:val="20"/>
          <w:szCs w:val="20"/>
          <w:color w:val="auto"/>
        </w:rPr>
      </w:pPr>
      <w:r>
        <w:rPr>
          <w:rFonts w:ascii="Arial" w:cs="Arial" w:eastAsia="Arial" w:hAnsi="Arial"/>
          <w:sz w:val="16"/>
          <w:szCs w:val="16"/>
          <w:color w:val="auto"/>
        </w:rPr>
        <w:t>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24" w:lineRule="exact"/>
        <w:rPr>
          <w:sz w:val="20"/>
          <w:szCs w:val="20"/>
          <w:color w:val="auto"/>
        </w:rPr>
      </w:pPr>
    </w:p>
    <w:p>
      <w:pPr>
        <w:ind w:right="360" w:firstLine="1305"/>
        <w:spacing w:after="0" w:line="277" w:lineRule="auto"/>
        <w:tabs>
          <w:tab w:leader="none" w:pos="1949"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other taxes.</w:t>
      </w:r>
    </w:p>
    <w:p>
      <w:pPr>
        <w:spacing w:after="0" w:line="210" w:lineRule="exact"/>
        <w:rPr>
          <w:rFonts w:ascii="Arial" w:cs="Arial" w:eastAsia="Arial" w:hAnsi="Arial"/>
          <w:sz w:val="17"/>
          <w:szCs w:val="17"/>
          <w:color w:val="auto"/>
        </w:rPr>
      </w:pPr>
    </w:p>
    <w:p>
      <w:pPr>
        <w:ind w:right="560" w:firstLine="1305"/>
        <w:spacing w:after="0" w:line="277" w:lineRule="auto"/>
        <w:tabs>
          <w:tab w:leader="none" w:pos="19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COMPANY</w:t>
            </w: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VERACYTE, INC.</w:t>
            </w:r>
          </w:p>
        </w:tc>
      </w:tr>
      <w:tr>
        <w:trPr>
          <w:trHeight w:val="432"/>
        </w:trPr>
        <w:tc>
          <w:tcPr>
            <w:tcW w:w="3360" w:type="dxa"/>
            <w:vAlign w:val="bottom"/>
          </w:tcPr>
          <w:p>
            <w:pPr>
              <w:spacing w:after="0"/>
              <w:rPr>
                <w:sz w:val="24"/>
                <w:szCs w:val="24"/>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Anderson</w:t>
            </w:r>
          </w:p>
        </w:tc>
      </w:tr>
      <w:tr>
        <w:trPr>
          <w:trHeight w:val="426"/>
        </w:trPr>
        <w:tc>
          <w:tcPr>
            <w:tcW w:w="3360" w:type="dxa"/>
            <w:vAlign w:val="bottom"/>
          </w:tcPr>
          <w:p>
            <w:pPr>
              <w:spacing w:after="0"/>
              <w:rPr>
                <w:sz w:val="24"/>
                <w:szCs w:val="24"/>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r>
        <w:trPr>
          <w:trHeight w:val="426"/>
        </w:trPr>
        <w:tc>
          <w:tcPr>
            <w:tcW w:w="3360" w:type="dxa"/>
            <w:vAlign w:val="bottom"/>
          </w:tcPr>
          <w:p>
            <w:pPr>
              <w:spacing w:after="0"/>
              <w:rPr>
                <w:sz w:val="24"/>
                <w:szCs w:val="24"/>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Date: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14, 2015</w:t>
            </w:r>
          </w:p>
        </w:tc>
      </w:tr>
      <w:tr>
        <w:trPr>
          <w:trHeight w:val="642"/>
        </w:trPr>
        <w:tc>
          <w:tcPr>
            <w:tcW w:w="3360" w:type="dxa"/>
            <w:vAlign w:val="bottom"/>
          </w:tcPr>
          <w:p>
            <w:pPr>
              <w:spacing w:after="0"/>
              <w:rPr>
                <w:sz w:val="20"/>
                <w:szCs w:val="20"/>
                <w:color w:val="auto"/>
              </w:rPr>
            </w:pPr>
            <w:r>
              <w:rPr>
                <w:rFonts w:ascii="Arial" w:cs="Arial" w:eastAsia="Arial" w:hAnsi="Arial"/>
                <w:sz w:val="18"/>
                <w:szCs w:val="18"/>
                <w:color w:val="auto"/>
              </w:rPr>
              <w:t>EXECUTIVE</w:t>
            </w:r>
          </w:p>
        </w:tc>
        <w:tc>
          <w:tcPr>
            <w:tcW w:w="3000" w:type="dxa"/>
            <w:vAlign w:val="bottom"/>
          </w:tcPr>
          <w:p>
            <w:pPr>
              <w:ind w:left="23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Hall</w:t>
            </w:r>
          </w:p>
        </w:tc>
      </w:tr>
      <w:tr>
        <w:trPr>
          <w:trHeight w:val="426"/>
        </w:trPr>
        <w:tc>
          <w:tcPr>
            <w:tcW w:w="3360" w:type="dxa"/>
            <w:vAlign w:val="bottom"/>
          </w:tcPr>
          <w:p>
            <w:pPr>
              <w:spacing w:after="0"/>
              <w:rPr>
                <w:sz w:val="24"/>
                <w:szCs w:val="24"/>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r>
      <w:tr>
        <w:trPr>
          <w:trHeight w:val="426"/>
        </w:trPr>
        <w:tc>
          <w:tcPr>
            <w:tcW w:w="3360" w:type="dxa"/>
            <w:vAlign w:val="bottom"/>
          </w:tcPr>
          <w:p>
            <w:pPr>
              <w:spacing w:after="0"/>
              <w:rPr>
                <w:sz w:val="24"/>
                <w:szCs w:val="24"/>
                <w:color w:val="auto"/>
              </w:rPr>
            </w:pPr>
          </w:p>
        </w:tc>
        <w:tc>
          <w:tcPr>
            <w:tcW w:w="3000" w:type="dxa"/>
            <w:vAlign w:val="bottom"/>
          </w:tcPr>
          <w:p>
            <w:pPr>
              <w:ind w:left="2360"/>
              <w:spacing w:after="0"/>
              <w:rPr>
                <w:sz w:val="20"/>
                <w:szCs w:val="20"/>
                <w:color w:val="auto"/>
              </w:rPr>
            </w:pPr>
            <w:r>
              <w:rPr>
                <w:rFonts w:ascii="Arial" w:cs="Arial" w:eastAsia="Arial" w:hAnsi="Arial"/>
                <w:sz w:val="18"/>
                <w:szCs w:val="18"/>
                <w:color w:val="auto"/>
              </w:rPr>
              <w:t>Date: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14, 2015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of the Amended and Restated Change of Control and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 OF CLAIMS</w:t>
      </w:r>
    </w:p>
    <w:p>
      <w:pPr>
        <w:spacing w:after="0" w:line="229"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This release of claims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by and between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Christopher Hall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The Company and Executive are sometimes collectively referred to herein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individually referred to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right="540" w:firstLine="7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signed a [Confidential Information and Invention Assignment Agreement] with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60" w:lineRule="exact"/>
        <w:rPr>
          <w:sz w:val="20"/>
          <w:szCs w:val="20"/>
          <w:color w:val="auto"/>
        </w:rPr>
      </w:pPr>
    </w:p>
    <w:p>
      <w:pPr>
        <w:sectPr>
          <w:pgSz w:w="11900" w:h="16838" w:orient="portrait"/>
          <w:cols w:equalWidth="0" w:num="2">
            <w:col w:w="10060" w:space="720"/>
            <w:col w:w="640"/>
          </w:cols>
          <w:pgMar w:left="240" w:top="125" w:right="239" w:bottom="0" w:gutter="0" w:footer="0" w:header="0"/>
          <w:type w:val="continuous"/>
        </w:sect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Executive signed an Amended and Restated Change of Control and Severance Agreement with the company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w:t>
      </w:r>
    </w:p>
    <w:p>
      <w:pPr>
        <w:spacing w:after="0" w:line="46" w:lineRule="exact"/>
        <w:rPr>
          <w:sz w:val="20"/>
          <w:szCs w:val="20"/>
          <w:color w:val="auto"/>
        </w:rPr>
      </w:pPr>
    </w:p>
    <w:p>
      <w:pPr>
        <w:sectPr>
          <w:pgSz w:w="11900" w:h="16838" w:orient="portrait"/>
          <w:cols w:equalWidth="0" w:num="2">
            <w:col w:w="10240" w:space="720"/>
            <w:col w:w="460"/>
          </w:cols>
          <w:pgMar w:left="240" w:top="125" w:right="239" w:bottom="0" w:gutter="0" w:footer="0" w:header="0"/>
          <w:type w:val="continuous"/>
        </w:sectPr>
      </w:pPr>
    </w:p>
    <w:p>
      <w:pPr>
        <w:ind w:right="46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Agreement</w:t>
      </w:r>
      <w:r>
        <w:rPr>
          <w:rFonts w:ascii="Arial" w:cs="Arial" w:eastAsia="Arial" w:hAnsi="Arial"/>
          <w:sz w:val="17"/>
          <w:szCs w:val="17"/>
          <w:color w:val="auto"/>
        </w:rPr>
        <w:t>”), which, among other things, provides for certain severance benefits to be paid to Executive by the Company upon the termination of Executive’s employment following a Change of Control (as defined in the Change of Control Agreement) of the Company;</w:t>
      </w:r>
    </w:p>
    <w:p>
      <w:pPr>
        <w:sectPr>
          <w:pgSz w:w="11900" w:h="16838" w:orient="portrait"/>
          <w:cols w:equalWidth="0" w:num="1">
            <w:col w:w="11420"/>
          </w:cols>
          <w:pgMar w:left="240" w:top="125" w:right="239" w:bottom="0" w:gutter="0" w:footer="0" w:header="0"/>
          <w:type w:val="continuous"/>
        </w:sectPr>
      </w:pPr>
    </w:p>
    <w:p>
      <w:pPr>
        <w:spacing w:after="0" w:line="158"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was employed by the Company until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w:t>
      </w:r>
    </w:p>
    <w:p>
      <w:pPr>
        <w:spacing w:after="0" w:line="460" w:lineRule="exact"/>
        <w:rPr>
          <w:sz w:val="20"/>
          <w:szCs w:val="20"/>
          <w:color w:val="auto"/>
        </w:rPr>
      </w:pPr>
    </w:p>
    <w:p>
      <w:pPr>
        <w:sectPr>
          <w:pgSz w:w="11900" w:h="16838" w:orient="portrait"/>
          <w:cols w:equalWidth="0" w:num="2">
            <w:col w:w="5840" w:space="720"/>
            <w:col w:w="4860"/>
          </w:cols>
          <w:pgMar w:left="240" w:top="125" w:right="239" w:bottom="0" w:gutter="0" w:footer="0" w:header="0"/>
          <w:type w:val="continuous"/>
        </w:sect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Section 4 of the Change of Control and Severance Agreement between the Company and Executive, Executive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enter into and not revoke a standard release of claims in favor of the Company as a condition to receiving the severance benefits described in the Change of Control Agreement; and</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resolve any and all disputes, claims, complaints, grievances, charges, actions, petitions and demands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including the mutual promises and covenants made herein,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 the Termination Date.</w:t>
      </w:r>
    </w:p>
    <w:p>
      <w:pPr>
        <w:sectPr>
          <w:pgSz w:w="11900" w:h="16838" w:orient="portrait"/>
          <w:cols w:equalWidth="0" w:num="1">
            <w:col w:w="11420"/>
          </w:cols>
          <w:pgMar w:left="240" w:top="125" w:right="239" w:bottom="0" w:gutter="0" w:footer="0" w:header="0"/>
          <w:type w:val="continuous"/>
        </w:sectPr>
      </w:pPr>
    </w:p>
    <w:bookmarkStart w:id="69" w:name="page70"/>
    <w:bookmarkEnd w:id="69"/>
    <w:p>
      <w:pPr>
        <w:spacing w:after="0" w:line="108" w:lineRule="exact"/>
        <w:rPr>
          <w:sz w:val="20"/>
          <w:szCs w:val="20"/>
          <w:color w:val="auto"/>
        </w:rPr>
      </w:pPr>
    </w:p>
    <w:p>
      <w:pPr>
        <w:ind w:right="460" w:firstLine="656"/>
        <w:spacing w:after="0" w:line="276" w:lineRule="auto"/>
        <w:tabs>
          <w:tab w:leader="none" w:pos="1296"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2" w:lineRule="exact"/>
        <w:rPr>
          <w:rFonts w:ascii="Arial" w:cs="Arial" w:eastAsia="Arial" w:hAnsi="Arial"/>
          <w:sz w:val="17"/>
          <w:szCs w:val="17"/>
          <w:color w:val="auto"/>
        </w:rPr>
      </w:pPr>
    </w:p>
    <w:p>
      <w:pPr>
        <w:ind w:right="200" w:firstLine="656"/>
        <w:spacing w:after="0" w:line="291" w:lineRule="auto"/>
        <w:tabs>
          <w:tab w:leader="none" w:pos="129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possess against any of the Releasees arising from any omissions, acts, facts, or damages that have occurred up until and including the Effective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 without limitation the following:</w:t>
      </w:r>
    </w:p>
    <w:p>
      <w:pPr>
        <w:spacing w:after="0" w:line="211" w:lineRule="exact"/>
        <w:rPr>
          <w:sz w:val="20"/>
          <w:szCs w:val="20"/>
          <w:color w:val="auto"/>
        </w:rPr>
      </w:pPr>
    </w:p>
    <w:p>
      <w:pPr>
        <w:ind w:left="1940" w:hanging="635"/>
        <w:spacing w:after="0"/>
        <w:tabs>
          <w:tab w:leader="none" w:pos="19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211" w:lineRule="exact"/>
        <w:rPr>
          <w:sz w:val="20"/>
          <w:szCs w:val="20"/>
          <w:color w:val="auto"/>
        </w:rPr>
      </w:pPr>
    </w:p>
    <w:p>
      <w:pPr>
        <w:ind w:right="80" w:firstLine="1305"/>
        <w:spacing w:after="0" w:line="264" w:lineRule="auto"/>
        <w:tabs>
          <w:tab w:leader="none" w:pos="19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18"/>
          <w:szCs w:val="18"/>
          <w:color w:val="auto"/>
        </w:rPr>
      </w:pPr>
    </w:p>
    <w:p>
      <w:pPr>
        <w:ind w:right="20" w:firstLine="1305"/>
        <w:spacing w:after="0" w:line="255" w:lineRule="auto"/>
        <w:tabs>
          <w:tab w:leader="none" w:pos="19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Act];(1)</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120" w:firstLine="1305"/>
        <w:spacing w:after="0" w:line="277" w:lineRule="auto"/>
        <w:tabs>
          <w:tab w:leader="none" w:pos="196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0" w:firstLine="8"/>
        <w:spacing w:after="0" w:line="342" w:lineRule="auto"/>
        <w:tabs>
          <w:tab w:leader="none" w:pos="3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90" w:lineRule="auto"/>
        <w:tabs>
          <w:tab w:leader="none" w:pos="129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b w:val="1"/>
          <w:bCs w:val="1"/>
          <w:i w:val="1"/>
          <w:iCs w:val="1"/>
          <w:color w:val="auto"/>
        </w:rPr>
        <w:t>prior</w:t>
      </w:r>
      <w:r>
        <w:rPr>
          <w:rFonts w:ascii="Arial" w:cs="Arial" w:eastAsia="Arial" w:hAnsi="Arial"/>
          <w:sz w:val="16"/>
          <w:szCs w:val="16"/>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w:t>
      </w:r>
    </w:p>
    <w:p>
      <w:pPr>
        <w:sectPr>
          <w:pgSz w:w="11900" w:h="16946" w:orient="portrait"/>
          <w:cols w:equalWidth="0" w:num="1">
            <w:col w:w="11420"/>
          </w:cols>
          <w:pgMar w:left="240" w:top="125" w:right="239" w:bottom="0" w:gutter="0" w:footer="0" w:header="0"/>
        </w:sectPr>
      </w:pPr>
    </w:p>
    <w:bookmarkStart w:id="70" w:name="page71"/>
    <w:bookmarkEnd w:id="70"/>
    <w:p>
      <w:pPr>
        <w:spacing w:after="0" w:line="279" w:lineRule="auto"/>
        <w:rPr>
          <w:sz w:val="20"/>
          <w:szCs w:val="20"/>
          <w:color w:val="auto"/>
        </w:rPr>
      </w:pPr>
      <w:r>
        <w:rPr>
          <w:rFonts w:ascii="Arial" w:cs="Arial" w:eastAsia="Arial" w:hAnsi="Arial"/>
          <w:sz w:val="17"/>
          <w:szCs w:val="17"/>
          <w:color w:val="auto"/>
        </w:rPr>
        <w:t>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71" w:lineRule="exact"/>
        <w:rPr>
          <w:sz w:val="20"/>
          <w:szCs w:val="20"/>
          <w:color w:val="auto"/>
        </w:rPr>
      </w:pPr>
    </w:p>
    <w:p>
      <w:pPr>
        <w:ind w:right="80" w:firstLine="656"/>
        <w:spacing w:after="0" w:line="342" w:lineRule="auto"/>
        <w:tabs>
          <w:tab w:leader="none" w:pos="129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24" w:lineRule="exact"/>
        <w:rPr>
          <w:sz w:val="20"/>
          <w:szCs w:val="20"/>
          <w:color w:val="auto"/>
        </w:rPr>
      </w:pPr>
    </w:p>
    <w:p>
      <w:pPr>
        <w:ind w:left="1300" w:right="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4" w:lineRule="exact"/>
        <w:rPr>
          <w:sz w:val="20"/>
          <w:szCs w:val="20"/>
          <w:color w:val="auto"/>
        </w:rPr>
      </w:pPr>
    </w:p>
    <w:p>
      <w:pPr>
        <w:ind w:right="60" w:firstLine="656"/>
        <w:spacing w:after="0" w:line="255" w:lineRule="auto"/>
        <w:tabs>
          <w:tab w:leader="none" w:pos="129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93" w:lineRule="exact"/>
        <w:rPr>
          <w:rFonts w:ascii="Arial" w:cs="Arial" w:eastAsia="Arial" w:hAnsi="Arial"/>
          <w:sz w:val="18"/>
          <w:szCs w:val="18"/>
          <w:color w:val="auto"/>
        </w:rPr>
      </w:pPr>
    </w:p>
    <w:p>
      <w:pPr>
        <w:ind w:right="80" w:firstLine="656"/>
        <w:spacing w:after="0" w:line="277" w:lineRule="auto"/>
        <w:tabs>
          <w:tab w:leader="none" w:pos="129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Sufficiency of Consideration</w:t>
      </w:r>
      <w:r>
        <w:rPr>
          <w:rFonts w:ascii="Arial" w:cs="Arial" w:eastAsia="Arial" w:hAnsi="Arial"/>
          <w:sz w:val="18"/>
          <w:szCs w:val="18"/>
          <w:color w:val="auto"/>
        </w:rPr>
        <w:t>. Executive hereby acknowledges and agrees that Executive has received good and sufficient consideration for every promise, duty, release, obligation, agreement and right contained in this Release.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00" w:hanging="292"/>
        <w:spacing w:after="0"/>
        <w:tabs>
          <w:tab w:leader="none" w:pos="3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29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93" w:lineRule="exact"/>
        <w:rPr>
          <w:rFonts w:ascii="Arial" w:cs="Arial" w:eastAsia="Arial" w:hAnsi="Arial"/>
          <w:sz w:val="18"/>
          <w:szCs w:val="18"/>
          <w:color w:val="auto"/>
        </w:rPr>
      </w:pPr>
    </w:p>
    <w:p>
      <w:pPr>
        <w:ind w:right="40" w:firstLine="656"/>
        <w:spacing w:after="0" w:line="291" w:lineRule="auto"/>
        <w:tabs>
          <w:tab w:leader="none" w:pos="1296"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7" w:lineRule="exact"/>
        <w:rPr>
          <w:rFonts w:ascii="Arial" w:cs="Arial" w:eastAsia="Arial" w:hAnsi="Arial"/>
          <w:sz w:val="16"/>
          <w:szCs w:val="16"/>
          <w:color w:val="auto"/>
        </w:rPr>
      </w:pPr>
    </w:p>
    <w:p>
      <w:pPr>
        <w:ind w:right="140" w:firstLine="656"/>
        <w:spacing w:after="0" w:line="293" w:lineRule="auto"/>
        <w:tabs>
          <w:tab w:leader="none" w:pos="129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4" w:lineRule="exact"/>
        <w:rPr>
          <w:rFonts w:ascii="Arial" w:cs="Arial" w:eastAsia="Arial" w:hAnsi="Arial"/>
          <w:sz w:val="16"/>
          <w:szCs w:val="16"/>
          <w:color w:val="auto"/>
        </w:rPr>
      </w:pPr>
    </w:p>
    <w:p>
      <w:pPr>
        <w:ind w:right="620" w:firstLine="656"/>
        <w:spacing w:after="0" w:line="277" w:lineRule="auto"/>
        <w:tabs>
          <w:tab w:leader="none" w:pos="128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0" w:lineRule="exact"/>
        <w:rPr>
          <w:rFonts w:ascii="Arial" w:cs="Arial" w:eastAsia="Arial" w:hAnsi="Arial"/>
          <w:sz w:val="18"/>
          <w:szCs w:val="18"/>
          <w:color w:val="auto"/>
        </w:rPr>
      </w:pPr>
    </w:p>
    <w:p>
      <w:pPr>
        <w:ind w:firstLine="656"/>
        <w:spacing w:after="0" w:line="259" w:lineRule="auto"/>
        <w:tabs>
          <w:tab w:leader="none" w:pos="129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6" w:lineRule="exact"/>
        <w:rPr>
          <w:rFonts w:ascii="Arial" w:cs="Arial" w:eastAsia="Arial" w:hAnsi="Arial"/>
          <w:sz w:val="18"/>
          <w:szCs w:val="18"/>
          <w:color w:val="auto"/>
        </w:rPr>
      </w:pPr>
    </w:p>
    <w:p>
      <w:pPr>
        <w:ind w:right="160" w:firstLine="656"/>
        <w:spacing w:after="0" w:line="259" w:lineRule="auto"/>
        <w:tabs>
          <w:tab w:leader="none" w:pos="129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Solicitation of Employees</w:t>
      </w:r>
      <w:r>
        <w:rPr>
          <w:rFonts w:ascii="Arial" w:cs="Arial" w:eastAsia="Arial" w:hAnsi="Arial"/>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ectPr>
          <w:pgSz w:w="11900" w:h="16838" w:orient="portrait"/>
          <w:cols w:equalWidth="0" w:num="1">
            <w:col w:w="11400"/>
          </w:cols>
          <w:pgMar w:left="240" w:top="125" w:right="259" w:bottom="0" w:gutter="0" w:footer="0" w:header="0"/>
        </w:sectPr>
      </w:pPr>
    </w:p>
    <w:bookmarkStart w:id="71" w:name="page72"/>
    <w:bookmarkEnd w:id="71"/>
    <w:p>
      <w:pPr>
        <w:spacing w:after="0" w:line="93"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attorneys’ fees and other fees incurred in connection with the preparation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260" w:firstLine="656"/>
        <w:spacing w:after="0" w:line="255" w:lineRule="auto"/>
        <w:tabs>
          <w:tab w:leader="none" w:pos="129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MAY GRANT INJUNCTIONS AND OTHER RELIEF IN SUCH DISPUTES. THE ARBITRATOR WILL ADMINISTER AND CONDUCT ANY ARBITRATION IN ACCORDANCE WITH CALIFORNIA LAW, INCLUDING THE CALIFORNIA CODE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GOVERN.(4)</w:t>
      </w:r>
    </w:p>
    <w:p>
      <w:pPr>
        <w:spacing w:after="0" w:line="185" w:lineRule="exact"/>
        <w:rPr>
          <w:sz w:val="20"/>
          <w:szCs w:val="20"/>
          <w:color w:val="auto"/>
        </w:rPr>
      </w:pPr>
    </w:p>
    <w:p>
      <w:pPr>
        <w:ind w:right="100" w:firstLine="656"/>
        <w:spacing w:after="0" w:line="257" w:lineRule="auto"/>
        <w:tabs>
          <w:tab w:leader="none" w:pos="12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8" w:lineRule="exact"/>
        <w:rPr>
          <w:rFonts w:ascii="Arial" w:cs="Arial" w:eastAsia="Arial" w:hAnsi="Arial"/>
          <w:sz w:val="18"/>
          <w:szCs w:val="18"/>
          <w:color w:val="auto"/>
        </w:rPr>
      </w:pPr>
    </w:p>
    <w:p>
      <w:pPr>
        <w:ind w:right="100" w:firstLine="656"/>
        <w:spacing w:after="0" w:line="264" w:lineRule="auto"/>
        <w:tabs>
          <w:tab w:leader="none" w:pos="12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right="80" w:firstLine="656"/>
        <w:spacing w:after="0" w:line="264" w:lineRule="auto"/>
        <w:tabs>
          <w:tab w:leader="none" w:pos="12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1" w:lineRule="exact"/>
        <w:rPr>
          <w:rFonts w:ascii="Arial" w:cs="Arial" w:eastAsia="Arial" w:hAnsi="Arial"/>
          <w:sz w:val="18"/>
          <w:szCs w:val="18"/>
          <w:color w:val="auto"/>
        </w:rPr>
      </w:pPr>
    </w:p>
    <w:p>
      <w:pPr>
        <w:ind w:firstLine="656"/>
        <w:spacing w:after="0" w:line="257" w:lineRule="auto"/>
        <w:tabs>
          <w:tab w:leader="none" w:pos="12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right="500" w:firstLine="656"/>
        <w:spacing w:after="0" w:line="277" w:lineRule="auto"/>
        <w:tabs>
          <w:tab w:leader="none" w:pos="12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 without regard for choice-of-law provisions. Executive consents to personal and exclusive jurisdiction and venue in the State of California.(5)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right="340" w:firstLine="8"/>
        <w:spacing w:after="0" w:line="258" w:lineRule="auto"/>
        <w:tabs>
          <w:tab w:leader="none" w:pos="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1" w:lineRule="exact"/>
        <w:rPr>
          <w:rFonts w:ascii="Arial" w:cs="Arial" w:eastAsia="Arial" w:hAnsi="Arial"/>
          <w:sz w:val="18"/>
          <w:szCs w:val="18"/>
          <w:color w:val="auto"/>
        </w:rPr>
      </w:pPr>
    </w:p>
    <w:p>
      <w:pPr>
        <w:ind w:right="340" w:firstLine="8"/>
        <w:spacing w:after="0" w:line="261" w:lineRule="auto"/>
        <w:tabs>
          <w:tab w:leader="none" w:pos="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1826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9" w:lineRule="auto"/>
        <w:tabs>
          <w:tab w:leader="none" w:pos="1292"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71" w:lineRule="exact"/>
        <w:rPr>
          <w:rFonts w:ascii="Arial" w:cs="Arial" w:eastAsia="Arial" w:hAnsi="Arial"/>
          <w:sz w:val="17"/>
          <w:szCs w:val="17"/>
          <w:color w:val="auto"/>
        </w:rPr>
      </w:pPr>
    </w:p>
    <w:p>
      <w:pPr>
        <w:ind w:right="340" w:firstLine="656"/>
        <w:spacing w:after="0" w:line="277" w:lineRule="auto"/>
        <w:tabs>
          <w:tab w:leader="none" w:pos="129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right="400" w:firstLine="656"/>
        <w:spacing w:after="0" w:line="264" w:lineRule="auto"/>
        <w:tabs>
          <w:tab w:leader="none" w:pos="129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ectPr>
          <w:pgSz w:w="11900" w:h="16931" w:orient="portrait"/>
          <w:cols w:equalWidth="0" w:num="1">
            <w:col w:w="11420"/>
          </w:cols>
          <w:pgMar w:left="240" w:top="125" w:right="239" w:bottom="0" w:gutter="0" w:footer="0" w:header="0"/>
        </w:sectPr>
      </w:pPr>
    </w:p>
    <w:bookmarkStart w:id="72" w:name="page73"/>
    <w:bookmarkEnd w:id="72"/>
    <w:p>
      <w:pPr>
        <w:ind w:left="1940" w:hanging="635"/>
        <w:spacing w:after="0"/>
        <w:tabs>
          <w:tab w:leader="none" w:pos="19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225" w:lineRule="exact"/>
        <w:rPr>
          <w:rFonts w:ascii="Arial" w:cs="Arial" w:eastAsia="Arial" w:hAnsi="Arial"/>
          <w:sz w:val="18"/>
          <w:szCs w:val="18"/>
          <w:color w:val="auto"/>
        </w:rPr>
      </w:pPr>
    </w:p>
    <w:p>
      <w:pPr>
        <w:ind w:left="1960" w:right="160" w:hanging="655"/>
        <w:spacing w:after="0" w:line="277" w:lineRule="auto"/>
        <w:tabs>
          <w:tab w:leader="none" w:pos="196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Executive has been represented in the preparation, negotiation, and execution of this Agreement by legal counsel of Executive’s own choice or has elected not to retain legal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00" w:hanging="292"/>
        <w:spacing w:after="0"/>
        <w:tabs>
          <w:tab w:leader="none" w:pos="3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under the age of 40 at the time Executive’s employment relationship is terminated.</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respective dates set forth below.</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4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CHRISTOPHER HALL, an individual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3" w:name="page74"/>
    <w:bookmarkEnd w:id="73"/>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AND SEVERANCE AGREEMENT</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This Amended and Restated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Julie Brooks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May 14,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0" w:firstLine="656"/>
        <w:spacing w:after="0" w:line="279" w:lineRule="auto"/>
        <w:tabs>
          <w:tab w:leader="none" w:pos="129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1"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40" w:firstLine="656"/>
        <w:spacing w:after="0" w:line="272" w:lineRule="auto"/>
        <w:tabs>
          <w:tab w:leader="none" w:pos="1296"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77" w:lineRule="exact"/>
        <w:rPr>
          <w:rFonts w:ascii="Arial" w:cs="Arial" w:eastAsia="Arial" w:hAnsi="Arial"/>
          <w:sz w:val="17"/>
          <w:szCs w:val="17"/>
          <w:color w:val="auto"/>
        </w:rPr>
      </w:pPr>
    </w:p>
    <w:p>
      <w:pPr>
        <w:ind w:right="20" w:firstLine="656"/>
        <w:spacing w:after="0" w:line="264" w:lineRule="auto"/>
        <w:tabs>
          <w:tab w:leader="none" w:pos="129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6" w:lineRule="auto"/>
        <w:tabs>
          <w:tab w:leader="none" w:pos="1942"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65" w:lineRule="exact"/>
        <w:rPr>
          <w:rFonts w:ascii="Arial" w:cs="Arial" w:eastAsia="Arial" w:hAnsi="Arial"/>
          <w:sz w:val="17"/>
          <w:szCs w:val="17"/>
          <w:color w:val="auto"/>
        </w:rPr>
      </w:pPr>
    </w:p>
    <w:p>
      <w:pPr>
        <w:ind w:right="340" w:firstLine="1953"/>
        <w:spacing w:after="0" w:line="277" w:lineRule="auto"/>
        <w:tabs>
          <w:tab w:leader="none" w:pos="2614" w:val="left"/>
        </w:tabs>
        <w:numPr>
          <w:ilvl w:val="2"/>
          <w:numId w:val="161"/>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right="140" w:firstLine="1953"/>
        <w:spacing w:after="0" w:line="264" w:lineRule="auto"/>
        <w:tabs>
          <w:tab w:leader="none" w:pos="2624" w:val="left"/>
        </w:tabs>
        <w:numPr>
          <w:ilvl w:val="2"/>
          <w:numId w:val="161"/>
        </w:numPr>
        <w:rPr>
          <w:rFonts w:ascii="Arial" w:cs="Arial" w:eastAsia="Arial" w:hAnsi="Arial"/>
          <w:sz w:val="18"/>
          <w:szCs w:val="18"/>
          <w:color w:val="auto"/>
        </w:rPr>
      </w:pPr>
      <w:r>
        <w:rPr>
          <w:rFonts w:ascii="Arial" w:cs="Arial" w:eastAsia="Arial" w:hAnsi="Arial"/>
          <w:sz w:val="18"/>
          <w:szCs w:val="18"/>
          <w:u w:val="single" w:color="auto"/>
          <w:color w:val="auto"/>
        </w:rPr>
        <w:t>Continuing Severance Payments</w:t>
      </w:r>
      <w:r>
        <w:rPr>
          <w:rFonts w:ascii="Arial" w:cs="Arial" w:eastAsia="Arial" w:hAnsi="Arial"/>
          <w:sz w:val="18"/>
          <w:szCs w:val="18"/>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53"/>
        <w:spacing w:after="0" w:line="286" w:lineRule="auto"/>
        <w:tabs>
          <w:tab w:leader="none" w:pos="2633"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1" w:lineRule="exact"/>
        <w:rPr>
          <w:rFonts w:ascii="Arial" w:cs="Arial" w:eastAsia="Arial" w:hAnsi="Arial"/>
          <w:sz w:val="16"/>
          <w:szCs w:val="16"/>
          <w:color w:val="auto"/>
        </w:rPr>
      </w:pPr>
    </w:p>
    <w:p>
      <w:pPr>
        <w:ind w:right="140" w:firstLine="1305"/>
        <w:spacing w:after="0" w:line="312" w:lineRule="auto"/>
        <w:tabs>
          <w:tab w:leader="none" w:pos="195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46" w:lineRule="exact"/>
        <w:rPr>
          <w:rFonts w:ascii="Arial" w:cs="Arial" w:eastAsia="Arial" w:hAnsi="Arial"/>
          <w:sz w:val="16"/>
          <w:szCs w:val="16"/>
          <w:color w:val="auto"/>
        </w:rPr>
      </w:pPr>
    </w:p>
    <w:p>
      <w:pPr>
        <w:ind w:right="340" w:firstLine="1953"/>
        <w:spacing w:after="0" w:line="277" w:lineRule="auto"/>
        <w:tabs>
          <w:tab w:leader="none" w:pos="2614"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ectPr>
          <w:pgSz w:w="11900" w:h="16861" w:orient="portrait"/>
          <w:cols w:equalWidth="0" w:num="1">
            <w:col w:w="11420"/>
          </w:cols>
          <w:pgMar w:left="240" w:top="121" w:right="239" w:bottom="0" w:gutter="0" w:footer="0" w:header="0"/>
        </w:sectPr>
      </w:pPr>
    </w:p>
    <w:bookmarkStart w:id="74" w:name="page75"/>
    <w:bookmarkEnd w:id="74"/>
    <w:p>
      <w:pPr>
        <w:ind w:left="2640" w:hanging="687"/>
        <w:spacing w:after="0"/>
        <w:tabs>
          <w:tab w:leader="none" w:pos="2640"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Executive will receive a lump-sum payment (less applicable withholding taxes) equal to the twelve</w:t>
      </w:r>
    </w:p>
    <w:p>
      <w:pPr>
        <w:spacing w:after="0" w:line="46" w:lineRule="exact"/>
        <w:rPr>
          <w:rFonts w:ascii="Arial" w:cs="Arial" w:eastAsia="Arial" w:hAnsi="Arial"/>
          <w:sz w:val="16"/>
          <w:szCs w:val="16"/>
          <w:color w:val="auto"/>
        </w:rPr>
      </w:pPr>
    </w:p>
    <w:p>
      <w:pPr>
        <w:ind w:right="160" w:firstLine="8"/>
        <w:spacing w:after="0" w:line="290" w:lineRule="auto"/>
        <w:tabs>
          <w:tab w:leader="none" w:pos="34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4" w:lineRule="exact"/>
        <w:rPr>
          <w:rFonts w:ascii="Arial" w:cs="Arial" w:eastAsia="Arial" w:hAnsi="Arial"/>
          <w:sz w:val="16"/>
          <w:szCs w:val="16"/>
          <w:color w:val="auto"/>
        </w:rPr>
      </w:pPr>
    </w:p>
    <w:p>
      <w:pPr>
        <w:ind w:left="2640" w:hanging="687"/>
        <w:spacing w:after="0"/>
        <w:tabs>
          <w:tab w:leader="none" w:pos="2640"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percent (100%) of the higher of</w:t>
      </w:r>
    </w:p>
    <w:p>
      <w:pPr>
        <w:spacing w:after="0" w:line="35" w:lineRule="exact"/>
        <w:rPr>
          <w:sz w:val="20"/>
          <w:szCs w:val="20"/>
          <w:color w:val="auto"/>
        </w:rPr>
      </w:pPr>
    </w:p>
    <w:p>
      <w:pPr>
        <w:jc w:val="both"/>
        <w:ind w:right="220" w:firstLine="8"/>
        <w:spacing w:after="0" w:line="292" w:lineRule="auto"/>
        <w:tabs>
          <w:tab w:leader="none" w:pos="2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2" w:lineRule="exact"/>
        <w:rPr>
          <w:rFonts w:ascii="Arial" w:cs="Arial" w:eastAsia="Arial" w:hAnsi="Arial"/>
          <w:sz w:val="16"/>
          <w:szCs w:val="16"/>
          <w:color w:val="auto"/>
        </w:rPr>
      </w:pPr>
    </w:p>
    <w:p>
      <w:pPr>
        <w:ind w:right="20" w:firstLine="1953"/>
        <w:spacing w:after="0" w:line="259" w:lineRule="auto"/>
        <w:tabs>
          <w:tab w:leader="none" w:pos="261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spacing w:after="0" w:line="3" w:lineRule="exact"/>
        <w:rPr>
          <w:sz w:val="20"/>
          <w:szCs w:val="20"/>
          <w:color w:val="auto"/>
        </w:rPr>
      </w:pPr>
    </w:p>
    <w:p>
      <w:pPr>
        <w:ind w:firstLine="8"/>
        <w:spacing w:after="0" w:line="255"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90" w:lineRule="exact"/>
        <w:rPr>
          <w:rFonts w:ascii="Arial" w:cs="Arial" w:eastAsia="Arial" w:hAnsi="Arial"/>
          <w:sz w:val="18"/>
          <w:szCs w:val="18"/>
          <w:color w:val="auto"/>
        </w:rPr>
      </w:pPr>
    </w:p>
    <w:p>
      <w:pPr>
        <w:ind w:right="360" w:firstLine="1953"/>
        <w:spacing w:after="0" w:line="279" w:lineRule="auto"/>
        <w:tabs>
          <w:tab w:leader="none" w:pos="2600" w:val="left"/>
        </w:tabs>
        <w:numPr>
          <w:ilvl w:val="3"/>
          <w:numId w:val="167"/>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1" w:lineRule="exact"/>
        <w:rPr>
          <w:rFonts w:ascii="Arial" w:cs="Arial" w:eastAsia="Arial" w:hAnsi="Arial"/>
          <w:sz w:val="17"/>
          <w:szCs w:val="17"/>
          <w:color w:val="auto"/>
        </w:rPr>
      </w:pPr>
    </w:p>
    <w:p>
      <w:pPr>
        <w:ind w:right="40" w:firstLine="1305"/>
        <w:spacing w:after="0" w:line="259" w:lineRule="auto"/>
        <w:tabs>
          <w:tab w:leader="none" w:pos="1955" w:val="left"/>
        </w:tabs>
        <w:numPr>
          <w:ilvl w:val="2"/>
          <w:numId w:val="167"/>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60" w:firstLine="1305"/>
        <w:spacing w:after="0" w:line="259" w:lineRule="auto"/>
        <w:tabs>
          <w:tab w:leader="none" w:pos="1952" w:val="left"/>
        </w:tabs>
        <w:numPr>
          <w:ilvl w:val="2"/>
          <w:numId w:val="167"/>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60" w:firstLine="1305"/>
        <w:spacing w:after="0" w:line="257" w:lineRule="auto"/>
        <w:tabs>
          <w:tab w:leader="none" w:pos="1955" w:val="left"/>
        </w:tabs>
        <w:numPr>
          <w:ilvl w:val="2"/>
          <w:numId w:val="167"/>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p>
    <w:p>
      <w:pPr>
        <w:spacing w:after="0" w:line="225" w:lineRule="exact"/>
        <w:rPr>
          <w:rFonts w:ascii="Arial" w:cs="Arial" w:eastAsia="Arial" w:hAnsi="Arial"/>
          <w:sz w:val="18"/>
          <w:szCs w:val="18"/>
          <w:color w:val="auto"/>
        </w:rPr>
      </w:pPr>
    </w:p>
    <w:p>
      <w:pPr>
        <w:ind w:right="20" w:firstLine="1305"/>
        <w:spacing w:after="0" w:line="255" w:lineRule="auto"/>
        <w:tabs>
          <w:tab w:leader="none" w:pos="1942" w:val="left"/>
        </w:tabs>
        <w:numPr>
          <w:ilvl w:val="2"/>
          <w:numId w:val="168"/>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93" w:lineRule="exact"/>
        <w:rPr>
          <w:rFonts w:ascii="Arial" w:cs="Arial" w:eastAsia="Arial" w:hAnsi="Arial"/>
          <w:sz w:val="18"/>
          <w:szCs w:val="18"/>
          <w:color w:val="auto"/>
        </w:rPr>
      </w:pPr>
    </w:p>
    <w:p>
      <w:pPr>
        <w:ind w:right="60" w:firstLine="1305"/>
        <w:spacing w:after="0" w:line="286" w:lineRule="auto"/>
        <w:tabs>
          <w:tab w:leader="none" w:pos="1952" w:val="left"/>
        </w:tabs>
        <w:numPr>
          <w:ilvl w:val="2"/>
          <w:numId w:val="168"/>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ConfidentialtyAgreement dated March 10, 2014, between the Company and Executive, as such agreement may be amended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75" w:name="page76"/>
    <w:bookmarkEnd w:id="75"/>
    <w:p>
      <w:pPr>
        <w:ind w:right="60" w:firstLine="1953"/>
        <w:spacing w:after="0" w:line="293" w:lineRule="auto"/>
        <w:tabs>
          <w:tab w:leader="none" w:pos="2614" w:val="left"/>
        </w:tabs>
        <w:numPr>
          <w:ilvl w:val="1"/>
          <w:numId w:val="17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4" w:lineRule="exact"/>
        <w:rPr>
          <w:rFonts w:ascii="Arial" w:cs="Arial" w:eastAsia="Arial" w:hAnsi="Arial"/>
          <w:sz w:val="16"/>
          <w:szCs w:val="16"/>
          <w:color w:val="auto"/>
        </w:rPr>
      </w:pPr>
    </w:p>
    <w:p>
      <w:pPr>
        <w:ind w:firstLine="1953"/>
        <w:spacing w:after="0" w:line="254" w:lineRule="auto"/>
        <w:tabs>
          <w:tab w:leader="none" w:pos="262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(60th)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w:t>
      </w:r>
    </w:p>
    <w:p>
      <w:pPr>
        <w:spacing w:after="0" w:line="192" w:lineRule="exact"/>
        <w:rPr>
          <w:rFonts w:ascii="Arial" w:cs="Arial" w:eastAsia="Arial" w:hAnsi="Arial"/>
          <w:sz w:val="18"/>
          <w:szCs w:val="18"/>
          <w:color w:val="auto"/>
        </w:rPr>
      </w:pPr>
    </w:p>
    <w:p>
      <w:pPr>
        <w:ind w:right="160" w:firstLine="1953"/>
        <w:spacing w:after="0" w:line="291" w:lineRule="auto"/>
        <w:tabs>
          <w:tab w:leader="none" w:pos="263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40" w:firstLine="8"/>
        <w:spacing w:after="0" w:line="270" w:lineRule="auto"/>
        <w:tabs>
          <w:tab w:leader="none" w:pos="25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8" w:lineRule="exact"/>
        <w:rPr>
          <w:rFonts w:ascii="Arial" w:cs="Arial" w:eastAsia="Arial" w:hAnsi="Arial"/>
          <w:sz w:val="17"/>
          <w:szCs w:val="17"/>
          <w:color w:val="auto"/>
        </w:rPr>
      </w:pPr>
    </w:p>
    <w:p>
      <w:pPr>
        <w:ind w:right="560" w:firstLine="1953"/>
        <w:spacing w:after="0" w:line="277" w:lineRule="auto"/>
        <w:tabs>
          <w:tab w:leader="none" w:pos="261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70" w:lineRule="exact"/>
        <w:rPr>
          <w:rFonts w:ascii="Arial" w:cs="Arial" w:eastAsia="Arial" w:hAnsi="Arial"/>
          <w:sz w:val="18"/>
          <w:szCs w:val="18"/>
          <w:color w:val="auto"/>
        </w:rPr>
      </w:pPr>
    </w:p>
    <w:p>
      <w:pPr>
        <w:ind w:firstLine="1953"/>
        <w:spacing w:after="0" w:line="264" w:lineRule="auto"/>
        <w:tabs>
          <w:tab w:leader="none" w:pos="26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1" w:lineRule="exact"/>
        <w:rPr>
          <w:rFonts w:ascii="Arial" w:cs="Arial" w:eastAsia="Arial" w:hAnsi="Arial"/>
          <w:sz w:val="18"/>
          <w:szCs w:val="18"/>
          <w:color w:val="auto"/>
        </w:rPr>
      </w:pPr>
    </w:p>
    <w:p>
      <w:pPr>
        <w:ind w:right="300" w:firstLine="1953"/>
        <w:spacing w:after="0" w:line="257" w:lineRule="auto"/>
        <w:tabs>
          <w:tab w:leader="none" w:pos="261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8" w:lineRule="exact"/>
        <w:rPr>
          <w:sz w:val="20"/>
          <w:szCs w:val="20"/>
          <w:color w:val="auto"/>
        </w:rPr>
      </w:pPr>
    </w:p>
    <w:p>
      <w:pPr>
        <w:ind w:right="100" w:firstLine="656"/>
        <w:spacing w:after="0" w:line="264"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right="20" w:firstLine="1305"/>
        <w:spacing w:after="0" w:line="284" w:lineRule="auto"/>
        <w:tabs>
          <w:tab w:leader="none" w:pos="1952" w:val="left"/>
        </w:tabs>
        <w:numPr>
          <w:ilvl w:val="1"/>
          <w:numId w:val="174"/>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w:t>
      </w:r>
    </w:p>
    <w:p>
      <w:pPr>
        <w:spacing w:after="0" w:line="4" w:lineRule="exact"/>
        <w:rPr>
          <w:rFonts w:ascii="Arial" w:cs="Arial" w:eastAsia="Arial" w:hAnsi="Arial"/>
          <w:sz w:val="16"/>
          <w:szCs w:val="16"/>
          <w:color w:val="auto"/>
        </w:rPr>
      </w:pPr>
    </w:p>
    <w:p>
      <w:pPr>
        <w:ind w:right="60" w:firstLine="8"/>
        <w:spacing w:after="0" w:line="261" w:lineRule="auto"/>
        <w:tabs>
          <w:tab w:leader="none" w:pos="3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reduction of employee benefits. In the event that acceleration of vesting of equity award compensation is to be reduced, such acceleration of vesting will be cancelled in the reverse order of the date of grant of Executive’s equity awards.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mean:</w:t>
      </w:r>
    </w:p>
    <w:p>
      <w:pPr>
        <w:spacing w:after="0" w:line="225" w:lineRule="exact"/>
        <w:rPr>
          <w:rFonts w:ascii="Arial" w:cs="Arial" w:eastAsia="Arial" w:hAnsi="Arial"/>
          <w:sz w:val="18"/>
          <w:szCs w:val="18"/>
          <w:color w:val="auto"/>
        </w:rPr>
      </w:pPr>
    </w:p>
    <w:p>
      <w:pPr>
        <w:ind w:left="2620" w:hanging="538"/>
        <w:spacing w:after="0"/>
        <w:tabs>
          <w:tab w:leader="none" w:pos="262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The willful or grossly negligent failure of the Executive to substantially perform his or her duties as an employee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2620" w:hanging="538"/>
        <w:spacing w:after="0"/>
        <w:tabs>
          <w:tab w:leader="none" w:pos="262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Executive’s commission of a gross misconduct which is injurious to the Company;</w:t>
      </w:r>
    </w:p>
    <w:p>
      <w:pPr>
        <w:spacing w:after="0" w:line="225" w:lineRule="exact"/>
        <w:rPr>
          <w:rFonts w:ascii="Arial" w:cs="Arial" w:eastAsia="Arial" w:hAnsi="Arial"/>
          <w:sz w:val="18"/>
          <w:szCs w:val="18"/>
          <w:color w:val="auto"/>
        </w:rPr>
      </w:pPr>
    </w:p>
    <w:p>
      <w:pPr>
        <w:ind w:left="2640" w:hanging="558"/>
        <w:spacing w:after="0"/>
        <w:tabs>
          <w:tab w:leader="none" w:pos="264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Executive’s breach of a material provision of any agreement between Executive and the Company;</w:t>
      </w:r>
    </w:p>
    <w:p>
      <w:pPr>
        <w:sectPr>
          <w:pgSz w:w="11900" w:h="16838" w:orient="portrait"/>
          <w:cols w:equalWidth="0" w:num="1">
            <w:col w:w="11400"/>
          </w:cols>
          <w:pgMar w:left="240" w:top="125" w:right="259" w:bottom="0" w:gutter="0" w:footer="0" w:header="0"/>
        </w:sectPr>
      </w:pPr>
    </w:p>
    <w:bookmarkStart w:id="76" w:name="page77"/>
    <w:bookmarkEnd w:id="76"/>
    <w:p>
      <w:pPr>
        <w:spacing w:after="0" w:line="90" w:lineRule="exact"/>
        <w:rPr>
          <w:sz w:val="20"/>
          <w:szCs w:val="20"/>
          <w:color w:val="auto"/>
        </w:rPr>
      </w:pPr>
    </w:p>
    <w:p>
      <w:pPr>
        <w:ind w:left="2620" w:hanging="538"/>
        <w:spacing w:after="0"/>
        <w:tabs>
          <w:tab w:leader="none" w:pos="2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Executive’s material and willful violation of a federal or state law or regulation applicable to the business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2600" w:hanging="503"/>
        <w:spacing w:after="0"/>
        <w:tabs>
          <w:tab w:leader="none" w:pos="26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or</w:t>
      </w:r>
    </w:p>
    <w:p>
      <w:pPr>
        <w:spacing w:after="0" w:line="211" w:lineRule="exact"/>
        <w:rPr>
          <w:sz w:val="20"/>
          <w:szCs w:val="20"/>
          <w:color w:val="auto"/>
        </w:rPr>
      </w:pPr>
    </w:p>
    <w:p>
      <w:pPr>
        <w:ind w:right="220" w:firstLine="2082"/>
        <w:spacing w:after="0" w:line="277" w:lineRule="auto"/>
        <w:tabs>
          <w:tab w:leader="none" w:pos="26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66" w:lineRule="exact"/>
        <w:rPr>
          <w:sz w:val="20"/>
          <w:szCs w:val="20"/>
          <w:color w:val="auto"/>
        </w:rPr>
      </w:pPr>
    </w:p>
    <w:p>
      <w:pPr>
        <w:ind w:left="1960" w:hanging="655"/>
        <w:spacing w:after="0"/>
        <w:tabs>
          <w:tab w:leader="none" w:pos="19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60" w:firstLine="2082"/>
        <w:spacing w:after="0" w:line="257" w:lineRule="auto"/>
        <w:tabs>
          <w:tab w:leader="none" w:pos="260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8" w:lineRule="exact"/>
        <w:rPr>
          <w:rFonts w:ascii="Arial" w:cs="Arial" w:eastAsia="Arial" w:hAnsi="Arial"/>
          <w:sz w:val="18"/>
          <w:szCs w:val="18"/>
          <w:color w:val="auto"/>
        </w:rPr>
      </w:pPr>
    </w:p>
    <w:p>
      <w:pPr>
        <w:ind w:right="80" w:firstLine="2082"/>
        <w:spacing w:after="0" w:line="279" w:lineRule="auto"/>
        <w:tabs>
          <w:tab w:leader="none" w:pos="261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1" w:lineRule="exact"/>
        <w:rPr>
          <w:rFonts w:ascii="Arial" w:cs="Arial" w:eastAsia="Arial" w:hAnsi="Arial"/>
          <w:sz w:val="17"/>
          <w:szCs w:val="17"/>
          <w:color w:val="auto"/>
        </w:rPr>
      </w:pPr>
    </w:p>
    <w:p>
      <w:pPr>
        <w:ind w:firstLine="2082"/>
        <w:spacing w:after="0" w:line="287" w:lineRule="auto"/>
        <w:tabs>
          <w:tab w:leader="none" w:pos="262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160" w:firstLine="207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40" w:firstLine="2089"/>
        <w:spacing w:after="0" w:line="286"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right="480" w:firstLine="1305"/>
        <w:spacing w:after="0" w:line="277" w:lineRule="auto"/>
        <w:tabs>
          <w:tab w:leader="none" w:pos="195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Change of Control Period</w:t>
      </w:r>
      <w:r>
        <w:rPr>
          <w:rFonts w:ascii="Arial" w:cs="Arial" w:eastAsia="Arial" w:hAnsi="Arial"/>
          <w:sz w:val="18"/>
          <w:szCs w:val="18"/>
          <w:color w:val="auto"/>
        </w:rPr>
        <w:t>. “</w:t>
      </w:r>
      <w:r>
        <w:rPr>
          <w:rFonts w:ascii="Arial" w:cs="Arial" w:eastAsia="Arial" w:hAnsi="Arial"/>
          <w:sz w:val="18"/>
          <w:szCs w:val="18"/>
          <w:b w:val="1"/>
          <w:bCs w:val="1"/>
          <w:i w:val="1"/>
          <w:iCs w:val="1"/>
          <w:color w:val="auto"/>
        </w:rPr>
        <w:t>Change of Control Period</w:t>
      </w:r>
      <w:r>
        <w:rPr>
          <w:rFonts w:ascii="Arial" w:cs="Arial" w:eastAsia="Arial" w:hAnsi="Arial"/>
          <w:sz w:val="18"/>
          <w:szCs w:val="18"/>
          <w:color w:val="auto"/>
        </w:rPr>
        <w:t>” will mean the period beginning two (2) months prior to, and ending twelve (12) months following, a Change of Control.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will mean the Internal Revenue Code of 1986,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1305"/>
        <w:spacing w:after="0" w:line="288" w:lineRule="auto"/>
        <w:tabs>
          <w:tab w:leader="none" w:pos="1955"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w:t>
      </w: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55" w:lineRule="exact"/>
        <w:rPr>
          <w:rFonts w:ascii="Arial" w:cs="Arial" w:eastAsia="Arial" w:hAnsi="Arial"/>
          <w:sz w:val="16"/>
          <w:szCs w:val="16"/>
          <w:color w:val="auto"/>
        </w:rPr>
      </w:pPr>
    </w:p>
    <w:p>
      <w:pPr>
        <w:ind w:firstLine="1305"/>
        <w:spacing w:after="0" w:line="277" w:lineRule="auto"/>
        <w:tabs>
          <w:tab w:leader="none" w:pos="1949"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will mean Executive’s outstanding stock options, stock appreciation rights, restricted stock units, performance shares, performance stock units and any other Company equity compensation awards.</w:t>
      </w:r>
    </w:p>
    <w:p>
      <w:pPr>
        <w:sectPr>
          <w:pgSz w:w="11900" w:h="16929" w:orient="portrait"/>
          <w:cols w:equalWidth="0" w:num="1">
            <w:col w:w="11420"/>
          </w:cols>
          <w:pgMar w:left="240" w:top="341" w:right="239" w:bottom="0" w:gutter="0" w:footer="0" w:header="0"/>
        </w:sectPr>
      </w:pPr>
    </w:p>
    <w:bookmarkStart w:id="77" w:name="page78"/>
    <w:bookmarkEnd w:id="77"/>
    <w:p>
      <w:pPr>
        <w:ind w:right="160" w:firstLine="1305"/>
        <w:spacing w:after="0" w:line="308" w:lineRule="auto"/>
        <w:tabs>
          <w:tab w:leader="none" w:pos="196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46" w:lineRule="exact"/>
        <w:rPr>
          <w:rFonts w:ascii="Arial" w:cs="Arial" w:eastAsia="Arial" w:hAnsi="Arial"/>
          <w:sz w:val="17"/>
          <w:szCs w:val="17"/>
          <w:color w:val="auto"/>
        </w:rPr>
      </w:pPr>
    </w:p>
    <w:p>
      <w:pPr>
        <w:ind w:right="20" w:firstLine="2082"/>
        <w:spacing w:after="0" w:line="312" w:lineRule="auto"/>
        <w:tabs>
          <w:tab w:leader="none" w:pos="260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46" w:lineRule="exact"/>
        <w:rPr>
          <w:rFonts w:ascii="Arial" w:cs="Arial" w:eastAsia="Arial" w:hAnsi="Arial"/>
          <w:sz w:val="16"/>
          <w:szCs w:val="16"/>
          <w:color w:val="auto"/>
        </w:rPr>
      </w:pPr>
    </w:p>
    <w:p>
      <w:pPr>
        <w:ind w:firstLine="2082"/>
        <w:spacing w:after="0" w:line="277" w:lineRule="auto"/>
        <w:tabs>
          <w:tab w:leader="none" w:pos="261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70" w:lineRule="exact"/>
        <w:rPr>
          <w:rFonts w:ascii="Arial" w:cs="Arial" w:eastAsia="Arial" w:hAnsi="Arial"/>
          <w:sz w:val="18"/>
          <w:szCs w:val="18"/>
          <w:color w:val="auto"/>
        </w:rPr>
      </w:pPr>
    </w:p>
    <w:p>
      <w:pPr>
        <w:ind w:right="180" w:firstLine="2082"/>
        <w:spacing w:after="0" w:line="312" w:lineRule="auto"/>
        <w:tabs>
          <w:tab w:leader="none" w:pos="2628" w:val="left"/>
        </w:tabs>
        <w:numPr>
          <w:ilvl w:val="1"/>
          <w:numId w:val="183"/>
        </w:numPr>
        <w:rPr>
          <w:rFonts w:ascii="Arial" w:cs="Arial" w:eastAsia="Arial" w:hAnsi="Arial"/>
          <w:sz w:val="16"/>
          <w:szCs w:val="16"/>
          <w:color w:val="auto"/>
        </w:rPr>
      </w:pPr>
      <w:r>
        <w:rPr>
          <w:rFonts w:ascii="Arial" w:cs="Arial" w:eastAsia="Arial" w:hAnsi="Arial"/>
          <w:sz w:val="16"/>
          <w:szCs w:val="16"/>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46" w:lineRule="exact"/>
        <w:rPr>
          <w:rFonts w:ascii="Arial" w:cs="Arial" w:eastAsia="Arial" w:hAnsi="Arial"/>
          <w:sz w:val="16"/>
          <w:szCs w:val="16"/>
          <w:color w:val="auto"/>
        </w:rPr>
      </w:pPr>
    </w:p>
    <w:p>
      <w:pPr>
        <w:ind w:left="2620" w:hanging="538"/>
        <w:spacing w:after="0"/>
        <w:tabs>
          <w:tab w:leader="none" w:pos="26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fifty (50) miles.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ind w:right="160" w:firstLine="1305"/>
        <w:spacing w:after="0" w:line="286" w:lineRule="auto"/>
        <w:tabs>
          <w:tab w:leader="none" w:pos="1952"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Section 409A Limit</w:t>
      </w:r>
      <w:r>
        <w:rPr>
          <w:rFonts w:ascii="Arial" w:cs="Arial" w:eastAsia="Arial" w:hAnsi="Arial"/>
          <w:sz w:val="16"/>
          <w:szCs w:val="16"/>
          <w:color w:val="auto"/>
        </w:rPr>
        <w:t>. “</w:t>
      </w:r>
      <w:r>
        <w:rPr>
          <w:rFonts w:ascii="Arial" w:cs="Arial" w:eastAsia="Arial" w:hAnsi="Arial"/>
          <w:sz w:val="16"/>
          <w:szCs w:val="16"/>
          <w:b w:val="1"/>
          <w:bCs w:val="1"/>
          <w:i w:val="1"/>
          <w:iCs w:val="1"/>
          <w:color w:val="auto"/>
        </w:rPr>
        <w:t>Section 409A Limit</w:t>
      </w:r>
      <w:r>
        <w:rPr>
          <w:rFonts w:ascii="Arial" w:cs="Arial" w:eastAsia="Arial" w:hAnsi="Arial"/>
          <w:sz w:val="16"/>
          <w:szCs w:val="16"/>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of the Code for the year in which Executive’s employment is terminated.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942"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3" w:lineRule="exact"/>
        <w:rPr>
          <w:rFonts w:ascii="Arial" w:cs="Arial" w:eastAsia="Arial" w:hAnsi="Arial"/>
          <w:sz w:val="18"/>
          <w:szCs w:val="18"/>
          <w:color w:val="auto"/>
        </w:rPr>
      </w:pPr>
    </w:p>
    <w:p>
      <w:pPr>
        <w:ind w:right="380" w:firstLine="1305"/>
        <w:spacing w:after="0" w:line="342" w:lineRule="auto"/>
        <w:tabs>
          <w:tab w:leader="none" w:pos="1952"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5" w:lineRule="auto"/>
        <w:tabs>
          <w:tab w:leader="none" w:pos="1942"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9" w:lineRule="exact"/>
        <w:rPr>
          <w:rFonts w:ascii="Arial" w:cs="Arial" w:eastAsia="Arial" w:hAnsi="Arial"/>
          <w:sz w:val="18"/>
          <w:szCs w:val="18"/>
          <w:color w:val="auto"/>
        </w:rPr>
      </w:pPr>
    </w:p>
    <w:p>
      <w:pPr>
        <w:ind w:right="120" w:firstLine="1305"/>
        <w:spacing w:after="0" w:line="302" w:lineRule="auto"/>
        <w:tabs>
          <w:tab w:leader="none" w:pos="1952"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4" w:lineRule="exact"/>
        <w:rPr>
          <w:rFonts w:ascii="Arial" w:cs="Arial" w:eastAsia="Arial" w:hAnsi="Arial"/>
          <w:sz w:val="16"/>
          <w:szCs w:val="16"/>
          <w:color w:val="auto"/>
        </w:rPr>
      </w:pPr>
    </w:p>
    <w:p>
      <w:pPr>
        <w:ind w:right="160" w:firstLine="656"/>
        <w:spacing w:after="0" w:line="286" w:lineRule="auto"/>
        <w:tabs>
          <w:tab w:leader="none" w:pos="129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Resignation</w:t>
      </w:r>
      <w:r>
        <w:rPr>
          <w:rFonts w:ascii="Arial" w:cs="Arial" w:eastAsia="Arial" w:hAnsi="Arial"/>
          <w:sz w:val="17"/>
          <w:szCs w:val="17"/>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60" w:firstLine="1305"/>
        <w:spacing w:after="0" w:line="273" w:lineRule="auto"/>
        <w:tabs>
          <w:tab w:leader="none" w:pos="1942"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ectPr>
          <w:pgSz w:w="11900" w:h="16838" w:orient="portrait"/>
          <w:cols w:equalWidth="0" w:num="1">
            <w:col w:w="11420"/>
          </w:cols>
          <w:pgMar w:left="240" w:top="341" w:right="239" w:bottom="0" w:gutter="0" w:footer="0" w:header="0"/>
        </w:sectPr>
      </w:pPr>
    </w:p>
    <w:bookmarkStart w:id="78" w:name="page79"/>
    <w:bookmarkEnd w:id="78"/>
    <w:p>
      <w:pPr>
        <w:ind w:right="80" w:firstLine="1305"/>
        <w:spacing w:after="0" w:line="258" w:lineRule="auto"/>
        <w:tabs>
          <w:tab w:leader="none" w:pos="195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Disputes that Executive agrees to arbitrate, and thereby agrees to waive any right to a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include any statutory claims under local, state, or federal law</w:t>
      </w:r>
      <w:r>
        <w:rPr>
          <w:rFonts w:ascii="Arial" w:cs="Arial" w:eastAsia="Arial" w:hAnsi="Arial"/>
          <w:sz w:val="18"/>
          <w:szCs w:val="18"/>
          <w:color w:val="auto"/>
        </w:rPr>
        <w:t>, including, but not limited to, claims under Title VII of the Civil Rights Act of 1964, the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harassment, discrimination, and wrongful termination, and any statutory or common law claims. Executive further understands that this Agreement to arbitrate also applies to any disputes that the Company may have with Executive.</w:t>
      </w:r>
    </w:p>
    <w:p>
      <w:pPr>
        <w:spacing w:after="0" w:line="170" w:lineRule="exact"/>
        <w:rPr>
          <w:sz w:val="20"/>
          <w:szCs w:val="20"/>
          <w:color w:val="auto"/>
        </w:rPr>
      </w:pPr>
    </w:p>
    <w:p>
      <w:pPr>
        <w:ind w:firstLine="1359"/>
        <w:spacing w:after="0" w:line="269" w:lineRule="auto"/>
        <w:tabs>
          <w:tab w:leader="none" w:pos="1955" w:val="left"/>
        </w:tabs>
        <w:numPr>
          <w:ilvl w:val="2"/>
          <w:numId w:val="188"/>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2" w:lineRule="exact"/>
        <w:rPr>
          <w:rFonts w:ascii="Arial" w:cs="Arial" w:eastAsia="Arial" w:hAnsi="Arial"/>
          <w:sz w:val="17"/>
          <w:szCs w:val="17"/>
          <w:color w:val="auto"/>
        </w:rPr>
      </w:pPr>
    </w:p>
    <w:p>
      <w:pPr>
        <w:ind w:right="40" w:firstLine="1305"/>
        <w:spacing w:after="0" w:line="257" w:lineRule="auto"/>
        <w:tabs>
          <w:tab w:leader="none" w:pos="1952"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xml:space="preserve">. Except as provided by the Act, arbitration will be the sole, exclusive, and final remedy for any dispute between Executive and the Company. </w:t>
      </w:r>
      <w:r>
        <w:rPr>
          <w:rFonts w:ascii="Arial" w:cs="Arial" w:eastAsia="Arial" w:hAnsi="Arial"/>
          <w:sz w:val="18"/>
          <w:szCs w:val="18"/>
          <w:b w:val="1"/>
          <w:bCs w:val="1"/>
          <w:color w:val="auto"/>
        </w:rPr>
        <w:t>Accordingly, except as provided by the Act and this Agreement, neither Executive nor the Company will be permitted to</w:t>
      </w:r>
      <w:r>
        <w:rPr>
          <w:rFonts w:ascii="Arial" w:cs="Arial" w:eastAsia="Arial" w:hAnsi="Arial"/>
          <w:sz w:val="18"/>
          <w:szCs w:val="18"/>
          <w:color w:val="auto"/>
        </w:rPr>
        <w:t xml:space="preserve"> </w:t>
      </w:r>
      <w:r>
        <w:rPr>
          <w:rFonts w:ascii="Arial" w:cs="Arial" w:eastAsia="Arial" w:hAnsi="Arial"/>
          <w:sz w:val="18"/>
          <w:szCs w:val="18"/>
          <w:b w:val="1"/>
          <w:bCs w:val="1"/>
          <w:color w:val="auto"/>
        </w:rPr>
        <w:t>pursue court action regarding claims that are subject to arbitration</w:t>
      </w:r>
      <w:r>
        <w:rPr>
          <w:rFonts w:ascii="Arial" w:cs="Arial" w:eastAsia="Arial" w:hAnsi="Arial"/>
          <w:sz w:val="18"/>
          <w:szCs w:val="18"/>
          <w:color w:val="auto"/>
        </w:rPr>
        <w:t>. Notwithstanding, the arbitrator will not have the authority to disregard or refuse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any lawful Company policy, and the arbitrator will not order or require the Company to adopt a policy not otherwise required by law which the Company has not adopted.</w:t>
      </w:r>
    </w:p>
    <w:p>
      <w:pPr>
        <w:spacing w:after="0" w:line="188" w:lineRule="exact"/>
        <w:rPr>
          <w:rFonts w:ascii="Arial" w:cs="Arial" w:eastAsia="Arial" w:hAnsi="Arial"/>
          <w:sz w:val="18"/>
          <w:szCs w:val="18"/>
          <w:color w:val="auto"/>
        </w:rPr>
      </w:pPr>
    </w:p>
    <w:p>
      <w:pPr>
        <w:ind w:right="600" w:firstLine="1305"/>
        <w:spacing w:after="0" w:line="279" w:lineRule="auto"/>
        <w:tabs>
          <w:tab w:leader="none" w:pos="1955"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1" w:lineRule="exact"/>
        <w:rPr>
          <w:rFonts w:ascii="Arial" w:cs="Arial" w:eastAsia="Arial" w:hAnsi="Arial"/>
          <w:sz w:val="17"/>
          <w:szCs w:val="17"/>
          <w:color w:val="auto"/>
        </w:rPr>
      </w:pPr>
    </w:p>
    <w:p>
      <w:pPr>
        <w:ind w:right="80" w:firstLine="1305"/>
        <w:spacing w:after="0" w:line="276" w:lineRule="auto"/>
        <w:tabs>
          <w:tab w:leader="none" w:pos="1949"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42"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70" w:lineRule="exact"/>
        <w:rPr>
          <w:rFonts w:ascii="Arial" w:cs="Arial" w:eastAsia="Arial" w:hAnsi="Arial"/>
          <w:sz w:val="18"/>
          <w:szCs w:val="18"/>
          <w:color w:val="auto"/>
        </w:rPr>
      </w:pPr>
    </w:p>
    <w:p>
      <w:pPr>
        <w:ind w:firstLine="1305"/>
        <w:spacing w:after="0" w:line="259" w:lineRule="auto"/>
        <w:tabs>
          <w:tab w:leader="none" w:pos="1952"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7" w:lineRule="auto"/>
        <w:tabs>
          <w:tab w:leader="none" w:pos="19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original Change of Control and Severance Agreement dated March 10, 2014. No waiver, alteration, or modification of any of the provisions of this Agreement will be binding unless in writing and signed by duly authorized representatives of the parties hereto and which specifically mention this Agreement.</w:t>
      </w:r>
    </w:p>
    <w:p>
      <w:pPr>
        <w:spacing w:after="0" w:line="188" w:lineRule="exact"/>
        <w:rPr>
          <w:rFonts w:ascii="Arial" w:cs="Arial" w:eastAsia="Arial" w:hAnsi="Arial"/>
          <w:sz w:val="18"/>
          <w:szCs w:val="18"/>
          <w:color w:val="auto"/>
        </w:rPr>
      </w:pPr>
    </w:p>
    <w:p>
      <w:pPr>
        <w:ind w:right="160" w:firstLine="1305"/>
        <w:spacing w:after="0" w:line="302" w:lineRule="auto"/>
        <w:tabs>
          <w:tab w:leader="none" w:pos="1955"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4" w:lineRule="exact"/>
        <w:rPr>
          <w:rFonts w:ascii="Arial" w:cs="Arial" w:eastAsia="Arial" w:hAnsi="Arial"/>
          <w:sz w:val="16"/>
          <w:szCs w:val="16"/>
          <w:color w:val="auto"/>
        </w:rPr>
      </w:pPr>
    </w:p>
    <w:p>
      <w:pPr>
        <w:ind w:right="360" w:firstLine="1305"/>
        <w:spacing w:after="0" w:line="277" w:lineRule="auto"/>
        <w:tabs>
          <w:tab w:leader="none" w:pos="1949"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other taxes.</w:t>
      </w:r>
    </w:p>
    <w:p>
      <w:pPr>
        <w:sectPr>
          <w:pgSz w:w="11900" w:h="16838" w:orient="portrait"/>
          <w:cols w:equalWidth="0" w:num="1">
            <w:col w:w="11420"/>
          </w:cols>
          <w:pgMar w:left="240" w:top="121" w:right="239" w:bottom="0" w:gutter="0" w:footer="0" w:header="0"/>
        </w:sectPr>
      </w:pPr>
    </w:p>
    <w:bookmarkStart w:id="79" w:name="page80"/>
    <w:bookmarkEnd w:id="79"/>
    <w:p>
      <w:pPr>
        <w:ind w:right="560" w:firstLine="1305"/>
        <w:spacing w:after="0" w:line="277" w:lineRule="auto"/>
        <w:tabs>
          <w:tab w:leader="none" w:pos="195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COMPANY</w:t>
            </w:r>
          </w:p>
        </w:tc>
        <w:tc>
          <w:tcPr>
            <w:tcW w:w="8060" w:type="dxa"/>
            <w:vAlign w:val="bottom"/>
            <w:gridSpan w:val="2"/>
          </w:tcPr>
          <w:p>
            <w:pPr>
              <w:ind w:left="2360"/>
              <w:spacing w:after="0"/>
              <w:rPr>
                <w:sz w:val="20"/>
                <w:szCs w:val="20"/>
                <w:color w:val="auto"/>
              </w:rPr>
            </w:pPr>
            <w:r>
              <w:rPr>
                <w:rFonts w:ascii="Arial" w:cs="Arial" w:eastAsia="Arial" w:hAnsi="Arial"/>
                <w:sz w:val="18"/>
                <w:szCs w:val="18"/>
                <w:color w:val="auto"/>
              </w:rPr>
              <w:t>VERACYTE, INC.</w:t>
            </w:r>
          </w:p>
        </w:tc>
      </w:tr>
      <w:tr>
        <w:trPr>
          <w:trHeight w:val="432"/>
        </w:trPr>
        <w:tc>
          <w:tcPr>
            <w:tcW w:w="3360" w:type="dxa"/>
            <w:vAlign w:val="bottom"/>
          </w:tcPr>
          <w:p>
            <w:pPr>
              <w:spacing w:after="0"/>
              <w:rPr>
                <w:sz w:val="24"/>
                <w:szCs w:val="24"/>
                <w:color w:val="auto"/>
              </w:rPr>
            </w:pPr>
          </w:p>
        </w:tc>
        <w:tc>
          <w:tcPr>
            <w:tcW w:w="2960" w:type="dxa"/>
            <w:vAlign w:val="bottom"/>
          </w:tcPr>
          <w:p>
            <w:pPr>
              <w:ind w:left="23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Anderson</w:t>
            </w:r>
          </w:p>
        </w:tc>
      </w:tr>
      <w:tr>
        <w:trPr>
          <w:trHeight w:val="426"/>
        </w:trPr>
        <w:tc>
          <w:tcPr>
            <w:tcW w:w="3360" w:type="dxa"/>
            <w:vAlign w:val="bottom"/>
          </w:tcPr>
          <w:p>
            <w:pPr>
              <w:spacing w:after="0"/>
              <w:rPr>
                <w:sz w:val="24"/>
                <w:szCs w:val="24"/>
                <w:color w:val="auto"/>
              </w:rPr>
            </w:pPr>
          </w:p>
        </w:tc>
        <w:tc>
          <w:tcPr>
            <w:tcW w:w="2960" w:type="dxa"/>
            <w:vAlign w:val="bottom"/>
          </w:tcPr>
          <w:p>
            <w:pPr>
              <w:ind w:left="2360"/>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r>
        <w:trPr>
          <w:trHeight w:val="426"/>
        </w:trPr>
        <w:tc>
          <w:tcPr>
            <w:tcW w:w="3360" w:type="dxa"/>
            <w:vAlign w:val="bottom"/>
          </w:tcPr>
          <w:p>
            <w:pPr>
              <w:spacing w:after="0"/>
              <w:rPr>
                <w:sz w:val="24"/>
                <w:szCs w:val="24"/>
                <w:color w:val="auto"/>
              </w:rPr>
            </w:pPr>
          </w:p>
        </w:tc>
        <w:tc>
          <w:tcPr>
            <w:tcW w:w="2960" w:type="dxa"/>
            <w:vAlign w:val="bottom"/>
          </w:tcPr>
          <w:p>
            <w:pPr>
              <w:ind w:left="2360"/>
              <w:spacing w:after="0"/>
              <w:rPr>
                <w:sz w:val="20"/>
                <w:szCs w:val="20"/>
                <w:color w:val="auto"/>
              </w:rPr>
            </w:pPr>
            <w:r>
              <w:rPr>
                <w:rFonts w:ascii="Arial" w:cs="Arial" w:eastAsia="Arial" w:hAnsi="Arial"/>
                <w:sz w:val="18"/>
                <w:szCs w:val="18"/>
                <w:color w:val="auto"/>
              </w:rPr>
              <w:t>Date: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14, 2015</w:t>
            </w:r>
          </w:p>
        </w:tc>
      </w:tr>
      <w:tr>
        <w:trPr>
          <w:trHeight w:val="642"/>
        </w:trPr>
        <w:tc>
          <w:tcPr>
            <w:tcW w:w="3360" w:type="dxa"/>
            <w:vAlign w:val="bottom"/>
          </w:tcPr>
          <w:p>
            <w:pPr>
              <w:spacing w:after="0"/>
              <w:rPr>
                <w:sz w:val="20"/>
                <w:szCs w:val="20"/>
                <w:color w:val="auto"/>
              </w:rPr>
            </w:pPr>
            <w:r>
              <w:rPr>
                <w:rFonts w:ascii="Arial" w:cs="Arial" w:eastAsia="Arial" w:hAnsi="Arial"/>
                <w:sz w:val="18"/>
                <w:szCs w:val="18"/>
                <w:color w:val="auto"/>
              </w:rPr>
              <w:t>EXECUTIVE</w:t>
            </w:r>
          </w:p>
        </w:tc>
        <w:tc>
          <w:tcPr>
            <w:tcW w:w="2960" w:type="dxa"/>
            <w:vAlign w:val="bottom"/>
          </w:tcPr>
          <w:p>
            <w:pPr>
              <w:ind w:left="23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Brooks</w:t>
            </w:r>
          </w:p>
        </w:tc>
      </w:tr>
      <w:tr>
        <w:trPr>
          <w:trHeight w:val="426"/>
        </w:trPr>
        <w:tc>
          <w:tcPr>
            <w:tcW w:w="3360" w:type="dxa"/>
            <w:vAlign w:val="bottom"/>
          </w:tcPr>
          <w:p>
            <w:pPr>
              <w:spacing w:after="0"/>
              <w:rPr>
                <w:sz w:val="24"/>
                <w:szCs w:val="24"/>
                <w:color w:val="auto"/>
              </w:rPr>
            </w:pPr>
          </w:p>
        </w:tc>
        <w:tc>
          <w:tcPr>
            <w:tcW w:w="2960" w:type="dxa"/>
            <w:vAlign w:val="bottom"/>
          </w:tcPr>
          <w:p>
            <w:pPr>
              <w:ind w:left="2360"/>
              <w:spacing w:after="0"/>
              <w:rPr>
                <w:sz w:val="20"/>
                <w:szCs w:val="20"/>
                <w:color w:val="auto"/>
              </w:rPr>
            </w:pPr>
            <w:r>
              <w:rPr>
                <w:rFonts w:ascii="Arial" w:cs="Arial" w:eastAsia="Arial" w:hAnsi="Arial"/>
                <w:sz w:val="18"/>
                <w:szCs w:val="18"/>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General Counsel and Secretary</w:t>
            </w:r>
          </w:p>
        </w:tc>
      </w:tr>
      <w:tr>
        <w:trPr>
          <w:trHeight w:val="426"/>
        </w:trPr>
        <w:tc>
          <w:tcPr>
            <w:tcW w:w="3360" w:type="dxa"/>
            <w:vAlign w:val="bottom"/>
          </w:tcPr>
          <w:p>
            <w:pPr>
              <w:spacing w:after="0"/>
              <w:rPr>
                <w:sz w:val="24"/>
                <w:szCs w:val="24"/>
                <w:color w:val="auto"/>
              </w:rPr>
            </w:pPr>
          </w:p>
        </w:tc>
        <w:tc>
          <w:tcPr>
            <w:tcW w:w="2960" w:type="dxa"/>
            <w:vAlign w:val="bottom"/>
          </w:tcPr>
          <w:p>
            <w:pPr>
              <w:ind w:left="2360"/>
              <w:spacing w:after="0"/>
              <w:rPr>
                <w:sz w:val="20"/>
                <w:szCs w:val="20"/>
                <w:color w:val="auto"/>
              </w:rPr>
            </w:pPr>
            <w:r>
              <w:rPr>
                <w:rFonts w:ascii="Arial" w:cs="Arial" w:eastAsia="Arial" w:hAnsi="Arial"/>
                <w:sz w:val="18"/>
                <w:szCs w:val="18"/>
                <w:color w:val="auto"/>
              </w:rPr>
              <w:t>Date:</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14, 2015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of the Amended and Restated Change of Control and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 OF CLAIMS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Julie Brooks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The Company and Executive are sometimes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right="540" w:firstLine="7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signed a [Confidential Information and Invention Assignment Agreement] with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60" w:lineRule="exact"/>
        <w:rPr>
          <w:sz w:val="20"/>
          <w:szCs w:val="20"/>
          <w:color w:val="auto"/>
        </w:rPr>
      </w:pPr>
    </w:p>
    <w:p>
      <w:pPr>
        <w:sectPr>
          <w:pgSz w:w="11900" w:h="16838" w:orient="portrait"/>
          <w:cols w:equalWidth="0" w:num="2">
            <w:col w:w="10060" w:space="720"/>
            <w:col w:w="640"/>
          </w:cols>
          <w:pgMar w:left="240" w:top="125" w:right="239" w:bottom="0" w:gutter="0" w:footer="0" w:header="0"/>
          <w:type w:val="continuous"/>
        </w:sect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Executive signed an Amended and Restated Change of Control and Severance Agreement with the company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w:t>
      </w:r>
    </w:p>
    <w:p>
      <w:pPr>
        <w:spacing w:after="0" w:line="46" w:lineRule="exact"/>
        <w:rPr>
          <w:sz w:val="20"/>
          <w:szCs w:val="20"/>
          <w:color w:val="auto"/>
        </w:rPr>
      </w:pPr>
    </w:p>
    <w:p>
      <w:pPr>
        <w:sectPr>
          <w:pgSz w:w="11900" w:h="16838" w:orient="portrait"/>
          <w:cols w:equalWidth="0" w:num="2">
            <w:col w:w="10240" w:space="720"/>
            <w:col w:w="460"/>
          </w:cols>
          <w:pgMar w:left="240" w:top="125" w:right="239" w:bottom="0" w:gutter="0" w:footer="0" w:header="0"/>
          <w:type w:val="continuous"/>
        </w:sectPr>
      </w:pPr>
    </w:p>
    <w:p>
      <w:pPr>
        <w:ind w:right="46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Agreement</w:t>
      </w:r>
      <w:r>
        <w:rPr>
          <w:rFonts w:ascii="Arial" w:cs="Arial" w:eastAsia="Arial" w:hAnsi="Arial"/>
          <w:sz w:val="17"/>
          <w:szCs w:val="17"/>
          <w:color w:val="auto"/>
        </w:rPr>
        <w:t>”), which, among other things, provides for certain severance benefits to be paid to Executive by the Company upon the termination of Executive’s employment following a Change of Control (as defined in the Change of Control Agreement) of the Company;</w:t>
      </w:r>
    </w:p>
    <w:p>
      <w:pPr>
        <w:sectPr>
          <w:pgSz w:w="11900" w:h="16838" w:orient="portrait"/>
          <w:cols w:equalWidth="0" w:num="1">
            <w:col w:w="11420"/>
          </w:cols>
          <w:pgMar w:left="240" w:top="125" w:right="239" w:bottom="0" w:gutter="0" w:footer="0" w:header="0"/>
          <w:type w:val="continuous"/>
        </w:sectPr>
      </w:pPr>
    </w:p>
    <w:p>
      <w:pPr>
        <w:spacing w:after="0" w:line="158"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was employed by the Company until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following a</w:t>
      </w:r>
    </w:p>
    <w:p>
      <w:pPr>
        <w:spacing w:after="0" w:line="460" w:lineRule="exact"/>
        <w:rPr>
          <w:sz w:val="20"/>
          <w:szCs w:val="20"/>
          <w:color w:val="auto"/>
        </w:rPr>
      </w:pPr>
    </w:p>
    <w:p>
      <w:pPr>
        <w:sectPr>
          <w:pgSz w:w="11900" w:h="16838" w:orient="portrait"/>
          <w:cols w:equalWidth="0" w:num="2">
            <w:col w:w="5840" w:space="720"/>
            <w:col w:w="4860"/>
          </w:cols>
          <w:pgMar w:left="240" w:top="125" w:right="239" w:bottom="0" w:gutter="0" w:footer="0" w:header="0"/>
          <w:type w:val="continuous"/>
        </w:sect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Section 4 of the Change of Control and Severance Agreement between the Company and Executive, Executive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enter into and not revoke a standard release of claims in favor of the Company as a condition to receiving the severance benefits described in the Change of Control Agreement; and</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resolve any and all disputes, claims, complaints, grievances, charges, actions, petitions and demands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including the mutual promises and covenants made herein,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 the Termination Date.</w:t>
      </w:r>
    </w:p>
    <w:p>
      <w:pPr>
        <w:spacing w:after="0" w:line="225" w:lineRule="exact"/>
        <w:rPr>
          <w:rFonts w:ascii="Arial" w:cs="Arial" w:eastAsia="Arial" w:hAnsi="Arial"/>
          <w:sz w:val="18"/>
          <w:szCs w:val="18"/>
          <w:color w:val="auto"/>
        </w:rPr>
      </w:pPr>
    </w:p>
    <w:p>
      <w:pPr>
        <w:ind w:right="460" w:firstLine="656"/>
        <w:spacing w:after="0" w:line="276" w:lineRule="auto"/>
        <w:tabs>
          <w:tab w:leader="none" w:pos="1296"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2" w:lineRule="exact"/>
        <w:rPr>
          <w:rFonts w:ascii="Arial" w:cs="Arial" w:eastAsia="Arial" w:hAnsi="Arial"/>
          <w:sz w:val="17"/>
          <w:szCs w:val="17"/>
          <w:color w:val="auto"/>
        </w:rPr>
      </w:pPr>
    </w:p>
    <w:p>
      <w:pPr>
        <w:ind w:right="540" w:firstLine="656"/>
        <w:spacing w:after="0" w:line="312" w:lineRule="auto"/>
        <w:tabs>
          <w:tab w:leader="none" w:pos="1296"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w:t>
      </w:r>
    </w:p>
    <w:p>
      <w:pPr>
        <w:sectPr>
          <w:pgSz w:w="11900" w:h="16838" w:orient="portrait"/>
          <w:cols w:equalWidth="0" w:num="1">
            <w:col w:w="11420"/>
          </w:cols>
          <w:pgMar w:left="240" w:top="125" w:right="239" w:bottom="0" w:gutter="0" w:footer="0" w:header="0"/>
          <w:type w:val="continuous"/>
        </w:sectPr>
      </w:pPr>
    </w:p>
    <w:bookmarkStart w:id="80" w:name="page81"/>
    <w:bookmarkEnd w:id="80"/>
    <w:p>
      <w:pPr>
        <w:ind w:right="200"/>
        <w:spacing w:after="0" w:line="279" w:lineRule="auto"/>
        <w:rPr>
          <w:sz w:val="20"/>
          <w:szCs w:val="20"/>
          <w:color w:val="auto"/>
        </w:rPr>
      </w:pPr>
      <w:r>
        <w:rPr>
          <w:rFonts w:ascii="Arial" w:cs="Arial" w:eastAsia="Arial" w:hAnsi="Arial"/>
          <w:sz w:val="17"/>
          <w:szCs w:val="17"/>
          <w:color w:val="auto"/>
        </w:rPr>
        <w:t>subsidiaries, and predecessor and successor corporations and assigns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possess against any of the Releasees arising from any omissions, acts, facts, or damages that have occurred up until and including the Effective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 without limitation the following:</w:t>
      </w:r>
    </w:p>
    <w:p>
      <w:pPr>
        <w:spacing w:after="0" w:line="211" w:lineRule="exact"/>
        <w:rPr>
          <w:sz w:val="20"/>
          <w:szCs w:val="20"/>
          <w:color w:val="auto"/>
        </w:rPr>
      </w:pPr>
    </w:p>
    <w:p>
      <w:pPr>
        <w:ind w:left="1940" w:hanging="635"/>
        <w:spacing w:after="0"/>
        <w:tabs>
          <w:tab w:leader="none" w:pos="19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211" w:lineRule="exact"/>
        <w:rPr>
          <w:sz w:val="20"/>
          <w:szCs w:val="20"/>
          <w:color w:val="auto"/>
        </w:rPr>
      </w:pPr>
    </w:p>
    <w:p>
      <w:pPr>
        <w:ind w:right="80" w:firstLine="1305"/>
        <w:spacing w:after="0" w:line="264" w:lineRule="auto"/>
        <w:tabs>
          <w:tab w:leader="none" w:pos="19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18"/>
          <w:szCs w:val="18"/>
          <w:color w:val="auto"/>
        </w:rPr>
      </w:pPr>
    </w:p>
    <w:p>
      <w:pPr>
        <w:ind w:right="20" w:firstLine="1305"/>
        <w:spacing w:after="0" w:line="255" w:lineRule="auto"/>
        <w:tabs>
          <w:tab w:leader="none" w:pos="19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Act];(1)</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120" w:firstLine="1305"/>
        <w:spacing w:after="0" w:line="277" w:lineRule="auto"/>
        <w:tabs>
          <w:tab w:leader="none" w:pos="19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0" w:firstLine="8"/>
        <w:spacing w:after="0" w:line="342" w:lineRule="auto"/>
        <w:tabs>
          <w:tab w:leader="none" w:pos="3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7" w:lineRule="auto"/>
        <w:tabs>
          <w:tab w:leader="none" w:pos="129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b w:val="1"/>
          <w:bCs w:val="1"/>
          <w:i w:val="1"/>
          <w:iCs w:val="1"/>
          <w:color w:val="auto"/>
        </w:rPr>
        <w:t>prior</w:t>
      </w:r>
      <w:r>
        <w:rPr>
          <w:rFonts w:ascii="Arial" w:cs="Arial" w:eastAsia="Arial" w:hAnsi="Arial"/>
          <w:sz w:val="16"/>
          <w:szCs w:val="16"/>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Date.](2)</w:t>
      </w:r>
    </w:p>
    <w:p>
      <w:pPr>
        <w:spacing w:after="0" w:line="168" w:lineRule="exact"/>
        <w:rPr>
          <w:rFonts w:ascii="Arial" w:cs="Arial" w:eastAsia="Arial" w:hAnsi="Arial"/>
          <w:sz w:val="16"/>
          <w:szCs w:val="16"/>
          <w:color w:val="auto"/>
        </w:rPr>
      </w:pPr>
    </w:p>
    <w:p>
      <w:pPr>
        <w:ind w:right="100" w:firstLine="656"/>
        <w:spacing w:after="0" w:line="342" w:lineRule="auto"/>
        <w:tabs>
          <w:tab w:leader="none" w:pos="129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ectPr>
          <w:pgSz w:w="11900" w:h="16838" w:orient="portrait"/>
          <w:cols w:equalWidth="0" w:num="1">
            <w:col w:w="11420"/>
          </w:cols>
          <w:pgMar w:left="240" w:top="125" w:right="239" w:bottom="0" w:gutter="0" w:footer="0" w:header="0"/>
        </w:sectPr>
      </w:pPr>
    </w:p>
    <w:bookmarkStart w:id="81" w:name="page82"/>
    <w:bookmarkEnd w:id="81"/>
    <w:p>
      <w:pPr>
        <w:ind w:left="1300" w:right="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effect.](3)</w:t>
      </w:r>
    </w:p>
    <w:p>
      <w:pPr>
        <w:spacing w:after="0" w:line="154" w:lineRule="exact"/>
        <w:rPr>
          <w:sz w:val="20"/>
          <w:szCs w:val="20"/>
          <w:color w:val="auto"/>
        </w:rPr>
      </w:pPr>
    </w:p>
    <w:p>
      <w:pPr>
        <w:ind w:right="60" w:firstLine="656"/>
        <w:spacing w:after="0" w:line="255" w:lineRule="auto"/>
        <w:tabs>
          <w:tab w:leader="none" w:pos="1296"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93" w:lineRule="exact"/>
        <w:rPr>
          <w:rFonts w:ascii="Arial" w:cs="Arial" w:eastAsia="Arial" w:hAnsi="Arial"/>
          <w:sz w:val="18"/>
          <w:szCs w:val="18"/>
          <w:color w:val="auto"/>
        </w:rPr>
      </w:pPr>
    </w:p>
    <w:p>
      <w:pPr>
        <w:ind w:right="80" w:firstLine="656"/>
        <w:spacing w:after="0" w:line="277" w:lineRule="auto"/>
        <w:tabs>
          <w:tab w:leader="none" w:pos="1296"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Sufficiency of Consideration</w:t>
      </w:r>
      <w:r>
        <w:rPr>
          <w:rFonts w:ascii="Arial" w:cs="Arial" w:eastAsia="Arial" w:hAnsi="Arial"/>
          <w:sz w:val="18"/>
          <w:szCs w:val="18"/>
          <w:color w:val="auto"/>
        </w:rPr>
        <w:t>. Executive hereby acknowledges and agrees that Executive has received good and sufficient consideration for every promise, duty, release, obligation, agreement and right contained in this Release.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00" w:hanging="292"/>
        <w:spacing w:after="0"/>
        <w:tabs>
          <w:tab w:leader="none" w:pos="3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29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93" w:lineRule="exact"/>
        <w:rPr>
          <w:rFonts w:ascii="Arial" w:cs="Arial" w:eastAsia="Arial" w:hAnsi="Arial"/>
          <w:sz w:val="18"/>
          <w:szCs w:val="18"/>
          <w:color w:val="auto"/>
        </w:rPr>
      </w:pPr>
    </w:p>
    <w:p>
      <w:pPr>
        <w:ind w:right="40" w:firstLine="656"/>
        <w:spacing w:after="0" w:line="291" w:lineRule="auto"/>
        <w:tabs>
          <w:tab w:leader="none" w:pos="1296"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7" w:lineRule="exact"/>
        <w:rPr>
          <w:rFonts w:ascii="Arial" w:cs="Arial" w:eastAsia="Arial" w:hAnsi="Arial"/>
          <w:sz w:val="16"/>
          <w:szCs w:val="16"/>
          <w:color w:val="auto"/>
        </w:rPr>
      </w:pPr>
    </w:p>
    <w:p>
      <w:pPr>
        <w:ind w:right="140" w:firstLine="656"/>
        <w:spacing w:after="0" w:line="293" w:lineRule="auto"/>
        <w:tabs>
          <w:tab w:leader="none" w:pos="1292"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4" w:lineRule="exact"/>
        <w:rPr>
          <w:rFonts w:ascii="Arial" w:cs="Arial" w:eastAsia="Arial" w:hAnsi="Arial"/>
          <w:sz w:val="16"/>
          <w:szCs w:val="16"/>
          <w:color w:val="auto"/>
        </w:rPr>
      </w:pPr>
    </w:p>
    <w:p>
      <w:pPr>
        <w:ind w:right="620" w:firstLine="656"/>
        <w:spacing w:after="0" w:line="277" w:lineRule="auto"/>
        <w:tabs>
          <w:tab w:leader="none" w:pos="128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0" w:lineRule="exact"/>
        <w:rPr>
          <w:rFonts w:ascii="Arial" w:cs="Arial" w:eastAsia="Arial" w:hAnsi="Arial"/>
          <w:sz w:val="18"/>
          <w:szCs w:val="18"/>
          <w:color w:val="auto"/>
        </w:rPr>
      </w:pPr>
    </w:p>
    <w:p>
      <w:pPr>
        <w:ind w:firstLine="656"/>
        <w:spacing w:after="0" w:line="259" w:lineRule="auto"/>
        <w:tabs>
          <w:tab w:leader="none" w:pos="129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6" w:lineRule="exact"/>
        <w:rPr>
          <w:rFonts w:ascii="Arial" w:cs="Arial" w:eastAsia="Arial" w:hAnsi="Arial"/>
          <w:sz w:val="18"/>
          <w:szCs w:val="18"/>
          <w:color w:val="auto"/>
        </w:rPr>
      </w:pPr>
    </w:p>
    <w:p>
      <w:pPr>
        <w:ind w:right="160" w:firstLine="656"/>
        <w:spacing w:after="0" w:line="259" w:lineRule="auto"/>
        <w:tabs>
          <w:tab w:leader="none" w:pos="129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Solicitation of Employees</w:t>
      </w:r>
      <w:r>
        <w:rPr>
          <w:rFonts w:ascii="Arial" w:cs="Arial" w:eastAsia="Arial" w:hAnsi="Arial"/>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attorneys’ fees and other fees incurred in connection with the preparation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240" w:firstLine="656"/>
        <w:spacing w:after="0" w:line="279" w:lineRule="auto"/>
        <w:tabs>
          <w:tab w:leader="none" w:pos="1292"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 THE</w:t>
      </w:r>
    </w:p>
    <w:p>
      <w:pPr>
        <w:sectPr>
          <w:pgSz w:w="11900" w:h="16838" w:orient="portrait"/>
          <w:cols w:equalWidth="0" w:num="1">
            <w:col w:w="11400"/>
          </w:cols>
          <w:pgMar w:left="240" w:top="125" w:right="259" w:bottom="0" w:gutter="0" w:footer="0" w:header="0"/>
        </w:sectPr>
      </w:pPr>
    </w:p>
    <w:bookmarkStart w:id="82" w:name="page83"/>
    <w:bookmarkEnd w:id="82"/>
    <w:p>
      <w:pPr>
        <w:spacing w:after="0" w:line="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ARBITRATOR WILL ADMINISTER AND CONDUCT ANY ARBITRATION IN ACCORDANCE WITH CALIFORNIA LAW, INCLUDING THE CALIFORNIA CODE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GOVERN.(4)</w:t>
      </w:r>
    </w:p>
    <w:p>
      <w:pPr>
        <w:spacing w:after="0" w:line="185" w:lineRule="exact"/>
        <w:rPr>
          <w:sz w:val="20"/>
          <w:szCs w:val="20"/>
          <w:color w:val="auto"/>
        </w:rPr>
      </w:pPr>
    </w:p>
    <w:p>
      <w:pPr>
        <w:ind w:right="100" w:firstLine="656"/>
        <w:spacing w:after="0" w:line="257" w:lineRule="auto"/>
        <w:tabs>
          <w:tab w:leader="none" w:pos="129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8" w:lineRule="exact"/>
        <w:rPr>
          <w:rFonts w:ascii="Arial" w:cs="Arial" w:eastAsia="Arial" w:hAnsi="Arial"/>
          <w:sz w:val="18"/>
          <w:szCs w:val="18"/>
          <w:color w:val="auto"/>
        </w:rPr>
      </w:pPr>
    </w:p>
    <w:p>
      <w:pPr>
        <w:ind w:right="100" w:firstLine="656"/>
        <w:spacing w:after="0" w:line="264" w:lineRule="auto"/>
        <w:tabs>
          <w:tab w:leader="none" w:pos="129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right="80" w:firstLine="656"/>
        <w:spacing w:after="0" w:line="264" w:lineRule="auto"/>
        <w:tabs>
          <w:tab w:leader="none" w:pos="129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1" w:lineRule="exact"/>
        <w:rPr>
          <w:rFonts w:ascii="Arial" w:cs="Arial" w:eastAsia="Arial" w:hAnsi="Arial"/>
          <w:sz w:val="18"/>
          <w:szCs w:val="18"/>
          <w:color w:val="auto"/>
        </w:rPr>
      </w:pPr>
    </w:p>
    <w:p>
      <w:pPr>
        <w:ind w:firstLine="656"/>
        <w:spacing w:after="0" w:line="257" w:lineRule="auto"/>
        <w:tabs>
          <w:tab w:leader="none" w:pos="129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right="500" w:firstLine="656"/>
        <w:spacing w:after="0" w:line="277" w:lineRule="auto"/>
        <w:tabs>
          <w:tab w:leader="none" w:pos="129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 without regard for choice-of-law provisions. Executive consents to personal and exclusive jurisdiction and venue in the State of California.(5)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right="340" w:firstLine="8"/>
        <w:spacing w:after="0" w:line="258" w:lineRule="auto"/>
        <w:tabs>
          <w:tab w:leader="none" w:pos="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1" w:lineRule="exact"/>
        <w:rPr>
          <w:rFonts w:ascii="Arial" w:cs="Arial" w:eastAsia="Arial" w:hAnsi="Arial"/>
          <w:sz w:val="18"/>
          <w:szCs w:val="18"/>
          <w:color w:val="auto"/>
        </w:rPr>
      </w:pPr>
    </w:p>
    <w:p>
      <w:pPr>
        <w:ind w:right="340" w:firstLine="8"/>
        <w:spacing w:after="0" w:line="261" w:lineRule="auto"/>
        <w:tabs>
          <w:tab w:leader="none" w:pos="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1826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9" w:lineRule="auto"/>
        <w:tabs>
          <w:tab w:leader="none" w:pos="1292"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”).](6)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”)](7).</w:t>
      </w:r>
    </w:p>
    <w:p>
      <w:pPr>
        <w:spacing w:after="0" w:line="171" w:lineRule="exact"/>
        <w:rPr>
          <w:rFonts w:ascii="Arial" w:cs="Arial" w:eastAsia="Arial" w:hAnsi="Arial"/>
          <w:sz w:val="17"/>
          <w:szCs w:val="17"/>
          <w:color w:val="auto"/>
        </w:rPr>
      </w:pPr>
    </w:p>
    <w:p>
      <w:pPr>
        <w:ind w:right="340" w:firstLine="656"/>
        <w:spacing w:after="0" w:line="277" w:lineRule="auto"/>
        <w:tabs>
          <w:tab w:leader="none" w:pos="129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right="400" w:firstLine="656"/>
        <w:spacing w:after="0" w:line="264" w:lineRule="auto"/>
        <w:tabs>
          <w:tab w:leader="none" w:pos="129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225" w:lineRule="exact"/>
        <w:rPr>
          <w:rFonts w:ascii="Arial" w:cs="Arial" w:eastAsia="Arial" w:hAnsi="Arial"/>
          <w:sz w:val="18"/>
          <w:szCs w:val="18"/>
          <w:color w:val="auto"/>
        </w:rPr>
      </w:pPr>
    </w:p>
    <w:p>
      <w:pPr>
        <w:ind w:left="1960" w:right="240" w:hanging="655"/>
        <w:spacing w:after="0" w:line="277" w:lineRule="auto"/>
        <w:tabs>
          <w:tab w:leader="none" w:pos="1967"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Executive has been represented in the preparation, negotiation, and execution of this Agreement by legal counsel of Executive’s own choice or has elected not to retain legal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 and</w:t>
      </w:r>
    </w:p>
    <w:p>
      <w:pPr>
        <w:sectPr>
          <w:pgSz w:w="11900" w:h="16887" w:orient="portrait"/>
          <w:cols w:equalWidth="0" w:num="1">
            <w:col w:w="11420"/>
          </w:cols>
          <w:pgMar w:left="240" w:top="125" w:right="239" w:bottom="0" w:gutter="0" w:footer="0" w:header="0"/>
        </w:sectPr>
      </w:pPr>
    </w:p>
    <w:bookmarkStart w:id="83" w:name="page84"/>
    <w:bookmarkEnd w:id="83"/>
    <w:p>
      <w:pPr>
        <w:ind w:left="1960" w:hanging="655"/>
        <w:spacing w:after="0"/>
        <w:tabs>
          <w:tab w:leader="none" w:pos="1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w:t>
      </w:r>
    </w:p>
    <w:p>
      <w:pPr>
        <w:spacing w:after="0" w:line="22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00" w:hanging="292"/>
        <w:spacing w:after="0"/>
        <w:tabs>
          <w:tab w:leader="none" w:pos="3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This provision will only be included in this Agreement if Executive is under the age of 40 at the time Executive’s employment relationship is terminated.</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respective dates set forth below.</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4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JULIE BROOKS, an individual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0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DAF632"/>
    <w:multiLevelType w:val="hybridMultilevel"/>
    <w:lvl w:ilvl="0">
      <w:lvlJc w:val="left"/>
      <w:lvlText w:val="x"/>
      <w:numFmt w:val="bullet"/>
      <w:start w:val="1"/>
    </w:lvl>
  </w:abstractNum>
  <w:abstractNum w:abstractNumId="1">
    <w:nsid w:val="53299938"/>
    <w:multiLevelType w:val="hybridMultilevel"/>
    <w:lvl w:ilvl="0">
      <w:lvlJc w:val="left"/>
      <w:lvlText w:val="o"/>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1."/>
      <w:numFmt w:val="decimal"/>
      <w:start w:val="12"/>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
      <w:numFmt w:val="bullet"/>
      <w:start w:val="1"/>
    </w:lvl>
  </w:abstractNum>
  <w:abstractNum w:abstractNumId="13">
    <w:nsid w:val="415E286C"/>
    <w:multiLevelType w:val="hybridMultilevel"/>
    <w:lvl w:ilvl="0">
      <w:lvlJc w:val="left"/>
      <w:lvlText w:val="#"/>
      <w:numFmt w:val="bullet"/>
      <w:start w:val="1"/>
    </w:lvl>
  </w:abstractNum>
  <w:abstractNum w:abstractNumId="14">
    <w:nsid w:val="7C58FD05"/>
    <w:multiLevelType w:val="hybridMultilevel"/>
    <w:lvl w:ilvl="0">
      <w:lvlJc w:val="left"/>
      <w:lvlText w:val="**"/>
      <w:numFmt w:val="bullet"/>
      <w:start w:val="1"/>
    </w:lvl>
  </w:abstractNum>
  <w:abstractNum w:abstractNumId="15">
    <w:nsid w:val="23D86AAC"/>
    <w:multiLevelType w:val="hybridMultilevel"/>
    <w:lvl w:ilvl="0">
      <w:lvlJc w:val="left"/>
      <w:lvlText w:val="#"/>
      <w:numFmt w:val="bullet"/>
      <w:start w:val="1"/>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1."/>
      <w:numFmt w:val="decimal"/>
      <w:start w:val="1"/>
    </w:lvl>
  </w:abstractNum>
  <w:abstractNum w:abstractNumId="18">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3C5991AA"/>
    <w:multiLevelType w:val="hybridMultilevel"/>
    <w:lvl w:ilvl="0">
      <w:lvlJc w:val="left"/>
      <w:lvlText w:val="%1"/>
      <w:numFmt w:val="lowerRoman"/>
      <w:start w:val="1"/>
    </w:lvl>
    <w:lvl w:ilvl="1">
      <w:lvlJc w:val="left"/>
      <w:lvlText w:val="(%2)"/>
      <w:numFmt w:val="lowerRoman"/>
      <w:start w:val="3"/>
    </w:lvl>
  </w:abstractNum>
  <w:abstractNum w:abstractNumId="20">
    <w:nsid w:val="4BD8591A"/>
    <w:multiLevelType w:val="hybridMultilevel"/>
    <w:lvl w:ilvl="0">
      <w:lvlJc w:val="left"/>
      <w:lvlText w:val="(%1)"/>
      <w:numFmt w:val="lowerRoman"/>
      <w:start w:val="4"/>
    </w:lvl>
    <w:lvl w:ilvl="1">
      <w:lvlJc w:val="left"/>
      <w:lvlText w:val="%2"/>
      <w:numFmt w:val="lowerRoman"/>
      <w:start w:val="1"/>
    </w:lvl>
  </w:abstractNum>
  <w:abstractNum w:abstractNumId="21">
    <w:nsid w:val="78DF6A55"/>
    <w:multiLevelType w:val="hybridMultilevel"/>
    <w:lvl w:ilvl="0">
      <w:lvlJc w:val="left"/>
      <w:lvlText w:val="%1"/>
      <w:numFmt w:val="lowerLetter"/>
      <w:start w:val="1"/>
    </w:lvl>
    <w:lvl w:ilvl="1">
      <w:lvlJc w:val="left"/>
      <w:lvlText w:val="(%2)"/>
      <w:numFmt w:val="lowerRoman"/>
      <w:start w:val="5"/>
    </w:lvl>
  </w:abstractNum>
  <w:abstractNum w:abstractNumId="22">
    <w:nsid w:val="39B7AAA2"/>
    <w:multiLevelType w:val="hybridMultilevel"/>
    <w:lvl w:ilvl="0">
      <w:lvlJc w:val="left"/>
      <w:lvlText w:val="(%1)"/>
      <w:numFmt w:val="lowerLetter"/>
      <w:start w:val="2"/>
    </w:lvl>
    <w:lvl w:ilvl="1">
      <w:lvlJc w:val="left"/>
      <w:lvlText w:val="%2"/>
      <w:numFmt w:val="lowerRoman"/>
      <w:start w:val="1"/>
    </w:lvl>
  </w:abstractNum>
  <w:abstractNum w:abstractNumId="23">
    <w:nsid w:val="2B0D8DBE"/>
    <w:multiLevelType w:val="hybridMultilevel"/>
    <w:lvl w:ilvl="0">
      <w:lvlJc w:val="left"/>
      <w:lvlText w:val="(%1)"/>
      <w:numFmt w:val="lowerRoman"/>
      <w:start w:val="1"/>
    </w:lvl>
  </w:abstractNum>
  <w:abstractNum w:abstractNumId="24">
    <w:nsid w:val="6C80EC7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5">
    <w:nsid w:val="379E21B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lowerRoman"/>
      <w:start w:val="4"/>
    </w:lvl>
  </w:abstractNum>
  <w:abstractNum w:abstractNumId="26">
    <w:nsid w:val="69E3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27">
    <w:nsid w:val="2C27173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8">
    <w:nsid w:val="4C9B0904"/>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9">
    <w:nsid w:val="6AA7B7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
    <w:nsid w:val="5675FF3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
    <w:nsid w:val="3DD15094"/>
    <w:multiLevelType w:val="hybridMultilevel"/>
    <w:lvl w:ilvl="0">
      <w:lvlJc w:val="left"/>
      <w:lvlText w:val="(%1)"/>
      <w:numFmt w:val="lowerRoman"/>
      <w:start w:val="4"/>
    </w:lvl>
  </w:abstractNum>
  <w:abstractNum w:abstractNumId="33">
    <w:nsid w:val="3DB012B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
    <w:nsid w:val="2708C9AF"/>
    <w:multiLevelType w:val="hybridMultilevel"/>
    <w:lvl w:ilvl="0">
      <w:lvlJc w:val="left"/>
      <w:lvlText w:val="(%1)"/>
      <w:numFmt w:val="lowerLetter"/>
      <w:start w:val="2"/>
    </w:lvl>
    <w:lvl w:ilvl="1">
      <w:lvlJc w:val="left"/>
      <w:lvlText w:val="(%2)"/>
      <w:numFmt w:val="lowerRoman"/>
      <w:start w:val="1"/>
    </w:lvl>
  </w:abstractNum>
  <w:abstractNum w:abstractNumId="35">
    <w:nsid w:val="5B25ACE2"/>
    <w:multiLevelType w:val="hybridMultilevel"/>
    <w:lvl w:ilvl="0">
      <w:lvlJc w:val="left"/>
      <w:lvlText w:val="(%1)"/>
      <w:numFmt w:val="lowerLetter"/>
      <w:start w:val="3"/>
    </w:lvl>
    <w:lvl w:ilvl="1">
      <w:lvlJc w:val="left"/>
      <w:lvlText w:val="(%2)"/>
      <w:numFmt w:val="lowerRoman"/>
      <w:start w:val="1"/>
    </w:lvl>
  </w:abstractNum>
  <w:abstractNum w:abstractNumId="36">
    <w:nsid w:val="175DFCF0"/>
    <w:multiLevelType w:val="hybridMultilevel"/>
    <w:lvl w:ilvl="0">
      <w:lvlJc w:val="left"/>
      <w:lvlText w:val="(%1)"/>
      <w:numFmt w:val="lowerRoman"/>
      <w:start w:val="3"/>
    </w:lvl>
  </w:abstractNum>
  <w:abstractNum w:abstractNumId="37">
    <w:nsid w:val="4F97E3E4"/>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38">
    <w:nsid w:val="53B0A9E"/>
    <w:multiLevelType w:val="hybridMultilevel"/>
    <w:lvl w:ilvl="0">
      <w:lvlJc w:val="left"/>
      <w:lvlText w:val="(%1)"/>
      <w:numFmt w:val="decimal"/>
      <w:start w:val="17"/>
    </w:lvl>
    <w:lvl w:ilvl="1">
      <w:lvlJc w:val="left"/>
      <w:lvlText w:val="%2."/>
      <w:numFmt w:val="decimal"/>
      <w:start w:val="7"/>
    </w:lvl>
    <w:lvl w:ilvl="2">
      <w:lvlJc w:val="left"/>
      <w:lvlText w:val="(%3)"/>
      <w:numFmt w:val="lowerLetter"/>
      <w:start w:val="1"/>
    </w:lvl>
  </w:abstractNum>
  <w:abstractNum w:abstractNumId="39">
    <w:nsid w:val="34FD6B4F"/>
    <w:multiLevelType w:val="hybridMultilevel"/>
    <w:lvl w:ilvl="0">
      <w:lvlJc w:val="left"/>
      <w:lvlText w:val="(%1)"/>
      <w:numFmt w:val="lowerLetter"/>
      <w:start w:val="2"/>
    </w:lvl>
  </w:abstractNum>
  <w:abstractNum w:abstractNumId="40">
    <w:nsid w:val="5915FF32"/>
    <w:multiLevelType w:val="hybridMultilevel"/>
    <w:lvl w:ilvl="0">
      <w:lvlJc w:val="left"/>
      <w:lvlText w:val="%1."/>
      <w:numFmt w:val="decimal"/>
      <w:start w:val="9"/>
    </w:lvl>
    <w:lvl w:ilvl="1">
      <w:lvlJc w:val="left"/>
      <w:lvlText w:val="(%2)"/>
      <w:numFmt w:val="lowerLetter"/>
      <w:start w:val="1"/>
    </w:lvl>
  </w:abstractNum>
  <w:abstractNum w:abstractNumId="41">
    <w:nsid w:val="56438D15"/>
    <w:multiLevelType w:val="hybridMultilevel"/>
    <w:lvl w:ilvl="0">
      <w:lvlJc w:val="left"/>
      <w:lvlText w:val="%1"/>
      <w:numFmt w:val="lowerLetter"/>
      <w:start w:val="1"/>
    </w:lvl>
    <w:lvl w:ilvl="1">
      <w:lvlJc w:val="left"/>
      <w:lvlText w:val="(%2)"/>
      <w:numFmt w:val="lowerLetter"/>
      <w:start w:val="3"/>
    </w:lvl>
  </w:abstractNum>
  <w:abstractNum w:abstractNumId="42">
    <w:nsid w:val="519E3149"/>
    <w:multiLevelType w:val="hybridMultilevel"/>
    <w:lvl w:ilvl="0">
      <w:lvlJc w:val="left"/>
      <w:lvlText w:val="(%1)"/>
      <w:numFmt w:val="lowerLetter"/>
      <w:start w:val="4"/>
    </w:lvl>
    <w:lvl w:ilvl="1">
      <w:lvlJc w:val="left"/>
      <w:lvlText w:val="%2"/>
      <w:numFmt w:val="lowerLetter"/>
      <w:start w:val="1"/>
    </w:lvl>
  </w:abstractNum>
  <w:abstractNum w:abstractNumId="43">
    <w:nsid w:val="2C6E4AFD"/>
    <w:multiLevelType w:val="hybridMultilevel"/>
    <w:lvl w:ilvl="0">
      <w:lvlJc w:val="left"/>
      <w:lvlText w:val="%1"/>
      <w:numFmt w:val="decimal"/>
      <w:start w:val="1"/>
    </w:lvl>
    <w:lvl w:ilvl="1">
      <w:lvlJc w:val="left"/>
      <w:lvlText w:val="(%2)"/>
      <w:numFmt w:val="lowerLetter"/>
      <w:start w:val="6"/>
    </w:lvl>
  </w:abstractNum>
  <w:abstractNum w:abstractNumId="44">
    <w:nsid w:val="17A1B582"/>
    <w:multiLevelType w:val="hybridMultilevel"/>
    <w:lvl w:ilvl="0">
      <w:lvlJc w:val="left"/>
      <w:lvlText w:val="%1."/>
      <w:numFmt w:val="decimal"/>
      <w:start w:val="11"/>
    </w:lvl>
    <w:lvl w:ilvl="1">
      <w:lvlJc w:val="left"/>
      <w:lvlText w:val="(%2)"/>
      <w:numFmt w:val="lowerLetter"/>
      <w:start w:val="1"/>
    </w:lvl>
  </w:abstractNum>
  <w:abstractNum w:abstractNumId="45">
    <w:nsid w:val="4DF72E4E"/>
    <w:multiLevelType w:val="hybridMultilevel"/>
    <w:lvl w:ilvl="0">
      <w:lvlJc w:val="left"/>
      <w:lvlText w:val="(%1)"/>
      <w:numFmt w:val="lowerLetter"/>
      <w:start w:val="2"/>
    </w:lvl>
  </w:abstractNum>
  <w:abstractNum w:abstractNumId="46">
    <w:nsid w:val="5046B5A9"/>
    <w:multiLevelType w:val="hybridMultilevel"/>
    <w:lvl w:ilvl="0">
      <w:lvlJc w:val="left"/>
      <w:lvlText w:val="(%1)"/>
      <w:numFmt w:val="lowerLetter"/>
      <w:start w:val="8"/>
    </w:lvl>
  </w:abstractNum>
  <w:abstractNum w:abstractNumId="47">
    <w:nsid w:val="5D888A08"/>
    <w:multiLevelType w:val="hybridMultilevel"/>
    <w:lvl w:ilvl="0">
      <w:lvlJc w:val="left"/>
      <w:lvlText w:val="%1."/>
      <w:numFmt w:val="decimal"/>
      <w:start w:val="1"/>
    </w:lvl>
  </w:abstractNum>
  <w:abstractNum w:abstractNumId="48">
    <w:nsid w:val="2A082C70"/>
    <w:multiLevelType w:val="hybridMultilevel"/>
    <w:lvl w:ilvl="0">
      <w:lvlJc w:val="left"/>
      <w:lvlText w:val="(%1)"/>
      <w:numFmt w:val="lowerLetter"/>
      <w:start w:val="1"/>
    </w:lvl>
  </w:abstractNum>
  <w:abstractNum w:abstractNumId="49">
    <w:nsid w:val="5EC6AFD4"/>
    <w:multiLevelType w:val="hybridMultilevel"/>
    <w:lvl w:ilvl="0">
      <w:lvlJc w:val="left"/>
      <w:lvlText w:val="(%1)"/>
      <w:numFmt w:val="lowerLetter"/>
      <w:start w:val="2"/>
    </w:lvl>
  </w:abstractNum>
  <w:abstractNum w:abstractNumId="50">
    <w:nsid w:val="19E21BB2"/>
    <w:multiLevelType w:val="hybridMultilevel"/>
    <w:lvl w:ilvl="0">
      <w:lvlJc w:val="left"/>
      <w:lvlText w:val="(%1)"/>
      <w:numFmt w:val="decimal"/>
      <w:start w:val="1"/>
    </w:lvl>
  </w:abstractNum>
  <w:abstractNum w:abstractNumId="51">
    <w:nsid w:val="75E0858A"/>
    <w:multiLevelType w:val="hybridMultilevel"/>
    <w:lvl w:ilvl="0">
      <w:lvlJc w:val="left"/>
      <w:lvlText w:val="%1."/>
      <w:numFmt w:val="decimal"/>
      <w:start w:val="4"/>
    </w:lvl>
  </w:abstractNum>
  <w:abstractNum w:abstractNumId="52">
    <w:nsid w:val="57A61A29"/>
    <w:multiLevelType w:val="hybridMultilevel"/>
    <w:lvl w:ilvl="0">
      <w:lvlJc w:val="left"/>
      <w:lvlText w:val="%1"/>
      <w:numFmt w:val="decimal"/>
      <w:start w:val="1"/>
    </w:lvl>
    <w:lvl w:ilvl="1">
      <w:lvlJc w:val="left"/>
      <w:lvlText w:val="%2."/>
      <w:numFmt w:val="decimal"/>
      <w:start w:val="6"/>
    </w:lvl>
  </w:abstractNum>
  <w:abstractNum w:abstractNumId="53">
    <w:nsid w:val="5399C654"/>
    <w:multiLevelType w:val="hybridMultilevel"/>
    <w:lvl w:ilvl="0">
      <w:lvlJc w:val="left"/>
      <w:lvlText w:val="(%1)"/>
      <w:numFmt w:val="decimal"/>
      <w:start w:val="2"/>
    </w:lvl>
    <w:lvl w:ilvl="1">
      <w:lvlJc w:val="left"/>
      <w:lvlText w:val="%2"/>
      <w:numFmt w:val="decimal"/>
      <w:start w:val="1"/>
    </w:lvl>
  </w:abstractNum>
  <w:abstractNum w:abstractNumId="54">
    <w:nsid w:val="20EE1348"/>
    <w:multiLevelType w:val="hybridMultilevel"/>
    <w:lvl w:ilvl="0">
      <w:lvlJc w:val="left"/>
      <w:lvlText w:val="%1."/>
      <w:numFmt w:val="decimal"/>
      <w:start w:val="8"/>
    </w:lvl>
  </w:abstractNum>
  <w:abstractNum w:abstractNumId="55">
    <w:nsid w:val="4427069A"/>
    <w:multiLevelType w:val="hybridMultilevel"/>
    <w:lvl w:ilvl="0">
      <w:lvlJc w:val="left"/>
      <w:lvlText w:val="%1."/>
      <w:numFmt w:val="decimal"/>
      <w:start w:val="9"/>
    </w:lvl>
  </w:abstractNum>
  <w:abstractNum w:abstractNumId="56">
    <w:nsid w:val="B37E80A"/>
    <w:multiLevelType w:val="hybridMultilevel"/>
    <w:lvl w:ilvl="0">
      <w:lvlJc w:val="left"/>
      <w:lvlText w:val="%1."/>
      <w:numFmt w:val="decimal"/>
      <w:start w:val="16"/>
    </w:lvl>
  </w:abstractNum>
  <w:abstractNum w:abstractNumId="57">
    <w:nsid w:val="2157F6BC"/>
    <w:multiLevelType w:val="hybridMultilevel"/>
    <w:lvl w:ilvl="0">
      <w:lvlJc w:val="left"/>
      <w:lvlText w:val="%1"/>
      <w:numFmt w:val="decimal"/>
      <w:start w:val="1"/>
    </w:lvl>
    <w:lvl w:ilvl="1">
      <w:lvlJc w:val="left"/>
      <w:lvlText w:val="%2."/>
      <w:numFmt w:val="decimal"/>
      <w:start w:val="20"/>
    </w:lvl>
  </w:abstractNum>
  <w:abstractNum w:abstractNumId="58">
    <w:nsid w:val="704E1DD5"/>
    <w:multiLevelType w:val="hybridMultilevel"/>
    <w:lvl w:ilvl="0">
      <w:lvlJc w:val="left"/>
      <w:lvlText w:val="(%1)"/>
      <w:numFmt w:val="decimal"/>
      <w:start w:val="4"/>
    </w:lvl>
    <w:lvl w:ilvl="1">
      <w:lvlJc w:val="left"/>
      <w:lvlText w:val="%2"/>
      <w:numFmt w:val="decimal"/>
      <w:start w:val="1"/>
    </w:lvl>
  </w:abstractNum>
  <w:abstractNum w:abstractNumId="59">
    <w:nsid w:val="57D2F10E"/>
    <w:multiLevelType w:val="hybridMultilevel"/>
    <w:lvl w:ilvl="0">
      <w:lvlJc w:val="left"/>
      <w:lvlText w:val="%1."/>
      <w:numFmt w:val="decimal"/>
      <w:start w:val="22"/>
    </w:lvl>
    <w:lvl w:ilvl="1">
      <w:lvlJc w:val="left"/>
      <w:lvlText w:val="(%2)"/>
      <w:numFmt w:val="lowerLetter"/>
      <w:start w:val="1"/>
    </w:lvl>
  </w:abstractNum>
  <w:abstractNum w:abstractNumId="60">
    <w:nsid w:val="BFFAE18"/>
    <w:multiLevelType w:val="hybridMultilevel"/>
    <w:lvl w:ilvl="0">
      <w:lvlJc w:val="left"/>
      <w:lvlText w:val="(%1)"/>
      <w:numFmt w:val="decimal"/>
      <w:start w:val="6"/>
    </w:lvl>
  </w:abstractNum>
  <w:abstractNum w:abstractNumId="61">
    <w:nsid w:val="E3E47A8"/>
    <w:multiLevelType w:val="hybridMultilevel"/>
    <w:lvl w:ilvl="0">
      <w:lvlJc w:val="left"/>
      <w:lvlText w:val="%1."/>
      <w:numFmt w:val="decimal"/>
      <w:start w:val="1"/>
    </w:lvl>
  </w:abstractNum>
  <w:abstractNum w:abstractNumId="62">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49D0FEAC"/>
    <w:multiLevelType w:val="hybridMultilevel"/>
    <w:lvl w:ilvl="0">
      <w:lvlJc w:val="left"/>
      <w:lvlText w:val="%1"/>
      <w:numFmt w:val="lowerLetter"/>
      <w:start w:val="1"/>
    </w:lvl>
    <w:lvl w:ilvl="1">
      <w:lvlJc w:val="left"/>
      <w:lvlText w:val="(%2)"/>
      <w:numFmt w:val="lowerLetter"/>
      <w:start w:val="61"/>
    </w:lvl>
  </w:abstractNum>
  <w:abstractNum w:abstractNumId="64">
    <w:nsid w:val="4BEE5A5B"/>
    <w:multiLevelType w:val="hybridMultilevel"/>
    <w:lvl w:ilvl="0">
      <w:lvlJc w:val="left"/>
      <w:lvlText w:val="(%1)"/>
      <w:numFmt w:val="lowerLetter"/>
      <w:start w:val="2"/>
    </w:lvl>
    <w:lvl w:ilvl="1">
      <w:lvlJc w:val="left"/>
      <w:lvlText w:val="(%2)"/>
      <w:numFmt w:val="lowerLetter"/>
      <w:start w:val="9"/>
    </w:lvl>
  </w:abstractNum>
  <w:abstractNum w:abstractNumId="65">
    <w:nsid w:val="5551B9F3"/>
    <w:multiLevelType w:val="hybridMultilevel"/>
    <w:lvl w:ilvl="0">
      <w:lvlJc w:val="left"/>
      <w:lvlText w:val="%1"/>
      <w:numFmt w:val="decimal"/>
      <w:start w:val="1"/>
    </w:lvl>
    <w:lvl w:ilvl="1">
      <w:lvlJc w:val="left"/>
      <w:lvlText w:val="(%2)"/>
      <w:numFmt w:val="lowerRoman"/>
      <w:start w:val="2"/>
    </w:lvl>
  </w:abstractNum>
  <w:abstractNum w:abstractNumId="66">
    <w:nsid w:val="24F6AB8E"/>
    <w:multiLevelType w:val="hybridMultilevel"/>
    <w:lvl w:ilvl="0">
      <w:lvlJc w:val="left"/>
      <w:lvlText w:val="(%1)"/>
      <w:numFmt w:val="decimal"/>
      <w:start w:val="12"/>
    </w:lvl>
    <w:lvl w:ilvl="1">
      <w:lvlJc w:val="left"/>
      <w:lvlText w:val="(%2)"/>
      <w:numFmt w:val="lowerRoman"/>
      <w:start w:val="3"/>
    </w:lvl>
  </w:abstractNum>
  <w:abstractNum w:abstractNumId="67">
    <w:nsid w:val="634C574C"/>
    <w:multiLevelType w:val="hybridMultilevel"/>
    <w:lvl w:ilvl="0">
      <w:lvlJc w:val="left"/>
      <w:lvlText w:val="(%1)"/>
      <w:numFmt w:val="upperLetter"/>
      <w:start w:val="1"/>
    </w:lvl>
    <w:lvl w:ilvl="1">
      <w:lvlJc w:val="left"/>
      <w:lvlText w:val="(%2)"/>
      <w:numFmt w:val="lowerRoman"/>
      <w:start w:val="4"/>
    </w:lvl>
  </w:abstractNum>
  <w:abstractNum w:abstractNumId="68">
    <w:nsid w:val="24E99DD7"/>
    <w:multiLevelType w:val="hybridMultilevel"/>
    <w:lvl w:ilvl="0">
      <w:lvlJc w:val="left"/>
      <w:lvlText w:val="(%1)"/>
      <w:numFmt w:val="lowerLetter"/>
      <w:start w:val="24"/>
    </w:lvl>
    <w:lvl w:ilvl="1">
      <w:lvlJc w:val="left"/>
      <w:lvlText w:val="%2."/>
      <w:numFmt w:val="decimal"/>
      <w:start w:val="3"/>
    </w:lvl>
    <w:lvl w:ilvl="2">
      <w:lvlJc w:val="left"/>
      <w:lvlText w:val="(%3)"/>
      <w:numFmt w:val="lowerLetter"/>
      <w:start w:val="2"/>
    </w:lvl>
    <w:lvl w:ilvl="3">
      <w:lvlJc w:val="left"/>
      <w:lvlText w:val="(%4)"/>
      <w:numFmt w:val="lowerLetter"/>
      <w:start w:val="22"/>
    </w:lvl>
  </w:abstractNum>
  <w:abstractNum w:abstractNumId="69">
    <w:nsid w:val="2A31B6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0">
    <w:nsid w:val="1849C29B"/>
    <w:multiLevelType w:val="hybridMultilevel"/>
    <w:lvl w:ilvl="0">
      <w:lvlJc w:val="left"/>
      <w:lvlText w:val="(%1)"/>
      <w:numFmt w:val="lowerLetter"/>
      <w:start w:val="3"/>
    </w:lvl>
  </w:abstractNum>
  <w:abstractNum w:abstractNumId="71">
    <w:nsid w:val="7DFF9D09"/>
    <w:multiLevelType w:val="hybridMultilevel"/>
    <w:lvl w:ilvl="0">
      <w:lvlJc w:val="left"/>
      <w:lvlText w:val="%1"/>
      <w:numFmt w:val="decimal"/>
      <w:start w:val="1"/>
    </w:lvl>
    <w:lvl w:ilvl="1">
      <w:lvlJc w:val="left"/>
      <w:lvlText w:val="(%2)"/>
      <w:numFmt w:val="lowerRoman"/>
      <w:start w:val="1"/>
    </w:lvl>
  </w:abstractNum>
  <w:abstractNum w:abstractNumId="72">
    <w:nsid w:val="754342"/>
    <w:multiLevelType w:val="hybridMultilevel"/>
    <w:lvl w:ilvl="0">
      <w:lvlJc w:val="left"/>
      <w:lvlText w:val="(%1)"/>
      <w:numFmt w:val="decimal"/>
      <w:start w:val="6"/>
    </w:lvl>
    <w:lvl w:ilvl="1">
      <w:lvlJc w:val="left"/>
      <w:lvlText w:val="%2"/>
      <w:numFmt w:val="lowerRoman"/>
      <w:start w:val="1"/>
    </w:lvl>
  </w:abstractNum>
  <w:abstractNum w:abstractNumId="73">
    <w:nsid w:val="69E7F3E5"/>
    <w:multiLevelType w:val="hybridMultilevel"/>
    <w:lvl w:ilvl="0">
      <w:lvlJc w:val="left"/>
      <w:lvlText w:val="(%1)"/>
      <w:numFmt w:val="decimal"/>
      <w:start w:val="1"/>
    </w:lvl>
    <w:lvl w:ilvl="1">
      <w:lvlJc w:val="left"/>
      <w:lvlText w:val="(%2)"/>
      <w:numFmt w:val="lowerRoman"/>
      <w:start w:val="4"/>
    </w:lvl>
  </w:abstractNum>
  <w:abstractNum w:abstractNumId="74">
    <w:nsid w:val="2A6DE806"/>
    <w:multiLevelType w:val="hybridMultilevel"/>
    <w:lvl w:ilvl="0">
      <w:lvlJc w:val="left"/>
      <w:lvlText w:val="%1."/>
      <w:numFmt w:val="decimal"/>
      <w:start w:val="5"/>
    </w:lvl>
  </w:abstractNum>
  <w:abstractNum w:abstractNumId="75">
    <w:nsid w:val="1816F8C4"/>
    <w:multiLevelType w:val="hybridMultilevel"/>
    <w:lvl w:ilvl="0">
      <w:lvlJc w:val="left"/>
      <w:lvlText w:val="%1"/>
      <w:numFmt w:val="lowerRoman"/>
      <w:start w:val="1"/>
    </w:lvl>
    <w:lvl w:ilvl="1">
      <w:lvlJc w:val="left"/>
      <w:lvlText w:val="(%2)"/>
      <w:numFmt w:val="lowerLetter"/>
      <w:start w:val="1"/>
    </w:lvl>
  </w:abstractNum>
  <w:abstractNum w:abstractNumId="76">
    <w:nsid w:val="37DF2233"/>
    <w:multiLevelType w:val="hybridMultilevel"/>
    <w:lvl w:ilvl="0">
      <w:lvlJc w:val="left"/>
      <w:lvlText w:val="(%1)"/>
      <w:numFmt w:val="lowerRoman"/>
      <w:start w:val="4"/>
    </w:lvl>
    <w:lvl w:ilvl="1">
      <w:lvlJc w:val="left"/>
      <w:lvlText w:val="%2"/>
      <w:numFmt w:val="lowerLetter"/>
      <w:start w:val="1"/>
    </w:lvl>
  </w:abstractNum>
  <w:abstractNum w:abstractNumId="77">
    <w:nsid w:val="7AB49D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
    <w:nsid w:val="759F82CD"/>
    <w:multiLevelType w:val="hybridMultilevel"/>
    <w:lvl w:ilvl="0">
      <w:lvlJc w:val="left"/>
      <w:lvlText w:val="(%1)"/>
      <w:numFmt w:val="lowerRoman"/>
      <w:start w:val="4"/>
    </w:lvl>
  </w:abstractNum>
  <w:abstractNum w:abstractNumId="79">
    <w:nsid w:val="61E74EA3"/>
    <w:multiLevelType w:val="hybridMultilevel"/>
    <w:lvl w:ilvl="0">
      <w:lvlJc w:val="left"/>
      <w:lvlText w:val="(%1)"/>
      <w:numFmt w:val="lowerRoman"/>
      <w:start w:val="5"/>
    </w:lvl>
  </w:abstractNum>
  <w:abstractNum w:abstractNumId="80">
    <w:nsid w:val="597B4D84"/>
    <w:multiLevelType w:val="hybridMultilevel"/>
    <w:lvl w:ilvl="0">
      <w:lvlJc w:val="left"/>
      <w:lvlText w:val="(%1)"/>
      <w:numFmt w:val="lowerRoman"/>
      <w:start w:val="6"/>
    </w:lvl>
  </w:abstractNum>
  <w:abstractNum w:abstractNumId="81">
    <w:nsid w:val="F819E7F"/>
    <w:multiLevelType w:val="hybridMultilevel"/>
    <w:lvl w:ilvl="0">
      <w:lvlJc w:val="left"/>
      <w:lvlText w:val="(%1)"/>
      <w:numFmt w:val="lowerLetter"/>
      <w:start w:val="2"/>
    </w:lvl>
    <w:lvl w:ilvl="1">
      <w:lvlJc w:val="left"/>
      <w:lvlText w:val="(%2)"/>
      <w:numFmt w:val="lowerRoman"/>
      <w:start w:val="1"/>
    </w:lvl>
  </w:abstractNum>
  <w:abstractNum w:abstractNumId="82">
    <w:nsid w:val="57C7D42D"/>
    <w:multiLevelType w:val="hybridMultilevel"/>
    <w:lvl w:ilvl="0">
      <w:lvlJc w:val="left"/>
      <w:lvlText w:val="(%1)"/>
      <w:numFmt w:val="lowerLetter"/>
      <w:start w:val="3"/>
    </w:lvl>
  </w:abstractNum>
  <w:abstractNum w:abstractNumId="83">
    <w:nsid w:val="312167AD"/>
    <w:multiLevelType w:val="hybridMultilevel"/>
    <w:lvl w:ilvl="0">
      <w:lvlJc w:val="left"/>
      <w:lvlText w:val="(%1)"/>
      <w:numFmt w:val="lowerLetter"/>
      <w:start w:val="5"/>
    </w:lvl>
  </w:abstractNum>
  <w:abstractNum w:abstractNumId="84">
    <w:nsid w:val="631B64D4"/>
    <w:multiLevelType w:val="hybridMultilevel"/>
    <w:lvl w:ilvl="0">
      <w:lvlJc w:val="left"/>
      <w:lvlText w:val="(%1)"/>
      <w:numFmt w:val="lowerLetter"/>
      <w:start w:val="7"/>
    </w:lvl>
    <w:lvl w:ilvl="1">
      <w:lvlJc w:val="left"/>
      <w:lvlText w:val="(%2)"/>
      <w:numFmt w:val="lowerRoman"/>
      <w:start w:val="1"/>
    </w:lvl>
  </w:abstractNum>
  <w:abstractNum w:abstractNumId="85">
    <w:nsid w:val="78B5E776"/>
    <w:multiLevelType w:val="hybridMultilevel"/>
    <w:lvl w:ilvl="0">
      <w:lvlJc w:val="left"/>
      <w:lvlText w:val="%1"/>
      <w:numFmt w:val="decimal"/>
      <w:start w:val="1"/>
    </w:lvl>
    <w:lvl w:ilvl="1">
      <w:lvlJc w:val="left"/>
      <w:lvlText w:val="(%2)"/>
      <w:numFmt w:val="lowerLetter"/>
      <w:start w:val="8"/>
    </w:lvl>
  </w:abstractNum>
  <w:abstractNum w:abstractNumId="86">
    <w:nsid w:val="75486E47"/>
    <w:multiLevelType w:val="hybridMultilevel"/>
    <w:lvl w:ilvl="0">
      <w:lvlJc w:val="left"/>
      <w:lvlText w:val="(%1)"/>
      <w:numFmt w:val="decimal"/>
      <w:start w:val="17"/>
    </w:lvl>
    <w:lvl w:ilvl="1">
      <w:lvlJc w:val="left"/>
      <w:lvlText w:val="%2"/>
      <w:numFmt w:val="lowerLetter"/>
      <w:start w:val="1"/>
    </w:lvl>
  </w:abstractNum>
  <w:abstractNum w:abstractNumId="87">
    <w:nsid w:val="6E534CDE"/>
    <w:multiLevelType w:val="hybridMultilevel"/>
    <w:lvl w:ilvl="0">
      <w:lvlJc w:val="left"/>
      <w:lvlText w:val="%1."/>
      <w:numFmt w:val="decimal"/>
      <w:start w:val="7"/>
    </w:lvl>
    <w:lvl w:ilvl="1">
      <w:lvlJc w:val="left"/>
      <w:lvlText w:val="(%2)"/>
      <w:numFmt w:val="lowerLetter"/>
      <w:start w:val="1"/>
    </w:lvl>
  </w:abstractNum>
  <w:abstractNum w:abstractNumId="88">
    <w:nsid w:val="1A0DDE32"/>
    <w:multiLevelType w:val="hybridMultilevel"/>
    <w:lvl w:ilvl="0">
      <w:lvlJc w:val="left"/>
      <w:lvlText w:val="(%1)"/>
      <w:numFmt w:val="lowerLetter"/>
      <w:start w:val="2"/>
    </w:lvl>
  </w:abstractNum>
  <w:abstractNum w:abstractNumId="89">
    <w:nsid w:val="65968C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0">
    <w:nsid w:val="46263DE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1">
    <w:nsid w:val="260D8C4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92">
    <w:nsid w:val="73D4D3C4"/>
    <w:multiLevelType w:val="hybridMultilevel"/>
    <w:lvl w:ilvl="0">
      <w:lvlJc w:val="left"/>
      <w:lvlText w:val="(%1)"/>
      <w:numFmt w:val="lowerLetter"/>
      <w:start w:val="4"/>
    </w:lvl>
  </w:abstractNum>
  <w:abstractNum w:abstractNumId="93">
    <w:nsid w:val="746F2E30"/>
    <w:multiLevelType w:val="hybridMultilevel"/>
    <w:lvl w:ilvl="0">
      <w:lvlJc w:val="left"/>
      <w:lvlText w:val="(%1)"/>
      <w:numFmt w:val="lowerLetter"/>
      <w:start w:val="8"/>
    </w:lvl>
  </w:abstractNum>
  <w:abstractNum w:abstractNumId="94">
    <w:nsid w:val="6FDE8AF6"/>
    <w:multiLevelType w:val="hybridMultilevel"/>
    <w:lvl w:ilvl="0">
      <w:lvlJc w:val="left"/>
      <w:lvlText w:val="%1."/>
      <w:numFmt w:val="decimal"/>
      <w:start w:val="1"/>
    </w:lvl>
  </w:abstractNum>
  <w:abstractNum w:abstractNumId="95">
    <w:nsid w:val="3FC32E20"/>
    <w:multiLevelType w:val="hybridMultilevel"/>
    <w:lvl w:ilvl="0">
      <w:lvlJc w:val="left"/>
      <w:lvlText w:val="%1."/>
      <w:numFmt w:val="decimal"/>
      <w:start w:val="3"/>
    </w:lvl>
  </w:abstractNum>
  <w:abstractNum w:abstractNumId="96">
    <w:nsid w:val="49C0E823"/>
    <w:multiLevelType w:val="hybridMultilevel"/>
    <w:lvl w:ilvl="0">
      <w:lvlJc w:val="left"/>
      <w:lvlText w:val="(%1)"/>
      <w:numFmt w:val="lowerLetter"/>
      <w:start w:val="1"/>
    </w:lvl>
  </w:abstractNum>
  <w:abstractNum w:abstractNumId="97">
    <w:nsid w:val="14D53685"/>
    <w:multiLevelType w:val="hybridMultilevel"/>
    <w:lvl w:ilvl="0">
      <w:lvlJc w:val="left"/>
      <w:lvlText w:val="(%1)"/>
      <w:numFmt w:val="lowerLetter"/>
      <w:start w:val="2"/>
    </w:lvl>
  </w:abstractNum>
  <w:abstractNum w:abstractNumId="98">
    <w:nsid w:val="230F856C"/>
    <w:multiLevelType w:val="hybridMultilevel"/>
    <w:lvl w:ilvl="0">
      <w:lvlJc w:val="left"/>
      <w:lvlText w:val="(%1)"/>
      <w:numFmt w:val="decimal"/>
      <w:start w:val="1"/>
    </w:lvl>
  </w:abstractNum>
  <w:abstractNum w:abstractNumId="99">
    <w:nsid w:val="6EAA85FB"/>
    <w:multiLevelType w:val="hybridMultilevel"/>
    <w:lvl w:ilvl="0">
      <w:lvlJc w:val="left"/>
      <w:lvlText w:val="%1."/>
      <w:numFmt w:val="decimal"/>
      <w:start w:val="4"/>
    </w:lvl>
  </w:abstractNum>
  <w:abstractNum w:abstractNumId="100">
    <w:nsid w:val="3F06ECB2"/>
    <w:multiLevelType w:val="hybridMultilevel"/>
    <w:lvl w:ilvl="0">
      <w:lvlJc w:val="left"/>
      <w:lvlText w:val="%1."/>
      <w:numFmt w:val="decimal"/>
      <w:start w:val="5"/>
    </w:lvl>
  </w:abstractNum>
  <w:abstractNum w:abstractNumId="101">
    <w:nsid w:val="3B594807"/>
    <w:multiLevelType w:val="hybridMultilevel"/>
    <w:lvl w:ilvl="0">
      <w:lvlJc w:val="left"/>
      <w:lvlText w:val="%1"/>
      <w:numFmt w:val="decimal"/>
      <w:start w:val="1"/>
    </w:lvl>
    <w:lvl w:ilvl="1">
      <w:lvlJc w:val="left"/>
      <w:lvlText w:val="%2."/>
      <w:numFmt w:val="decimal"/>
      <w:start w:val="6"/>
    </w:lvl>
  </w:abstractNum>
  <w:abstractNum w:abstractNumId="102">
    <w:nsid w:val="6CAA2304"/>
    <w:multiLevelType w:val="hybridMultilevel"/>
    <w:lvl w:ilvl="0">
      <w:lvlJc w:val="left"/>
      <w:lvlText w:val="(%1)"/>
      <w:numFmt w:val="decimal"/>
      <w:start w:val="2"/>
    </w:lvl>
    <w:lvl w:ilvl="1">
      <w:lvlJc w:val="left"/>
      <w:lvlText w:val="%2"/>
      <w:numFmt w:val="decimal"/>
      <w:start w:val="1"/>
    </w:lvl>
  </w:abstractNum>
  <w:abstractNum w:abstractNumId="103">
    <w:nsid w:val="3F7C2FF4"/>
    <w:multiLevelType w:val="hybridMultilevel"/>
    <w:lvl w:ilvl="0">
      <w:lvlJc w:val="left"/>
      <w:lvlText w:val="%1."/>
      <w:numFmt w:val="decimal"/>
      <w:start w:val="8"/>
    </w:lvl>
  </w:abstractNum>
  <w:abstractNum w:abstractNumId="104">
    <w:nsid w:val="25413BEC"/>
    <w:multiLevelType w:val="hybridMultilevel"/>
    <w:lvl w:ilvl="0">
      <w:lvlJc w:val="left"/>
      <w:lvlText w:val="%1"/>
      <w:numFmt w:val="decimal"/>
      <w:start w:val="1"/>
    </w:lvl>
    <w:lvl w:ilvl="1">
      <w:lvlJc w:val="left"/>
      <w:lvlText w:val="%2."/>
      <w:numFmt w:val="decimal"/>
      <w:start w:val="16"/>
    </w:lvl>
  </w:abstractNum>
  <w:abstractNum w:abstractNumId="105">
    <w:nsid w:val="17180B0B"/>
    <w:multiLevelType w:val="hybridMultilevel"/>
    <w:lvl w:ilvl="0">
      <w:lvlJc w:val="left"/>
      <w:lvlText w:val="(%1)"/>
      <w:numFmt w:val="decimal"/>
      <w:start w:val="4"/>
    </w:lvl>
    <w:lvl w:ilvl="1">
      <w:lvlJc w:val="left"/>
      <w:lvlText w:val="%2"/>
      <w:numFmt w:val="decimal"/>
      <w:start w:val="1"/>
    </w:lvl>
  </w:abstractNum>
  <w:abstractNum w:abstractNumId="106">
    <w:nsid w:val="579328B9"/>
    <w:multiLevelType w:val="hybridMultilevel"/>
    <w:lvl w:ilvl="0">
      <w:lvlJc w:val="left"/>
      <w:lvlText w:val="%1."/>
      <w:numFmt w:val="decimal"/>
      <w:start w:val="22"/>
    </w:lvl>
    <w:lvl w:ilvl="1">
      <w:lvlJc w:val="left"/>
      <w:lvlText w:val="(%2)"/>
      <w:numFmt w:val="lowerLetter"/>
      <w:start w:val="1"/>
    </w:lvl>
  </w:abstractNum>
  <w:abstractNum w:abstractNumId="107">
    <w:nsid w:val="5D205E20"/>
    <w:multiLevelType w:val="hybridMultilevel"/>
    <w:lvl w:ilvl="0">
      <w:lvlJc w:val="left"/>
      <w:lvlText w:val="(%1)"/>
      <w:numFmt w:val="lowerLetter"/>
      <w:start w:val="3"/>
    </w:lvl>
    <w:lvl w:ilvl="1">
      <w:lvlJc w:val="left"/>
      <w:lvlText w:val="*"/>
      <w:numFmt w:val="bullet"/>
      <w:start w:val="1"/>
    </w:lvl>
  </w:abstractNum>
  <w:abstractNum w:abstractNumId="108">
    <w:nsid w:val="11CCA8BA"/>
    <w:multiLevelType w:val="hybridMultilevel"/>
    <w:lvl w:ilvl="0">
      <w:lvlJc w:val="left"/>
      <w:lvlText w:val="(%1)"/>
      <w:numFmt w:val="decimal"/>
      <w:start w:val="6"/>
    </w:lvl>
  </w:abstractNum>
  <w:abstractNum w:abstractNumId="109">
    <w:nsid w:val="4D32AB86"/>
    <w:multiLevelType w:val="hybridMultilevel"/>
    <w:lvl w:ilvl="0">
      <w:lvlJc w:val="left"/>
      <w:lvlText w:val="%1."/>
      <w:numFmt w:val="decimal"/>
      <w:start w:val="1"/>
    </w:lvl>
  </w:abstractNum>
  <w:abstractNum w:abstractNumId="110">
    <w:nsid w:val="3F07AC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6B47F63E"/>
    <w:multiLevelType w:val="hybridMultilevel"/>
    <w:lvl w:ilvl="0">
      <w:lvlJc w:val="left"/>
      <w:lvlText w:val="%1"/>
      <w:numFmt w:val="lowerLetter"/>
      <w:start w:val="1"/>
    </w:lvl>
    <w:lvl w:ilvl="1">
      <w:lvlJc w:val="left"/>
      <w:lvlText w:val="(%2)"/>
      <w:numFmt w:val="lowerLetter"/>
      <w:start w:val="61"/>
    </w:lvl>
  </w:abstractNum>
  <w:abstractNum w:abstractNumId="112">
    <w:nsid w:val="5CB44A05"/>
    <w:multiLevelType w:val="hybridMultilevel"/>
    <w:lvl w:ilvl="0">
      <w:lvlJc w:val="left"/>
      <w:lvlText w:val="(%1)"/>
      <w:numFmt w:val="lowerLetter"/>
      <w:start w:val="2"/>
    </w:lvl>
    <w:lvl w:ilvl="1">
      <w:lvlJc w:val="left"/>
      <w:lvlText w:val="(%2)"/>
      <w:numFmt w:val="lowerLetter"/>
      <w:start w:val="9"/>
    </w:lvl>
  </w:abstractNum>
  <w:abstractNum w:abstractNumId="113">
    <w:nsid w:val="16CF80F1"/>
    <w:multiLevelType w:val="hybridMultilevel"/>
    <w:lvl w:ilvl="0">
      <w:lvlJc w:val="left"/>
      <w:lvlText w:val="%1"/>
      <w:numFmt w:val="decimal"/>
      <w:start w:val="1"/>
    </w:lvl>
    <w:lvl w:ilvl="1">
      <w:lvlJc w:val="left"/>
      <w:lvlText w:val="(%2)"/>
      <w:numFmt w:val="lowerRoman"/>
      <w:start w:val="2"/>
    </w:lvl>
  </w:abstractNum>
  <w:abstractNum w:abstractNumId="114">
    <w:nsid w:val="1C695DEC"/>
    <w:multiLevelType w:val="hybridMultilevel"/>
    <w:lvl w:ilvl="0">
      <w:lvlJc w:val="left"/>
      <w:lvlText w:val="(%1)"/>
      <w:numFmt w:val="decimal"/>
      <w:start w:val="12"/>
    </w:lvl>
    <w:lvl w:ilvl="1">
      <w:lvlJc w:val="left"/>
      <w:lvlText w:val="(%2)"/>
      <w:numFmt w:val="lowerRoman"/>
      <w:start w:val="3"/>
    </w:lvl>
  </w:abstractNum>
  <w:abstractNum w:abstractNumId="115">
    <w:nsid w:val="3FCFAED9"/>
    <w:multiLevelType w:val="hybridMultilevel"/>
    <w:lvl w:ilvl="0">
      <w:lvlJc w:val="left"/>
      <w:lvlText w:val="(%1)"/>
      <w:numFmt w:val="upperLetter"/>
      <w:start w:val="1"/>
    </w:lvl>
    <w:lvl w:ilvl="1">
      <w:lvlJc w:val="left"/>
      <w:lvlText w:val="(%2)"/>
      <w:numFmt w:val="lowerRoman"/>
      <w:start w:val="4"/>
    </w:lvl>
  </w:abstractNum>
  <w:abstractNum w:abstractNumId="116">
    <w:nsid w:val="F856867"/>
    <w:multiLevelType w:val="hybridMultilevel"/>
    <w:lvl w:ilvl="0">
      <w:lvlJc w:val="left"/>
      <w:lvlText w:val="(%1)"/>
      <w:numFmt w:val="lowerLetter"/>
      <w:start w:val="24"/>
    </w:lvl>
    <w:lvl w:ilvl="1">
      <w:lvlJc w:val="left"/>
      <w:lvlText w:val="%2."/>
      <w:numFmt w:val="decimal"/>
      <w:start w:val="3"/>
    </w:lvl>
    <w:lvl w:ilvl="2">
      <w:lvlJc w:val="left"/>
      <w:lvlText w:val="(%3)"/>
      <w:numFmt w:val="lowerLetter"/>
      <w:start w:val="2"/>
    </w:lvl>
    <w:lvl w:ilvl="3">
      <w:lvlJc w:val="left"/>
      <w:lvlText w:val="(%4)"/>
      <w:numFmt w:val="lowerLetter"/>
      <w:start w:val="22"/>
    </w:lvl>
  </w:abstractNum>
  <w:abstractNum w:abstractNumId="117">
    <w:nsid w:val="11B1CC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8">
    <w:nsid w:val="2E22FBB7"/>
    <w:multiLevelType w:val="hybridMultilevel"/>
    <w:lvl w:ilvl="0">
      <w:lvlJc w:val="left"/>
      <w:lvlText w:val="(%1)"/>
      <w:numFmt w:val="lowerLetter"/>
      <w:start w:val="3"/>
    </w:lvl>
  </w:abstractNum>
  <w:abstractNum w:abstractNumId="119">
    <w:nsid w:val="29934699"/>
    <w:multiLevelType w:val="hybridMultilevel"/>
    <w:lvl w:ilvl="0">
      <w:lvlJc w:val="left"/>
      <w:lvlText w:val="%1"/>
      <w:numFmt w:val="decimal"/>
      <w:start w:val="1"/>
    </w:lvl>
    <w:lvl w:ilvl="1">
      <w:lvlJc w:val="left"/>
      <w:lvlText w:val="(%2)"/>
      <w:numFmt w:val="lowerRoman"/>
      <w:start w:val="1"/>
    </w:lvl>
  </w:abstractNum>
  <w:abstractNum w:abstractNumId="120">
    <w:nsid w:val="77485850"/>
    <w:multiLevelType w:val="hybridMultilevel"/>
    <w:lvl w:ilvl="0">
      <w:lvlJc w:val="left"/>
      <w:lvlText w:val="(%1)"/>
      <w:numFmt w:val="decimal"/>
      <w:start w:val="6"/>
    </w:lvl>
    <w:lvl w:ilvl="1">
      <w:lvlJc w:val="left"/>
      <w:lvlText w:val="%2"/>
      <w:numFmt w:val="lowerRoman"/>
      <w:start w:val="1"/>
    </w:lvl>
  </w:abstractNum>
  <w:abstractNum w:abstractNumId="121">
    <w:nsid w:val="744939A3"/>
    <w:multiLevelType w:val="hybridMultilevel"/>
    <w:lvl w:ilvl="0">
      <w:lvlJc w:val="left"/>
      <w:lvlText w:val="(%1)"/>
      <w:numFmt w:val="decimal"/>
      <w:start w:val="1"/>
    </w:lvl>
    <w:lvl w:ilvl="1">
      <w:lvlJc w:val="left"/>
      <w:lvlText w:val="(%2)"/>
      <w:numFmt w:val="lowerRoman"/>
      <w:start w:val="4"/>
    </w:lvl>
  </w:abstractNum>
  <w:abstractNum w:abstractNumId="122">
    <w:nsid w:val="4FA0D2E3"/>
    <w:multiLevelType w:val="hybridMultilevel"/>
    <w:lvl w:ilvl="0">
      <w:lvlJc w:val="left"/>
      <w:lvlText w:val="%1."/>
      <w:numFmt w:val="decimal"/>
      <w:start w:val="5"/>
    </w:lvl>
  </w:abstractNum>
  <w:abstractNum w:abstractNumId="123">
    <w:nsid w:val="6B1D2C14"/>
    <w:multiLevelType w:val="hybridMultilevel"/>
    <w:lvl w:ilvl="0">
      <w:lvlJc w:val="left"/>
      <w:lvlText w:val="%1"/>
      <w:numFmt w:val="lowerRoman"/>
      <w:start w:val="1"/>
    </w:lvl>
    <w:lvl w:ilvl="1">
      <w:lvlJc w:val="left"/>
      <w:lvlText w:val="(%2)"/>
      <w:numFmt w:val="lowerLetter"/>
      <w:start w:val="1"/>
    </w:lvl>
  </w:abstractNum>
  <w:abstractNum w:abstractNumId="124">
    <w:nsid w:val="68B867D3"/>
    <w:multiLevelType w:val="hybridMultilevel"/>
    <w:lvl w:ilvl="0">
      <w:lvlJc w:val="left"/>
      <w:lvlText w:val="(%1)"/>
      <w:numFmt w:val="lowerRoman"/>
      <w:start w:val="4"/>
    </w:lvl>
    <w:lvl w:ilvl="1">
      <w:lvlJc w:val="left"/>
      <w:lvlText w:val="%2"/>
      <w:numFmt w:val="lowerLetter"/>
      <w:start w:val="1"/>
    </w:lvl>
  </w:abstractNum>
  <w:abstractNum w:abstractNumId="125">
    <w:nsid w:val="3F7F5DD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26">
    <w:nsid w:val="2AE05A34"/>
    <w:multiLevelType w:val="hybridMultilevel"/>
    <w:lvl w:ilvl="0">
      <w:lvlJc w:val="left"/>
      <w:lvlText w:val="(%1)"/>
      <w:numFmt w:val="lowerRoman"/>
      <w:start w:val="2"/>
    </w:lvl>
    <w:lvl w:ilvl="1">
      <w:lvlJc w:val="left"/>
      <w:lvlText w:val="(%2)"/>
      <w:numFmt w:val="lowerRoman"/>
      <w:start w:val="3"/>
    </w:lvl>
  </w:abstractNum>
  <w:abstractNum w:abstractNumId="127">
    <w:nsid w:val="32794FF7"/>
    <w:multiLevelType w:val="hybridMultilevel"/>
    <w:lvl w:ilvl="0">
      <w:lvlJc w:val="left"/>
      <w:lvlText w:val="(%1)"/>
      <w:numFmt w:val="lowerRoman"/>
      <w:start w:val="4"/>
    </w:lvl>
  </w:abstractNum>
  <w:abstractNum w:abstractNumId="128">
    <w:nsid w:val="5454945E"/>
    <w:multiLevelType w:val="hybridMultilevel"/>
    <w:lvl w:ilvl="0">
      <w:lvlJc w:val="left"/>
      <w:lvlText w:val="(%1)"/>
      <w:numFmt w:val="lowerRoman"/>
      <w:start w:val="5"/>
    </w:lvl>
  </w:abstractNum>
  <w:abstractNum w:abstractNumId="129">
    <w:nsid w:val="4DEFDFA0"/>
    <w:multiLevelType w:val="hybridMultilevel"/>
    <w:lvl w:ilvl="0">
      <w:lvlJc w:val="left"/>
      <w:lvlText w:val="(%1)"/>
      <w:numFmt w:val="lowerRoman"/>
      <w:start w:val="6"/>
    </w:lvl>
  </w:abstractNum>
  <w:abstractNum w:abstractNumId="130">
    <w:nsid w:val="2123D5F2"/>
    <w:multiLevelType w:val="hybridMultilevel"/>
    <w:lvl w:ilvl="0">
      <w:lvlJc w:val="left"/>
      <w:lvlText w:val="(%1)"/>
      <w:numFmt w:val="lowerLetter"/>
      <w:start w:val="2"/>
    </w:lvl>
    <w:lvl w:ilvl="1">
      <w:lvlJc w:val="left"/>
      <w:lvlText w:val="(%2)"/>
      <w:numFmt w:val="lowerRoman"/>
      <w:start w:val="1"/>
    </w:lvl>
  </w:abstractNum>
  <w:abstractNum w:abstractNumId="131">
    <w:nsid w:val="135B8110"/>
    <w:multiLevelType w:val="hybridMultilevel"/>
    <w:lvl w:ilvl="0">
      <w:lvlJc w:val="left"/>
      <w:lvlText w:val="(%1)"/>
      <w:numFmt w:val="lowerLetter"/>
      <w:start w:val="3"/>
    </w:lvl>
  </w:abstractNum>
  <w:abstractNum w:abstractNumId="132">
    <w:nsid w:val="94927A8"/>
    <w:multiLevelType w:val="hybridMultilevel"/>
    <w:lvl w:ilvl="0">
      <w:lvlJc w:val="left"/>
      <w:lvlText w:val="(%1)"/>
      <w:numFmt w:val="lowerLetter"/>
      <w:start w:val="4"/>
    </w:lvl>
  </w:abstractNum>
  <w:abstractNum w:abstractNumId="133">
    <w:nsid w:val="DCDF8F6"/>
    <w:multiLevelType w:val="hybridMultilevel"/>
    <w:lvl w:ilvl="0">
      <w:lvlJc w:val="left"/>
      <w:lvlText w:val="(%1)"/>
      <w:numFmt w:val="lowerLetter"/>
      <w:start w:val="6"/>
    </w:lvl>
    <w:lvl w:ilvl="1">
      <w:lvlJc w:val="left"/>
      <w:lvlText w:val="(%2)"/>
      <w:numFmt w:val="lowerRoman"/>
      <w:start w:val="1"/>
    </w:lvl>
  </w:abstractNum>
  <w:abstractNum w:abstractNumId="134">
    <w:nsid w:val="52D7B105"/>
    <w:multiLevelType w:val="hybridMultilevel"/>
    <w:lvl w:ilvl="0">
      <w:lvlJc w:val="left"/>
      <w:lvlText w:val="%1"/>
      <w:numFmt w:val="decimal"/>
      <w:start w:val="1"/>
    </w:lvl>
    <w:lvl w:ilvl="1">
      <w:lvlJc w:val="left"/>
      <w:lvlText w:val="(%2)"/>
      <w:numFmt w:val="lowerLetter"/>
      <w:start w:val="8"/>
    </w:lvl>
  </w:abstractNum>
  <w:abstractNum w:abstractNumId="135">
    <w:nsid w:val="2E8A6394"/>
    <w:multiLevelType w:val="hybridMultilevel"/>
    <w:lvl w:ilvl="0">
      <w:lvlJc w:val="left"/>
      <w:lvlText w:val="(%1)"/>
      <w:numFmt w:val="decimal"/>
      <w:start w:val="17"/>
    </w:lvl>
    <w:lvl w:ilvl="1">
      <w:lvlJc w:val="left"/>
      <w:lvlText w:val="%2"/>
      <w:numFmt w:val="lowerLetter"/>
      <w:start w:val="1"/>
    </w:lvl>
  </w:abstractNum>
  <w:abstractNum w:abstractNumId="136">
    <w:nsid w:val="24E60401"/>
    <w:multiLevelType w:val="hybridMultilevel"/>
    <w:lvl w:ilvl="0">
      <w:lvlJc w:val="left"/>
      <w:lvlText w:val="%1."/>
      <w:numFmt w:val="decimal"/>
      <w:start w:val="7"/>
    </w:lvl>
    <w:lvl w:ilvl="1">
      <w:lvlJc w:val="left"/>
      <w:lvlText w:val="(%2)"/>
      <w:numFmt w:val="lowerLetter"/>
      <w:start w:val="1"/>
    </w:lvl>
  </w:abstractNum>
  <w:abstractNum w:abstractNumId="137">
    <w:nsid w:val="2A6AD9BE"/>
    <w:multiLevelType w:val="hybridMultilevel"/>
    <w:lvl w:ilvl="0">
      <w:lvlJc w:val="left"/>
      <w:lvlText w:val="(%1)"/>
      <w:numFmt w:val="lowerLetter"/>
      <w:start w:val="2"/>
    </w:lvl>
  </w:abstractNum>
  <w:abstractNum w:abstractNumId="138">
    <w:nsid w:val="BAAC1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39">
    <w:nsid w:val="36B2ACB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0">
    <w:nsid w:val="779D854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41">
    <w:nsid w:val="4AB26E78"/>
    <w:multiLevelType w:val="hybridMultilevel"/>
    <w:lvl w:ilvl="0">
      <w:lvlJc w:val="left"/>
      <w:lvlText w:val="(%1)"/>
      <w:numFmt w:val="lowerLetter"/>
      <w:start w:val="4"/>
    </w:lvl>
  </w:abstractNum>
  <w:abstractNum w:abstractNumId="142">
    <w:nsid w:val="21FAA2FA"/>
    <w:multiLevelType w:val="hybridMultilevel"/>
    <w:lvl w:ilvl="0">
      <w:lvlJc w:val="left"/>
      <w:lvlText w:val="(%1)"/>
      <w:numFmt w:val="lowerLetter"/>
      <w:start w:val="6"/>
    </w:lvl>
  </w:abstractNum>
  <w:abstractNum w:abstractNumId="143">
    <w:nsid w:val="5451CF49"/>
    <w:multiLevelType w:val="hybridMultilevel"/>
    <w:lvl w:ilvl="0">
      <w:lvlJc w:val="left"/>
      <w:lvlText w:val="%1."/>
      <w:numFmt w:val="decimal"/>
      <w:start w:val="1"/>
    </w:lvl>
  </w:abstractNum>
  <w:abstractNum w:abstractNumId="144">
    <w:nsid w:val="6181EF69"/>
    <w:multiLevelType w:val="hybridMultilevel"/>
    <w:lvl w:ilvl="0">
      <w:lvlJc w:val="left"/>
      <w:lvlText w:val="%1."/>
      <w:numFmt w:val="decimal"/>
      <w:start w:val="2"/>
    </w:lvl>
  </w:abstractNum>
  <w:abstractNum w:abstractNumId="145">
    <w:nsid w:val="3E6400E6"/>
    <w:multiLevelType w:val="hybridMultilevel"/>
    <w:lvl w:ilvl="0">
      <w:lvlJc w:val="left"/>
      <w:lvlText w:val="(%1)"/>
      <w:numFmt w:val="lowerLetter"/>
      <w:start w:val="1"/>
    </w:lvl>
  </w:abstractNum>
  <w:abstractNum w:abstractNumId="146">
    <w:nsid w:val="14217E23"/>
    <w:multiLevelType w:val="hybridMultilevel"/>
    <w:lvl w:ilvl="0">
      <w:lvlJc w:val="left"/>
      <w:lvlText w:val="(%1)"/>
      <w:numFmt w:val="lowerLetter"/>
      <w:start w:val="2"/>
    </w:lvl>
  </w:abstractNum>
  <w:abstractNum w:abstractNumId="147">
    <w:nsid w:val="710757D0"/>
    <w:multiLevelType w:val="hybridMultilevel"/>
    <w:lvl w:ilvl="0">
      <w:lvlJc w:val="left"/>
      <w:lvlText w:val="(%1)"/>
      <w:numFmt w:val="decimal"/>
      <w:start w:val="1"/>
    </w:lvl>
  </w:abstractNum>
  <w:abstractNum w:abstractNumId="148">
    <w:nsid w:val="5015CD1A"/>
    <w:multiLevelType w:val="hybridMultilevel"/>
    <w:lvl w:ilvl="0">
      <w:lvlJc w:val="left"/>
      <w:lvlText w:val="%1."/>
      <w:numFmt w:val="decimal"/>
      <w:start w:val="4"/>
    </w:lvl>
  </w:abstractNum>
  <w:abstractNum w:abstractNumId="149">
    <w:nsid w:val="424479DA"/>
    <w:multiLevelType w:val="hybridMultilevel"/>
    <w:lvl w:ilvl="0">
      <w:lvlJc w:val="left"/>
      <w:lvlText w:val="%1."/>
      <w:numFmt w:val="decimal"/>
      <w:start w:val="5"/>
    </w:lvl>
  </w:abstractNum>
  <w:abstractNum w:abstractNumId="150">
    <w:nsid w:val="1A9A9E69"/>
    <w:multiLevelType w:val="hybridMultilevel"/>
    <w:lvl w:ilvl="0">
      <w:lvlJc w:val="left"/>
      <w:lvlText w:val="%1"/>
      <w:numFmt w:val="decimal"/>
      <w:start w:val="1"/>
    </w:lvl>
    <w:lvl w:ilvl="1">
      <w:lvlJc w:val="left"/>
      <w:lvlText w:val="%2."/>
      <w:numFmt w:val="decimal"/>
      <w:start w:val="6"/>
    </w:lvl>
  </w:abstractNum>
  <w:abstractNum w:abstractNumId="151">
    <w:nsid w:val="475E256A"/>
    <w:multiLevelType w:val="hybridMultilevel"/>
    <w:lvl w:ilvl="0">
      <w:lvlJc w:val="left"/>
      <w:lvlText w:val="(%1)"/>
      <w:numFmt w:val="decimal"/>
      <w:start w:val="2"/>
    </w:lvl>
    <w:lvl w:ilvl="1">
      <w:lvlJc w:val="left"/>
      <w:lvlText w:val="%2"/>
      <w:numFmt w:val="decimal"/>
      <w:start w:val="1"/>
    </w:lvl>
  </w:abstractNum>
  <w:abstractNum w:abstractNumId="152">
    <w:nsid w:val="368DB37E"/>
    <w:multiLevelType w:val="hybridMultilevel"/>
    <w:lvl w:ilvl="0">
      <w:lvlJc w:val="left"/>
      <w:lvlText w:val="%1."/>
      <w:numFmt w:val="decimal"/>
      <w:start w:val="8"/>
    </w:lvl>
  </w:abstractNum>
  <w:abstractNum w:abstractNumId="153">
    <w:nsid w:val="6A3B714C"/>
    <w:multiLevelType w:val="hybridMultilevel"/>
    <w:lvl w:ilvl="0">
      <w:lvlJc w:val="left"/>
      <w:lvlText w:val="%1."/>
      <w:numFmt w:val="decimal"/>
      <w:start w:val="14"/>
    </w:lvl>
  </w:abstractNum>
  <w:abstractNum w:abstractNumId="154">
    <w:nsid w:val="327B517E"/>
    <w:multiLevelType w:val="hybridMultilevel"/>
    <w:lvl w:ilvl="0">
      <w:lvlJc w:val="left"/>
      <w:lvlText w:val="%1"/>
      <w:numFmt w:val="decimal"/>
      <w:start w:val="1"/>
    </w:lvl>
    <w:lvl w:ilvl="1">
      <w:lvlJc w:val="left"/>
      <w:lvlText w:val="%2."/>
      <w:numFmt w:val="decimal"/>
      <w:start w:val="16"/>
    </w:lvl>
  </w:abstractNum>
  <w:abstractNum w:abstractNumId="155">
    <w:nsid w:val="1F461B51"/>
    <w:multiLevelType w:val="hybridMultilevel"/>
    <w:lvl w:ilvl="0">
      <w:lvlJc w:val="left"/>
      <w:lvlText w:val="(%1)"/>
      <w:numFmt w:val="decimal"/>
      <w:start w:val="4"/>
    </w:lvl>
    <w:lvl w:ilvl="1">
      <w:lvlJc w:val="left"/>
      <w:lvlText w:val="%2"/>
      <w:numFmt w:val="decimal"/>
      <w:start w:val="1"/>
    </w:lvl>
  </w:abstractNum>
  <w:abstractNum w:abstractNumId="156">
    <w:nsid w:val="29BACF25"/>
    <w:multiLevelType w:val="hybridMultilevel"/>
    <w:lvl w:ilvl="0">
      <w:lvlJc w:val="left"/>
      <w:lvlText w:val="%1."/>
      <w:numFmt w:val="decimal"/>
      <w:start w:val="22"/>
    </w:lvl>
  </w:abstractNum>
  <w:abstractNum w:abstractNumId="157">
    <w:nsid w:val="5D5BABB3"/>
    <w:multiLevelType w:val="hybridMultilevel"/>
    <w:lvl w:ilvl="0">
      <w:lvlJc w:val="left"/>
      <w:lvlText w:val="(%1)"/>
      <w:numFmt w:val="lowerLetter"/>
      <w:start w:val="1"/>
    </w:lvl>
  </w:abstractNum>
  <w:abstractNum w:abstractNumId="158">
    <w:nsid w:val="51BF6B48"/>
    <w:multiLevelType w:val="hybridMultilevel"/>
    <w:lvl w:ilvl="0">
      <w:lvlJc w:val="left"/>
      <w:lvlText w:val="(%1)"/>
      <w:numFmt w:val="decimal"/>
      <w:start w:val="6"/>
    </w:lvl>
  </w:abstractNum>
  <w:abstractNum w:abstractNumId="159">
    <w:nsid w:val="7E0F6384"/>
    <w:multiLevelType w:val="hybridMultilevel"/>
    <w:lvl w:ilvl="0">
      <w:lvlJc w:val="left"/>
      <w:lvlText w:val="%1."/>
      <w:numFmt w:val="decimal"/>
      <w:start w:val="1"/>
    </w:lvl>
  </w:abstractNum>
  <w:abstractNum w:abstractNumId="160">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1">
    <w:nsid w:val="72E3413A"/>
    <w:multiLevelType w:val="hybridMultilevel"/>
    <w:lvl w:ilvl="0">
      <w:lvlJc w:val="left"/>
      <w:lvlText w:val="%1"/>
      <w:numFmt w:val="lowerLetter"/>
      <w:start w:val="1"/>
    </w:lvl>
    <w:lvl w:ilvl="1">
      <w:lvlJc w:val="left"/>
      <w:lvlText w:val="(%2)"/>
      <w:numFmt w:val="lowerLetter"/>
      <w:start w:val="61"/>
    </w:lvl>
  </w:abstractNum>
  <w:abstractNum w:abstractNumId="162">
    <w:nsid w:val="116AE494"/>
    <w:multiLevelType w:val="hybridMultilevel"/>
    <w:lvl w:ilvl="0">
      <w:lvlJc w:val="left"/>
      <w:lvlText w:val="(%1)"/>
      <w:numFmt w:val="lowerLetter"/>
      <w:start w:val="2"/>
    </w:lvl>
    <w:lvl w:ilvl="1">
      <w:lvlJc w:val="left"/>
      <w:lvlText w:val="(%2)"/>
      <w:numFmt w:val="lowerLetter"/>
      <w:start w:val="9"/>
    </w:lvl>
  </w:abstractNum>
  <w:abstractNum w:abstractNumId="163">
    <w:nsid w:val="3494B2FB"/>
    <w:multiLevelType w:val="hybridMultilevel"/>
    <w:lvl w:ilvl="0">
      <w:lvlJc w:val="left"/>
      <w:lvlText w:val="%1"/>
      <w:numFmt w:val="decimal"/>
      <w:start w:val="1"/>
    </w:lvl>
    <w:lvl w:ilvl="1">
      <w:lvlJc w:val="left"/>
      <w:lvlText w:val="(%2)"/>
      <w:numFmt w:val="lowerRoman"/>
      <w:start w:val="2"/>
    </w:lvl>
  </w:abstractNum>
  <w:abstractNum w:abstractNumId="164">
    <w:nsid w:val="B13A31"/>
    <w:multiLevelType w:val="hybridMultilevel"/>
    <w:lvl w:ilvl="0">
      <w:lvlJc w:val="left"/>
      <w:lvlText w:val="(%1)"/>
      <w:numFmt w:val="decimal"/>
      <w:start w:val="12"/>
    </w:lvl>
    <w:lvl w:ilvl="1">
      <w:lvlJc w:val="left"/>
      <w:lvlText w:val="(%2)"/>
      <w:numFmt w:val="lowerRoman"/>
      <w:start w:val="3"/>
    </w:lvl>
  </w:abstractNum>
  <w:abstractNum w:abstractNumId="165">
    <w:nsid w:val="64429599"/>
    <w:multiLevelType w:val="hybridMultilevel"/>
    <w:lvl w:ilvl="0">
      <w:lvlJc w:val="left"/>
      <w:lvlText w:val="(%1)"/>
      <w:numFmt w:val="upperLetter"/>
      <w:start w:val="1"/>
    </w:lvl>
    <w:lvl w:ilvl="1">
      <w:lvlJc w:val="left"/>
      <w:lvlText w:val="(%2)"/>
      <w:numFmt w:val="lowerRoman"/>
      <w:start w:val="4"/>
    </w:lvl>
  </w:abstractNum>
  <w:abstractNum w:abstractNumId="166">
    <w:nsid w:val="631F1690"/>
    <w:multiLevelType w:val="hybridMultilevel"/>
    <w:lvl w:ilvl="0">
      <w:lvlJc w:val="left"/>
      <w:lvlText w:val="(%1)"/>
      <w:numFmt w:val="lowerLetter"/>
      <w:start w:val="24"/>
    </w:lvl>
    <w:lvl w:ilvl="1">
      <w:lvlJc w:val="left"/>
      <w:lvlText w:val="%2."/>
      <w:numFmt w:val="decimal"/>
      <w:start w:val="3"/>
    </w:lvl>
    <w:lvl w:ilvl="2">
      <w:lvlJc w:val="left"/>
      <w:lvlText w:val="(%3)"/>
      <w:numFmt w:val="lowerLetter"/>
      <w:start w:val="2"/>
    </w:lvl>
    <w:lvl w:ilvl="3">
      <w:lvlJc w:val="left"/>
      <w:lvlText w:val="(%4)"/>
      <w:numFmt w:val="lowerLetter"/>
      <w:start w:val="22"/>
    </w:lvl>
  </w:abstractNum>
  <w:abstractNum w:abstractNumId="167">
    <w:nsid w:val="25973E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68">
    <w:nsid w:val="EAD6F57"/>
    <w:multiLevelType w:val="hybridMultilevel"/>
    <w:lvl w:ilvl="0">
      <w:lvlJc w:val="left"/>
      <w:lvlText w:val="(%1)"/>
      <w:numFmt w:val="lowerLetter"/>
      <w:start w:val="3"/>
    </w:lvl>
  </w:abstractNum>
  <w:abstractNum w:abstractNumId="169">
    <w:nsid w:val="6EC9D844"/>
    <w:multiLevelType w:val="hybridMultilevel"/>
    <w:lvl w:ilvl="0">
      <w:lvlJc w:val="left"/>
      <w:lvlText w:val="%1"/>
      <w:numFmt w:val="decimal"/>
      <w:start w:val="1"/>
    </w:lvl>
    <w:lvl w:ilvl="1">
      <w:lvlJc w:val="left"/>
      <w:lvlText w:val="(%2)"/>
      <w:numFmt w:val="lowerRoman"/>
      <w:start w:val="1"/>
    </w:lvl>
  </w:abstractNum>
  <w:abstractNum w:abstractNumId="170">
    <w:nsid w:val="5C49EAEE"/>
    <w:multiLevelType w:val="hybridMultilevel"/>
    <w:lvl w:ilvl="0">
      <w:lvlJc w:val="left"/>
      <w:lvlText w:val="(%1)"/>
      <w:numFmt w:val="decimal"/>
      <w:start w:val="6"/>
    </w:lvl>
    <w:lvl w:ilvl="1">
      <w:lvlJc w:val="left"/>
      <w:lvlText w:val="%2"/>
      <w:numFmt w:val="lowerRoman"/>
      <w:start w:val="1"/>
    </w:lvl>
  </w:abstractNum>
  <w:abstractNum w:abstractNumId="171">
    <w:nsid w:val="64AF49B"/>
    <w:multiLevelType w:val="hybridMultilevel"/>
    <w:lvl w:ilvl="0">
      <w:lvlJc w:val="left"/>
      <w:lvlText w:val="(%1)"/>
      <w:numFmt w:val="decimal"/>
      <w:start w:val="1"/>
    </w:lvl>
    <w:lvl w:ilvl="1">
      <w:lvlJc w:val="left"/>
      <w:lvlText w:val="(%2)"/>
      <w:numFmt w:val="lowerRoman"/>
      <w:start w:val="4"/>
    </w:lvl>
  </w:abstractNum>
  <w:abstractNum w:abstractNumId="172">
    <w:nsid w:val="397C46BC"/>
    <w:multiLevelType w:val="hybridMultilevel"/>
    <w:lvl w:ilvl="0">
      <w:lvlJc w:val="left"/>
      <w:lvlText w:val="%1."/>
      <w:numFmt w:val="decimal"/>
      <w:start w:val="5"/>
    </w:lvl>
  </w:abstractNum>
  <w:abstractNum w:abstractNumId="173">
    <w:nsid w:val="7E448DE9"/>
    <w:multiLevelType w:val="hybridMultilevel"/>
    <w:lvl w:ilvl="0">
      <w:lvlJc w:val="left"/>
      <w:lvlText w:val="%1"/>
      <w:numFmt w:val="lowerRoman"/>
      <w:start w:val="1"/>
    </w:lvl>
    <w:lvl w:ilvl="1">
      <w:lvlJc w:val="left"/>
      <w:lvlText w:val="(%2)"/>
      <w:numFmt w:val="lowerLetter"/>
      <w:start w:val="1"/>
    </w:lvl>
  </w:abstractNum>
  <w:abstractNum w:abstractNumId="174">
    <w:nsid w:val="5A9CC3E5"/>
    <w:multiLevelType w:val="hybridMultilevel"/>
    <w:lvl w:ilvl="0">
      <w:lvlJc w:val="left"/>
      <w:lvlText w:val="(%1)"/>
      <w:numFmt w:val="lowerRoman"/>
      <w:start w:val="4"/>
    </w:lvl>
    <w:lvl w:ilvl="1">
      <w:lvlJc w:val="left"/>
      <w:lvlText w:val="%2"/>
      <w:numFmt w:val="lowerLetter"/>
      <w:start w:val="1"/>
    </w:lvl>
  </w:abstractNum>
  <w:abstractNum w:abstractNumId="175">
    <w:nsid w:val="1AFE362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6">
    <w:nsid w:val="3CA88ECF"/>
    <w:multiLevelType w:val="hybridMultilevel"/>
    <w:lvl w:ilvl="0">
      <w:lvlJc w:val="left"/>
      <w:lvlText w:val="(%1)"/>
      <w:numFmt w:val="lowerRoman"/>
      <w:start w:val="4"/>
    </w:lvl>
  </w:abstractNum>
  <w:abstractNum w:abstractNumId="177">
    <w:nsid w:val="6EBE4208"/>
    <w:multiLevelType w:val="hybridMultilevel"/>
    <w:lvl w:ilvl="0">
      <w:lvlJc w:val="left"/>
      <w:lvlText w:val="(%1)"/>
      <w:numFmt w:val="lowerRoman"/>
      <w:start w:val="5"/>
    </w:lvl>
  </w:abstractNum>
  <w:abstractNum w:abstractNumId="178">
    <w:nsid w:val="C058DF5"/>
    <w:multiLevelType w:val="hybridMultilevel"/>
    <w:lvl w:ilvl="0">
      <w:lvlJc w:val="left"/>
      <w:lvlText w:val="(%1)"/>
      <w:numFmt w:val="lowerRoman"/>
      <w:start w:val="6"/>
    </w:lvl>
  </w:abstractNum>
  <w:abstractNum w:abstractNumId="179">
    <w:nsid w:val="CBE5BE9"/>
    <w:multiLevelType w:val="hybridMultilevel"/>
    <w:lvl w:ilvl="0">
      <w:lvlJc w:val="left"/>
      <w:lvlText w:val="(%1)"/>
      <w:numFmt w:val="lowerLetter"/>
      <w:start w:val="2"/>
    </w:lvl>
    <w:lvl w:ilvl="1">
      <w:lvlJc w:val="left"/>
      <w:lvlText w:val="(%2)"/>
      <w:numFmt w:val="lowerRoman"/>
      <w:start w:val="1"/>
    </w:lvl>
  </w:abstractNum>
  <w:abstractNum w:abstractNumId="180">
    <w:nsid w:val="3102BBE2"/>
    <w:multiLevelType w:val="hybridMultilevel"/>
    <w:lvl w:ilvl="0">
      <w:lvlJc w:val="left"/>
      <w:lvlText w:val="(%1)"/>
      <w:numFmt w:val="lowerLetter"/>
      <w:start w:val="3"/>
    </w:lvl>
  </w:abstractNum>
  <w:abstractNum w:abstractNumId="181">
    <w:nsid w:val="26A02C5E"/>
    <w:multiLevelType w:val="hybridMultilevel"/>
    <w:lvl w:ilvl="0">
      <w:lvlJc w:val="left"/>
      <w:lvlText w:val="(%1)"/>
      <w:numFmt w:val="lowerLetter"/>
      <w:start w:val="5"/>
    </w:lvl>
  </w:abstractNum>
  <w:abstractNum w:abstractNumId="182">
    <w:nsid w:val="541C8153"/>
    <w:multiLevelType w:val="hybridMultilevel"/>
    <w:lvl w:ilvl="0">
      <w:lvlJc w:val="left"/>
      <w:lvlText w:val="(%1)"/>
      <w:numFmt w:val="lowerLetter"/>
      <w:start w:val="7"/>
    </w:lvl>
    <w:lvl w:ilvl="1">
      <w:lvlJc w:val="left"/>
      <w:lvlText w:val="(%2)"/>
      <w:numFmt w:val="lowerRoman"/>
      <w:start w:val="1"/>
    </w:lvl>
  </w:abstractNum>
  <w:abstractNum w:abstractNumId="183">
    <w:nsid w:val="67906F60"/>
    <w:multiLevelType w:val="hybridMultilevel"/>
    <w:lvl w:ilvl="0">
      <w:lvlJc w:val="left"/>
      <w:lvlText w:val="%1"/>
      <w:numFmt w:val="decimal"/>
      <w:start w:val="1"/>
    </w:lvl>
    <w:lvl w:ilvl="1">
      <w:lvlJc w:val="left"/>
      <w:lvlText w:val="(%2)"/>
      <w:numFmt w:val="lowerLetter"/>
      <w:start w:val="8"/>
    </w:lvl>
  </w:abstractNum>
  <w:abstractNum w:abstractNumId="184">
    <w:nsid w:val="10DB9DAA"/>
    <w:multiLevelType w:val="hybridMultilevel"/>
    <w:lvl w:ilvl="0">
      <w:lvlJc w:val="left"/>
      <w:lvlText w:val="(%1)"/>
      <w:numFmt w:val="decimal"/>
      <w:start w:val="17"/>
    </w:lvl>
    <w:lvl w:ilvl="1">
      <w:lvlJc w:val="left"/>
      <w:lvlText w:val="%2"/>
      <w:numFmt w:val="lowerLetter"/>
      <w:start w:val="1"/>
    </w:lvl>
  </w:abstractNum>
  <w:abstractNum w:abstractNumId="185">
    <w:nsid w:val="697D2D2"/>
    <w:multiLevelType w:val="hybridMultilevel"/>
    <w:lvl w:ilvl="0">
      <w:lvlJc w:val="left"/>
      <w:lvlText w:val="%1."/>
      <w:numFmt w:val="decimal"/>
      <w:start w:val="7"/>
    </w:lvl>
    <w:lvl w:ilvl="1">
      <w:lvlJc w:val="left"/>
      <w:lvlText w:val="(%2)"/>
      <w:numFmt w:val="lowerLetter"/>
      <w:start w:val="1"/>
    </w:lvl>
  </w:abstractNum>
  <w:abstractNum w:abstractNumId="186">
    <w:nsid w:val="6D68AB2"/>
    <w:multiLevelType w:val="hybridMultilevel"/>
    <w:lvl w:ilvl="0">
      <w:lvlJc w:val="left"/>
      <w:lvlText w:val="(%1)"/>
      <w:numFmt w:val="lowerLetter"/>
      <w:start w:val="2"/>
    </w:lvl>
  </w:abstractNum>
  <w:abstractNum w:abstractNumId="187">
    <w:nsid w:val="3A966C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88">
    <w:nsid w:val="63F37E8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89">
    <w:nsid w:val="5895F5F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90">
    <w:nsid w:val="38A5D054"/>
    <w:multiLevelType w:val="hybridMultilevel"/>
    <w:lvl w:ilvl="0">
      <w:lvlJc w:val="left"/>
      <w:lvlText w:val="(%1)"/>
      <w:numFmt w:val="lowerLetter"/>
      <w:start w:val="4"/>
    </w:lvl>
  </w:abstractNum>
  <w:abstractNum w:abstractNumId="191">
    <w:nsid w:val="F3F09D8"/>
    <w:multiLevelType w:val="hybridMultilevel"/>
    <w:lvl w:ilvl="0">
      <w:lvlJc w:val="left"/>
      <w:lvlText w:val="(%1)"/>
      <w:numFmt w:val="lowerLetter"/>
      <w:start w:val="8"/>
    </w:lvl>
  </w:abstractNum>
  <w:abstractNum w:abstractNumId="192">
    <w:nsid w:val="4B793735"/>
    <w:multiLevelType w:val="hybridMultilevel"/>
    <w:lvl w:ilvl="0">
      <w:lvlJc w:val="left"/>
      <w:lvlText w:val="%1."/>
      <w:numFmt w:val="decimal"/>
      <w:start w:val="1"/>
    </w:lvl>
  </w:abstractNum>
  <w:abstractNum w:abstractNumId="193">
    <w:nsid w:val="4A10B4E8"/>
    <w:multiLevelType w:val="hybridMultilevel"/>
    <w:lvl w:ilvl="0">
      <w:lvlJc w:val="left"/>
      <w:lvlText w:val="(%1)"/>
      <w:numFmt w:val="lowerLetter"/>
      <w:start w:val="1"/>
    </w:lvl>
  </w:abstractNum>
  <w:abstractNum w:abstractNumId="194">
    <w:nsid w:val="43D3BCD4"/>
    <w:multiLevelType w:val="hybridMultilevel"/>
    <w:lvl w:ilvl="0">
      <w:lvlJc w:val="left"/>
      <w:lvlText w:val="(%1)"/>
      <w:numFmt w:val="lowerLetter"/>
      <w:start w:val="2"/>
    </w:lvl>
  </w:abstractNum>
  <w:abstractNum w:abstractNumId="195">
    <w:nsid w:val="4C2A7166"/>
    <w:multiLevelType w:val="hybridMultilevel"/>
    <w:lvl w:ilvl="0">
      <w:lvlJc w:val="left"/>
      <w:lvlText w:val="(%1)"/>
      <w:numFmt w:val="decimal"/>
      <w:start w:val="1"/>
    </w:lvl>
  </w:abstractNum>
  <w:abstractNum w:abstractNumId="196">
    <w:nsid w:val="2E534A82"/>
    <w:multiLevelType w:val="hybridMultilevel"/>
    <w:lvl w:ilvl="0">
      <w:lvlJc w:val="left"/>
      <w:lvlText w:val="%1."/>
      <w:numFmt w:val="decimal"/>
      <w:start w:val="4"/>
    </w:lvl>
  </w:abstractNum>
  <w:abstractNum w:abstractNumId="197">
    <w:nsid w:val="26F2D364"/>
    <w:multiLevelType w:val="hybridMultilevel"/>
    <w:lvl w:ilvl="0">
      <w:lvlJc w:val="left"/>
      <w:lvlText w:val="%1"/>
      <w:numFmt w:val="decimal"/>
      <w:start w:val="1"/>
    </w:lvl>
    <w:lvl w:ilvl="1">
      <w:lvlJc w:val="left"/>
      <w:lvlText w:val="%2."/>
      <w:numFmt w:val="decimal"/>
      <w:start w:val="6"/>
    </w:lvl>
  </w:abstractNum>
  <w:abstractNum w:abstractNumId="198">
    <w:nsid w:val="71C1AF98"/>
    <w:multiLevelType w:val="hybridMultilevel"/>
    <w:lvl w:ilvl="0">
      <w:lvlJc w:val="left"/>
      <w:lvlText w:val="(%1)"/>
      <w:numFmt w:val="decimal"/>
      <w:start w:val="2"/>
    </w:lvl>
    <w:lvl w:ilvl="1">
      <w:lvlJc w:val="left"/>
      <w:lvlText w:val="%2"/>
      <w:numFmt w:val="decimal"/>
      <w:start w:val="1"/>
    </w:lvl>
  </w:abstractNum>
  <w:abstractNum w:abstractNumId="199">
    <w:nsid w:val="3D00B9D9"/>
    <w:multiLevelType w:val="hybridMultilevel"/>
    <w:lvl w:ilvl="0">
      <w:lvlJc w:val="left"/>
      <w:lvlText w:val="%1."/>
      <w:numFmt w:val="decimal"/>
      <w:start w:val="8"/>
    </w:lvl>
  </w:abstractNum>
  <w:abstractNum w:abstractNumId="200">
    <w:nsid w:val="15BCABA8"/>
    <w:multiLevelType w:val="hybridMultilevel"/>
    <w:lvl w:ilvl="0">
      <w:lvlJc w:val="left"/>
      <w:lvlText w:val="%1"/>
      <w:numFmt w:val="decimal"/>
      <w:start w:val="1"/>
    </w:lvl>
    <w:lvl w:ilvl="1">
      <w:lvlJc w:val="left"/>
      <w:lvlText w:val="%2."/>
      <w:numFmt w:val="decimal"/>
      <w:start w:val="16"/>
    </w:lvl>
  </w:abstractNum>
  <w:abstractNum w:abstractNumId="201">
    <w:nsid w:val="4E0B9A87"/>
    <w:multiLevelType w:val="hybridMultilevel"/>
    <w:lvl w:ilvl="0">
      <w:lvlJc w:val="left"/>
      <w:lvlText w:val="(%1)"/>
      <w:numFmt w:val="decimal"/>
      <w:start w:val="4"/>
    </w:lvl>
    <w:lvl w:ilvl="1">
      <w:lvlJc w:val="left"/>
      <w:lvlText w:val="%2"/>
      <w:numFmt w:val="decimal"/>
      <w:start w:val="1"/>
    </w:lvl>
  </w:abstractNum>
  <w:abstractNum w:abstractNumId="202">
    <w:nsid w:val="434BAE75"/>
    <w:multiLevelType w:val="hybridMultilevel"/>
    <w:lvl w:ilvl="0">
      <w:lvlJc w:val="left"/>
      <w:lvlText w:val="%1."/>
      <w:numFmt w:val="decimal"/>
      <w:start w:val="22"/>
    </w:lvl>
    <w:lvl w:ilvl="1">
      <w:lvlJc w:val="left"/>
      <w:lvlText w:val="(%2)"/>
      <w:numFmt w:val="lowerLetter"/>
      <w:start w:val="1"/>
    </w:lvl>
  </w:abstractNum>
  <w:abstractNum w:abstractNumId="203">
    <w:nsid w:val="4F38F265"/>
    <w:multiLevelType w:val="hybridMultilevel"/>
    <w:lvl w:ilvl="0">
      <w:lvlJc w:val="left"/>
      <w:lvlText w:val="(%1)"/>
      <w:numFmt w:val="lowerLetter"/>
      <w:start w:val="4"/>
    </w:lvl>
    <w:lvl w:ilvl="1">
      <w:lvlJc w:val="left"/>
      <w:lvlText w:val="*"/>
      <w:numFmt w:val="bullet"/>
      <w:start w:val="1"/>
    </w:lvl>
  </w:abstractNum>
  <w:abstractNum w:abstractNumId="204">
    <w:nsid w:val="4C502870"/>
    <w:multiLevelType w:val="hybridMultilevel"/>
    <w:lvl w:ilvl="0">
      <w:lvlJc w:val="left"/>
      <w:lvlText w:val="(%1)"/>
      <w:numFmt w:val="decimal"/>
      <w:start w:val="6"/>
    </w:lvl>
  </w:abstractNum>
  <w:abstractNum w:abstractNumId="205">
    <w:nsid w:val="1DE8725A"/>
    <w:multiLevelType w:val="hybridMultilevel"/>
    <w:lvl w:ilvl="0">
      <w:lvlJc w:val="left"/>
      <w:lvlText w:val="%1."/>
      <w:numFmt w:val="decimal"/>
      <w:start w:val="1"/>
    </w:lvl>
    <w:lvl w:ilvl="1">
      <w:lvlJc w:val="left"/>
      <w:lvlText w:val="%2)"/>
      <w:numFmt w:val="lowerLetter"/>
      <w:start w:val="1"/>
    </w:lvl>
  </w:abstractNum>
  <w:abstractNum w:abstractNumId="206">
    <w:nsid w:val="6A37288A"/>
    <w:multiLevelType w:val="hybridMultilevel"/>
    <w:lvl w:ilvl="0">
      <w:lvlJc w:val="left"/>
      <w:lvlText w:val="%1."/>
      <w:numFmt w:val="decimal"/>
      <w:start w:val="1"/>
    </w:lvl>
    <w:lvl w:ilvl="1">
      <w:lvlJc w:val="left"/>
      <w:lvlText w:val="%2)"/>
      <w:numFmt w:val="lowerLetter"/>
      <w:start w:val="1"/>
    </w:lvl>
  </w:abstractNum>
  <w:abstractNum w:abstractNumId="207">
    <w:nsid w:val="8F8B73F"/>
    <w:multiLevelType w:val="hybridMultilevel"/>
    <w:lvl w:ilvl="0">
      <w:lvlJc w:val="left"/>
      <w:lvlText w:val="(%1)"/>
      <w:numFmt w:val="decimal"/>
      <w:start w:val="1"/>
    </w:lvl>
  </w:abstractNum>
  <w:abstractNum w:abstractNumId="208">
    <w:nsid w:val="CA6B4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2019-12-29T16:57:10Z</dcterms:created>
  <dcterms:modified xsi:type="dcterms:W3CDTF">2019-12-29T16:57:10Z</dcterms:modified>
</cp:coreProperties>
</file>