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2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13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4"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71" w:lineRule="exact"/>
        <w:rPr>
          <w:sz w:val="24"/>
          <w:szCs w:val="24"/>
          <w:color w:val="auto"/>
        </w:rPr>
      </w:pPr>
    </w:p>
    <w:p>
      <w:pPr>
        <w:ind w:left="3980" w:right="1740" w:hanging="3900"/>
        <w:spacing w:after="0" w:line="485" w:lineRule="auto"/>
        <w:tabs>
          <w:tab w:leader="none" w:pos="39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2016</w:t>
      </w:r>
    </w:p>
    <w:p>
      <w:pPr>
        <w:spacing w:after="0" w:line="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33" w:lineRule="exact"/>
        <w:rPr>
          <w:sz w:val="24"/>
          <w:szCs w:val="24"/>
          <w:color w:val="auto"/>
        </w:rPr>
      </w:pPr>
    </w:p>
    <w:p>
      <w:pPr>
        <w:ind w:left="14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o</w:t>
      </w:r>
      <w:r>
        <w:rPr>
          <w:sz w:val="20"/>
          <w:szCs w:val="20"/>
          <w:color w:val="auto"/>
        </w:rPr>
        <w:tab/>
      </w: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52" w:lineRule="exact"/>
        <w:rPr>
          <w:sz w:val="24"/>
          <w:szCs w:val="24"/>
          <w:color w:val="auto"/>
        </w:rPr>
      </w:pPr>
    </w:p>
    <w:p>
      <w:pPr>
        <w:ind w:left="3920"/>
        <w:spacing w:after="0"/>
        <w:tabs>
          <w:tab w:leader="none" w:pos="68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25" w:lineRule="exact"/>
        <w:rPr>
          <w:sz w:val="24"/>
          <w:szCs w:val="24"/>
          <w:color w:val="auto"/>
        </w:rPr>
      </w:pPr>
    </w:p>
    <w:tbl>
      <w:tblPr>
        <w:tblLayout w:type="fixed"/>
        <w:tblInd w:w="1880" w:type="dxa"/>
        <w:tblCellMar>
          <w:top w:w="0" w:type="dxa"/>
          <w:left w:w="0" w:type="dxa"/>
          <w:bottom w:w="0" w:type="dxa"/>
          <w:right w:w="0" w:type="dxa"/>
        </w:tblCellMar>
      </w:tblPr>
      <w:tr>
        <w:trPr>
          <w:trHeight w:val="220"/>
        </w:trPr>
        <w:tc>
          <w:tcPr>
            <w:tcW w:w="2020" w:type="dxa"/>
            <w:vAlign w:val="bottom"/>
          </w:tcPr>
          <w:p>
            <w:pPr>
              <w:spacing w:after="0"/>
              <w:rPr>
                <w:sz w:val="19"/>
                <w:szCs w:val="19"/>
                <w:color w:val="auto"/>
              </w:rPr>
            </w:pPr>
          </w:p>
        </w:tc>
        <w:tc>
          <w:tcPr>
            <w:tcW w:w="5320" w:type="dxa"/>
            <w:vAlign w:val="bottom"/>
          </w:tcPr>
          <w:p>
            <w:pPr>
              <w:jc w:val="center"/>
              <w:ind w:right="1596"/>
              <w:spacing w:after="0"/>
              <w:rPr>
                <w:sz w:val="20"/>
                <w:szCs w:val="20"/>
                <w:color w:val="auto"/>
              </w:rPr>
            </w:pPr>
            <w:r>
              <w:rPr>
                <w:rFonts w:ascii="Times New Roman" w:cs="Times New Roman" w:eastAsia="Times New Roman" w:hAnsi="Times New Roman"/>
                <w:sz w:val="18"/>
                <w:szCs w:val="18"/>
                <w:b w:val="1"/>
                <w:bCs w:val="1"/>
                <w:color w:val="auto"/>
              </w:rPr>
              <w:t>Commission file number 001-36156</w:t>
            </w:r>
          </w:p>
        </w:tc>
      </w:tr>
      <w:tr>
        <w:trPr>
          <w:trHeight w:val="234"/>
        </w:trPr>
        <w:tc>
          <w:tcPr>
            <w:tcW w:w="2020" w:type="dxa"/>
            <w:vAlign w:val="bottom"/>
          </w:tcPr>
          <w:p>
            <w:pPr>
              <w:spacing w:after="0"/>
              <w:rPr>
                <w:sz w:val="20"/>
                <w:szCs w:val="20"/>
                <w:color w:val="auto"/>
              </w:rPr>
            </w:pPr>
          </w:p>
        </w:tc>
        <w:tc>
          <w:tcPr>
            <w:tcW w:w="5320" w:type="dxa"/>
            <w:vAlign w:val="bottom"/>
          </w:tcPr>
          <w:p>
            <w:pPr>
              <w:jc w:val="right"/>
              <w:ind w:right="1976"/>
              <w:spacing w:after="0"/>
              <w:rPr>
                <w:sz w:val="20"/>
                <w:szCs w:val="20"/>
                <w:color w:val="auto"/>
              </w:rPr>
            </w:pPr>
            <w:r>
              <w:rPr>
                <w:rFonts w:ascii="Times New Roman" w:cs="Times New Roman" w:eastAsia="Times New Roman" w:hAnsi="Times New Roman"/>
                <w:sz w:val="18"/>
                <w:szCs w:val="18"/>
                <w:color w:val="auto"/>
              </w:rPr>
              <w:t>________________________________</w:t>
            </w:r>
          </w:p>
        </w:tc>
      </w:tr>
      <w:tr>
        <w:trPr>
          <w:trHeight w:val="477"/>
        </w:trPr>
        <w:tc>
          <w:tcPr>
            <w:tcW w:w="2020" w:type="dxa"/>
            <w:vAlign w:val="bottom"/>
          </w:tcPr>
          <w:p>
            <w:pPr>
              <w:spacing w:after="0"/>
              <w:rPr>
                <w:sz w:val="24"/>
                <w:szCs w:val="24"/>
                <w:color w:val="auto"/>
              </w:rPr>
            </w:pPr>
          </w:p>
        </w:tc>
        <w:tc>
          <w:tcPr>
            <w:tcW w:w="5320" w:type="dxa"/>
            <w:vAlign w:val="bottom"/>
          </w:tcPr>
          <w:p>
            <w:pPr>
              <w:jc w:val="center"/>
              <w:ind w:right="1596"/>
              <w:spacing w:after="0"/>
              <w:rPr>
                <w:sz w:val="20"/>
                <w:szCs w:val="20"/>
                <w:color w:val="auto"/>
              </w:rPr>
            </w:pPr>
            <w:r>
              <w:rPr>
                <w:rFonts w:ascii="Times New Roman" w:cs="Times New Roman" w:eastAsia="Times New Roman" w:hAnsi="Times New Roman"/>
                <w:sz w:val="29"/>
                <w:szCs w:val="29"/>
                <w:b w:val="1"/>
                <w:bCs w:val="1"/>
                <w:color w:val="auto"/>
                <w:w w:val="99"/>
              </w:rPr>
              <w:t>VERACYTE, INC.</w:t>
            </w:r>
          </w:p>
        </w:tc>
      </w:tr>
      <w:tr>
        <w:trPr>
          <w:trHeight w:val="166"/>
        </w:trPr>
        <w:tc>
          <w:tcPr>
            <w:tcW w:w="2020" w:type="dxa"/>
            <w:vAlign w:val="bottom"/>
          </w:tcPr>
          <w:p>
            <w:pPr>
              <w:spacing w:after="0"/>
              <w:rPr>
                <w:sz w:val="14"/>
                <w:szCs w:val="14"/>
                <w:color w:val="auto"/>
              </w:rPr>
            </w:pPr>
          </w:p>
        </w:tc>
        <w:tc>
          <w:tcPr>
            <w:tcW w:w="5320" w:type="dxa"/>
            <w:vAlign w:val="bottom"/>
          </w:tcPr>
          <w:p>
            <w:pPr>
              <w:jc w:val="center"/>
              <w:ind w:right="1616"/>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r>
      <w:tr>
        <w:trPr>
          <w:trHeight w:val="234"/>
        </w:trPr>
        <w:tc>
          <w:tcPr>
            <w:tcW w:w="2020" w:type="dxa"/>
            <w:vAlign w:val="bottom"/>
          </w:tcPr>
          <w:p>
            <w:pPr>
              <w:spacing w:after="0"/>
              <w:rPr>
                <w:sz w:val="20"/>
                <w:szCs w:val="20"/>
                <w:color w:val="auto"/>
              </w:rPr>
            </w:pPr>
          </w:p>
        </w:tc>
        <w:tc>
          <w:tcPr>
            <w:tcW w:w="5320" w:type="dxa"/>
            <w:vAlign w:val="bottom"/>
          </w:tcPr>
          <w:p>
            <w:pPr>
              <w:jc w:val="right"/>
              <w:ind w:right="1996"/>
              <w:spacing w:after="0"/>
              <w:rPr>
                <w:sz w:val="20"/>
                <w:szCs w:val="20"/>
                <w:color w:val="auto"/>
              </w:rPr>
            </w:pPr>
            <w:r>
              <w:rPr>
                <w:rFonts w:ascii="Times New Roman" w:cs="Times New Roman" w:eastAsia="Times New Roman" w:hAnsi="Times New Roman"/>
                <w:sz w:val="18"/>
                <w:szCs w:val="18"/>
                <w:color w:val="auto"/>
              </w:rPr>
              <w:t>________________________________</w:t>
            </w:r>
          </w:p>
        </w:tc>
      </w:tr>
      <w:tr>
        <w:trPr>
          <w:trHeight w:val="540"/>
        </w:trPr>
        <w:tc>
          <w:tcPr>
            <w:tcW w:w="2020" w:type="dxa"/>
            <w:vAlign w:val="bottom"/>
          </w:tcPr>
          <w:p>
            <w:pPr>
              <w:jc w:val="center"/>
              <w:ind w:right="20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320" w:type="dxa"/>
            <w:vAlign w:val="bottom"/>
          </w:tcPr>
          <w:p>
            <w:pPr>
              <w:jc w:val="center"/>
              <w:ind w:left="4176"/>
              <w:spacing w:after="0"/>
              <w:rPr>
                <w:sz w:val="20"/>
                <w:szCs w:val="20"/>
                <w:color w:val="auto"/>
              </w:rPr>
            </w:pPr>
            <w:r>
              <w:rPr>
                <w:rFonts w:ascii="Times New Roman" w:cs="Times New Roman" w:eastAsia="Times New Roman" w:hAnsi="Times New Roman"/>
                <w:sz w:val="18"/>
                <w:szCs w:val="18"/>
                <w:b w:val="1"/>
                <w:bCs w:val="1"/>
                <w:color w:val="auto"/>
                <w:w w:val="98"/>
              </w:rPr>
              <w:t>20-5455398</w:t>
            </w:r>
          </w:p>
        </w:tc>
      </w:tr>
      <w:tr>
        <w:trPr>
          <w:trHeight w:val="220"/>
        </w:trPr>
        <w:tc>
          <w:tcPr>
            <w:tcW w:w="2020" w:type="dxa"/>
            <w:vAlign w:val="bottom"/>
          </w:tcPr>
          <w:p>
            <w:pPr>
              <w:jc w:val="center"/>
              <w:ind w:right="202"/>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5320" w:type="dxa"/>
            <w:vAlign w:val="bottom"/>
          </w:tcPr>
          <w:p>
            <w:pPr>
              <w:jc w:val="center"/>
              <w:ind w:left="4176"/>
              <w:spacing w:after="0"/>
              <w:rPr>
                <w:sz w:val="20"/>
                <w:szCs w:val="20"/>
                <w:color w:val="auto"/>
              </w:rPr>
            </w:pPr>
            <w:r>
              <w:rPr>
                <w:rFonts w:ascii="Times New Roman" w:cs="Times New Roman" w:eastAsia="Times New Roman" w:hAnsi="Times New Roman"/>
                <w:sz w:val="14"/>
                <w:szCs w:val="14"/>
                <w:color w:val="auto"/>
              </w:rPr>
              <w:t>(I.R.S. Employer</w:t>
            </w:r>
          </w:p>
        </w:tc>
      </w:tr>
      <w:tr>
        <w:trPr>
          <w:trHeight w:val="203"/>
        </w:trPr>
        <w:tc>
          <w:tcPr>
            <w:tcW w:w="2020" w:type="dxa"/>
            <w:vAlign w:val="bottom"/>
          </w:tcPr>
          <w:p>
            <w:pPr>
              <w:jc w:val="center"/>
              <w:ind w:right="202"/>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5320" w:type="dxa"/>
            <w:vAlign w:val="bottom"/>
          </w:tcPr>
          <w:p>
            <w:pPr>
              <w:jc w:val="center"/>
              <w:ind w:left="4156"/>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363"/>
        </w:trPr>
        <w:tc>
          <w:tcPr>
            <w:tcW w:w="2020" w:type="dxa"/>
            <w:vAlign w:val="bottom"/>
          </w:tcPr>
          <w:p>
            <w:pPr>
              <w:spacing w:after="0"/>
              <w:rPr>
                <w:sz w:val="24"/>
                <w:szCs w:val="24"/>
                <w:color w:val="auto"/>
              </w:rPr>
            </w:pPr>
          </w:p>
        </w:tc>
        <w:tc>
          <w:tcPr>
            <w:tcW w:w="5320" w:type="dxa"/>
            <w:vAlign w:val="bottom"/>
          </w:tcPr>
          <w:p>
            <w:pPr>
              <w:jc w:val="center"/>
              <w:ind w:right="1616"/>
              <w:spacing w:after="0"/>
              <w:rPr>
                <w:sz w:val="20"/>
                <w:szCs w:val="20"/>
                <w:color w:val="auto"/>
              </w:rPr>
            </w:pPr>
            <w:r>
              <w:rPr>
                <w:rFonts w:ascii="Times New Roman" w:cs="Times New Roman" w:eastAsia="Times New Roman" w:hAnsi="Times New Roman"/>
                <w:sz w:val="14"/>
                <w:szCs w:val="14"/>
                <w:b w:val="1"/>
                <w:bCs w:val="1"/>
                <w:color w:val="auto"/>
              </w:rPr>
              <w:t>6000 Shoreline Court, Suite 300</w:t>
            </w:r>
          </w:p>
        </w:tc>
      </w:tr>
      <w:tr>
        <w:trPr>
          <w:trHeight w:val="164"/>
        </w:trPr>
        <w:tc>
          <w:tcPr>
            <w:tcW w:w="2020" w:type="dxa"/>
            <w:vAlign w:val="bottom"/>
          </w:tcPr>
          <w:p>
            <w:pPr>
              <w:spacing w:after="0"/>
              <w:rPr>
                <w:sz w:val="14"/>
                <w:szCs w:val="14"/>
                <w:color w:val="auto"/>
              </w:rPr>
            </w:pPr>
          </w:p>
        </w:tc>
        <w:tc>
          <w:tcPr>
            <w:tcW w:w="5320" w:type="dxa"/>
            <w:vAlign w:val="bottom"/>
          </w:tcPr>
          <w:p>
            <w:pPr>
              <w:jc w:val="center"/>
              <w:ind w:right="1596"/>
              <w:spacing w:after="0"/>
              <w:rPr>
                <w:sz w:val="20"/>
                <w:szCs w:val="20"/>
                <w:color w:val="auto"/>
              </w:rPr>
            </w:pPr>
            <w:r>
              <w:rPr>
                <w:rFonts w:ascii="Times New Roman" w:cs="Times New Roman" w:eastAsia="Times New Roman" w:hAnsi="Times New Roman"/>
                <w:sz w:val="14"/>
                <w:szCs w:val="14"/>
                <w:b w:val="1"/>
                <w:bCs w:val="1"/>
                <w:color w:val="auto"/>
              </w:rPr>
              <w:t>South San Francisco, California 94080</w:t>
            </w:r>
          </w:p>
        </w:tc>
      </w:tr>
      <w:tr>
        <w:trPr>
          <w:trHeight w:val="188"/>
        </w:trPr>
        <w:tc>
          <w:tcPr>
            <w:tcW w:w="2020" w:type="dxa"/>
            <w:vAlign w:val="bottom"/>
          </w:tcPr>
          <w:p>
            <w:pPr>
              <w:spacing w:after="0"/>
              <w:rPr>
                <w:sz w:val="16"/>
                <w:szCs w:val="16"/>
                <w:color w:val="auto"/>
              </w:rPr>
            </w:pPr>
          </w:p>
        </w:tc>
        <w:tc>
          <w:tcPr>
            <w:tcW w:w="5320" w:type="dxa"/>
            <w:vAlign w:val="bottom"/>
          </w:tcPr>
          <w:p>
            <w:pPr>
              <w:jc w:val="center"/>
              <w:ind w:right="1596"/>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tc>
      </w:tr>
      <w:tr>
        <w:trPr>
          <w:trHeight w:val="298"/>
        </w:trPr>
        <w:tc>
          <w:tcPr>
            <w:tcW w:w="2020" w:type="dxa"/>
            <w:vAlign w:val="bottom"/>
          </w:tcPr>
          <w:p>
            <w:pPr>
              <w:spacing w:after="0"/>
              <w:rPr>
                <w:sz w:val="24"/>
                <w:szCs w:val="24"/>
                <w:color w:val="auto"/>
              </w:rPr>
            </w:pPr>
          </w:p>
        </w:tc>
        <w:tc>
          <w:tcPr>
            <w:tcW w:w="5320" w:type="dxa"/>
            <w:vAlign w:val="bottom"/>
          </w:tcPr>
          <w:p>
            <w:pPr>
              <w:jc w:val="right"/>
              <w:ind w:right="2976"/>
              <w:spacing w:after="0"/>
              <w:rPr>
                <w:sz w:val="20"/>
                <w:szCs w:val="20"/>
                <w:color w:val="auto"/>
              </w:rPr>
            </w:pPr>
            <w:r>
              <w:rPr>
                <w:rFonts w:ascii="Times New Roman" w:cs="Times New Roman" w:eastAsia="Times New Roman" w:hAnsi="Times New Roman"/>
                <w:sz w:val="14"/>
                <w:szCs w:val="14"/>
                <w:b w:val="1"/>
                <w:bCs w:val="1"/>
                <w:color w:val="auto"/>
              </w:rPr>
              <w:t>(650) 243-6300</w:t>
            </w:r>
          </w:p>
        </w:tc>
      </w:tr>
      <w:tr>
        <w:trPr>
          <w:trHeight w:val="166"/>
        </w:trPr>
        <w:tc>
          <w:tcPr>
            <w:tcW w:w="2020" w:type="dxa"/>
            <w:vAlign w:val="bottom"/>
          </w:tcPr>
          <w:p>
            <w:pPr>
              <w:spacing w:after="0"/>
              <w:rPr>
                <w:sz w:val="14"/>
                <w:szCs w:val="14"/>
                <w:color w:val="auto"/>
              </w:rPr>
            </w:pPr>
          </w:p>
        </w:tc>
        <w:tc>
          <w:tcPr>
            <w:tcW w:w="5320" w:type="dxa"/>
            <w:vAlign w:val="bottom"/>
          </w:tcPr>
          <w:p>
            <w:pPr>
              <w:jc w:val="center"/>
              <w:ind w:right="1596"/>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234"/>
        </w:trPr>
        <w:tc>
          <w:tcPr>
            <w:tcW w:w="2020" w:type="dxa"/>
            <w:vAlign w:val="bottom"/>
          </w:tcPr>
          <w:p>
            <w:pPr>
              <w:spacing w:after="0"/>
              <w:rPr>
                <w:sz w:val="20"/>
                <w:szCs w:val="20"/>
                <w:color w:val="auto"/>
              </w:rPr>
            </w:pPr>
          </w:p>
        </w:tc>
        <w:tc>
          <w:tcPr>
            <w:tcW w:w="5320" w:type="dxa"/>
            <w:vAlign w:val="bottom"/>
          </w:tcPr>
          <w:p>
            <w:pPr>
              <w:jc w:val="center"/>
              <w:ind w:right="1556"/>
              <w:spacing w:after="0"/>
              <w:rPr>
                <w:sz w:val="20"/>
                <w:szCs w:val="20"/>
                <w:color w:val="auto"/>
              </w:rPr>
            </w:pPr>
            <w:r>
              <w:rPr>
                <w:rFonts w:ascii="Times New Roman" w:cs="Times New Roman" w:eastAsia="Times New Roman" w:hAnsi="Times New Roman"/>
                <w:sz w:val="18"/>
                <w:szCs w:val="18"/>
                <w:color w:val="auto"/>
                <w:w w:val="99"/>
              </w:rPr>
              <w:t>________________________________</w:t>
            </w:r>
          </w:p>
        </w:tc>
      </w:tr>
    </w:tbl>
    <w:p>
      <w:pPr>
        <w:spacing w:after="0" w:line="193" w:lineRule="exact"/>
        <w:rPr>
          <w:sz w:val="24"/>
          <w:szCs w:val="24"/>
          <w:color w:val="auto"/>
        </w:rPr>
      </w:pPr>
    </w:p>
    <w:p>
      <w:pPr>
        <w:ind w:firstLine="243"/>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o</w:t>
      </w:r>
    </w:p>
    <w:p>
      <w:pPr>
        <w:spacing w:after="0" w:line="123" w:lineRule="exact"/>
        <w:rPr>
          <w:sz w:val="24"/>
          <w:szCs w:val="24"/>
          <w:color w:val="auto"/>
        </w:rPr>
      </w:pPr>
    </w:p>
    <w:p>
      <w:pPr>
        <w:ind w:firstLine="243"/>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o</w:t>
      </w:r>
    </w:p>
    <w:p>
      <w:pPr>
        <w:spacing w:after="0" w:line="123" w:lineRule="exact"/>
        <w:rPr>
          <w:sz w:val="24"/>
          <w:szCs w:val="24"/>
          <w:color w:val="auto"/>
        </w:rPr>
      </w:pPr>
    </w:p>
    <w:p>
      <w:pPr>
        <w:ind w:right="140" w:firstLine="243"/>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280"/>
          </w:cols>
          <w:pgMar w:left="240" w:top="225" w:right="379" w:bottom="1440" w:gutter="0" w:footer="0" w:header="0"/>
        </w:sectPr>
      </w:pPr>
    </w:p>
    <w:p>
      <w:pPr>
        <w:spacing w:after="0" w:line="175"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4"/>
          <w:szCs w:val="14"/>
          <w:color w:val="auto"/>
        </w:rPr>
        <w:t>Large accelerated filer o</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 x</w:t>
      </w:r>
    </w:p>
    <w:p>
      <w:pPr>
        <w:spacing w:after="0" w:line="163" w:lineRule="exact"/>
        <w:rPr>
          <w:sz w:val="24"/>
          <w:szCs w:val="24"/>
          <w:color w:val="auto"/>
        </w:rPr>
      </w:pPr>
    </w:p>
    <w:p>
      <w:pPr>
        <w:sectPr>
          <w:pgSz w:w="11900" w:h="16838" w:orient="portrait"/>
          <w:cols w:equalWidth="0" w:num="2">
            <w:col w:w="7420" w:space="720"/>
            <w:col w:w="3140"/>
          </w:cols>
          <w:pgMar w:left="240" w:top="225" w:right="379" w:bottom="1440" w:gutter="0" w:footer="0" w:header="0"/>
          <w:type w:val="continuous"/>
        </w:sectPr>
      </w:pPr>
    </w:p>
    <w:p>
      <w:pPr>
        <w:ind w:left="2080"/>
        <w:spacing w:after="0"/>
        <w:rPr>
          <w:sz w:val="20"/>
          <w:szCs w:val="20"/>
          <w:color w:val="auto"/>
        </w:rPr>
      </w:pPr>
      <w:r>
        <w:rPr>
          <w:rFonts w:ascii="Times New Roman" w:cs="Times New Roman" w:eastAsia="Times New Roman" w:hAnsi="Times New Roman"/>
          <w:sz w:val="14"/>
          <w:szCs w:val="14"/>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Smaller reporting company o</w:t>
      </w:r>
    </w:p>
    <w:p>
      <w:pPr>
        <w:spacing w:after="0" w:line="109" w:lineRule="exact"/>
        <w:rPr>
          <w:sz w:val="24"/>
          <w:szCs w:val="24"/>
          <w:color w:val="auto"/>
        </w:rPr>
      </w:pPr>
    </w:p>
    <w:p>
      <w:pPr>
        <w:sectPr>
          <w:pgSz w:w="11900" w:h="16838" w:orient="portrait"/>
          <w:cols w:equalWidth="0" w:num="2">
            <w:col w:w="7120" w:space="720"/>
            <w:col w:w="3440"/>
          </w:cols>
          <w:pgMar w:left="240" w:top="225" w:right="379" w:bottom="1440" w:gutter="0" w:footer="0" w:header="0"/>
          <w:type w:val="continuous"/>
        </w:sectPr>
      </w:pPr>
    </w:p>
    <w:p>
      <w:pPr>
        <w:ind w:left="1420"/>
        <w:spacing w:after="0"/>
        <w:rPr>
          <w:sz w:val="20"/>
          <w:szCs w:val="20"/>
          <w:color w:val="auto"/>
        </w:rPr>
      </w:pPr>
      <w:r>
        <w:rPr>
          <w:rFonts w:ascii="Times New Roman" w:cs="Times New Roman" w:eastAsia="Times New Roman" w:hAnsi="Times New Roman"/>
          <w:sz w:val="14"/>
          <w:szCs w:val="14"/>
          <w:color w:val="auto"/>
        </w:rPr>
        <w:t>(Do not check if a smaller reporting company)</w:t>
      </w:r>
    </w:p>
    <w:p>
      <w:pPr>
        <w:spacing w:after="0" w:line="275" w:lineRule="exact"/>
        <w:rPr>
          <w:sz w:val="24"/>
          <w:szCs w:val="24"/>
          <w:color w:val="auto"/>
        </w:rPr>
      </w:pPr>
    </w:p>
    <w:p>
      <w:pPr>
        <w:ind w:left="26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Act).Yes o No </w:t>
      </w:r>
      <w:r>
        <w:rPr>
          <w:rFonts w:ascii="MS PGothic" w:cs="MS PGothic" w:eastAsia="MS PGothic" w:hAnsi="MS PGothic"/>
          <w:sz w:val="14"/>
          <w:szCs w:val="14"/>
          <w:color w:val="auto"/>
        </w:rPr>
        <w:t>☒</w:t>
      </w:r>
    </w:p>
    <w:p>
      <w:pPr>
        <w:spacing w:after="0" w:line="240"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July 29, 2016, there were 27,864,442 shares of common stock, par value $0.001 per share, outstanding.</w:t>
      </w:r>
    </w:p>
    <w:p>
      <w:pPr>
        <w:sectPr>
          <w:pgSz w:w="11900" w:h="16838" w:orient="portrait"/>
          <w:cols w:equalWidth="0" w:num="1">
            <w:col w:w="11280"/>
          </w:cols>
          <w:pgMar w:left="240" w:top="225" w:right="379" w:bottom="1440" w:gutter="0" w:footer="0" w:header="0"/>
          <w:type w:val="continuous"/>
        </w:sectPr>
      </w:pPr>
    </w:p>
    <w:bookmarkStart w:id="1" w:name="page2"/>
    <w:bookmarkEnd w:id="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3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194"/>
        </w:trPr>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No.</w:t>
            </w:r>
          </w:p>
        </w:tc>
      </w:tr>
      <w:tr>
        <w:trPr>
          <w:trHeight w:val="189"/>
        </w:trPr>
        <w:tc>
          <w:tcPr>
            <w:tcW w:w="10020" w:type="dxa"/>
            <w:vAlign w:val="bottom"/>
            <w:gridSpan w:val="18"/>
          </w:tcPr>
          <w:p>
            <w:pPr>
              <w:spacing w:after="0" w:line="189" w:lineRule="exact"/>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PART I. — FINANCIAL INFORMATION</w:t>
              </w:r>
            </w:hyperlink>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0"/>
        </w:trPr>
        <w:tc>
          <w:tcPr>
            <w:tcW w:w="140" w:type="dxa"/>
            <w:vAlign w:val="bottom"/>
            <w:tcBorders>
              <w:top w:val="single" w:sz="8" w:color="0000EE"/>
            </w:tcBorders>
          </w:tcPr>
          <w:p>
            <w:pPr>
              <w:spacing w:after="0"/>
              <w:rPr>
                <w:sz w:val="21"/>
                <w:szCs w:val="21"/>
                <w:color w:val="auto"/>
              </w:rPr>
            </w:pPr>
          </w:p>
        </w:tc>
        <w:tc>
          <w:tcPr>
            <w:tcW w:w="2900" w:type="dxa"/>
            <w:vAlign w:val="bottom"/>
            <w:tcBorders>
              <w:top w:val="single" w:sz="8" w:color="0000EE"/>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Item 1. Condensed Financial Statements</w:t>
              </w:r>
            </w:hyperlink>
          </w:p>
        </w:tc>
        <w:tc>
          <w:tcPr>
            <w:tcW w:w="240" w:type="dxa"/>
            <w:vAlign w:val="bottom"/>
            <w:tcBorders>
              <w:top w:val="single" w:sz="8" w:color="0000EE"/>
            </w:tcBorders>
          </w:tcPr>
          <w:p>
            <w:pPr>
              <w:spacing w:after="0"/>
              <w:rPr>
                <w:sz w:val="21"/>
                <w:szCs w:val="21"/>
                <w:color w:val="auto"/>
              </w:rPr>
            </w:pPr>
          </w:p>
        </w:tc>
        <w:tc>
          <w:tcPr>
            <w:tcW w:w="6740" w:type="dxa"/>
            <w:vAlign w:val="bottom"/>
            <w:gridSpan w:val="7"/>
          </w:tcPr>
          <w:p>
            <w:pPr>
              <w:spacing w:after="0"/>
              <w:rPr>
                <w:sz w:val="21"/>
                <w:szCs w:val="21"/>
                <w:color w:val="auto"/>
              </w:rPr>
            </w:pPr>
          </w:p>
        </w:tc>
        <w:tc>
          <w:tcPr>
            <w:tcW w:w="124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1</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80" w:type="dxa"/>
            <w:vAlign w:val="bottom"/>
            <w:gridSpan w:val="16"/>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Balance Sheets as of June 30, 2016 and December 31, 2015 (Unaudited)</w:t>
              </w:r>
            </w:hyperlink>
          </w:p>
        </w:tc>
        <w:tc>
          <w:tcPr>
            <w:tcW w:w="13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1</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80" w:type="dxa"/>
            <w:vAlign w:val="bottom"/>
            <w:gridSpan w:val="16"/>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Statements of Operations and Comprehensive Loss for the Three and Six Month Periods Ended June 30, 2016 and 2015</w:t>
              </w:r>
            </w:hyperlink>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w:anchor="page4">
              <w:r>
                <w:rPr>
                  <w:rFonts w:ascii="Times New Roman" w:cs="Times New Roman" w:eastAsia="Times New Roman" w:hAnsi="Times New Roman"/>
                  <w:sz w:val="18"/>
                  <w:szCs w:val="18"/>
                  <w:color w:val="0000EE"/>
                  <w:w w:val="98"/>
                </w:rPr>
                <w:t>(Unaudited)</w:t>
              </w:r>
            </w:hyperlink>
          </w:p>
        </w:tc>
        <w:tc>
          <w:tcPr>
            <w:tcW w:w="8600" w:type="dxa"/>
            <w:vAlign w:val="bottom"/>
            <w:tcBorders>
              <w:top w:val="single" w:sz="8" w:color="0000EE"/>
            </w:tcBorders>
            <w:gridSpan w:val="12"/>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2</w:t>
              </w:r>
            </w:hyperlink>
          </w:p>
        </w:tc>
        <w:tc>
          <w:tcPr>
            <w:tcW w:w="20" w:type="dxa"/>
            <w:vAlign w:val="bottom"/>
          </w:tcPr>
          <w:p>
            <w:pPr>
              <w:spacing w:after="0"/>
              <w:rPr>
                <w:sz w:val="17"/>
                <w:szCs w:val="17"/>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80" w:type="dxa"/>
            <w:vAlign w:val="bottom"/>
            <w:gridSpan w:val="16"/>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Statements of Cash Flows for the Six Month Periods Ended June 30, 2016 and 2015 (Unaudited)</w:t>
              </w:r>
            </w:hyperlink>
          </w:p>
        </w:tc>
        <w:tc>
          <w:tcPr>
            <w:tcW w:w="13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3</w:t>
              </w:r>
            </w:hyperlink>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20" w:type="dxa"/>
            <w:vAlign w:val="bottom"/>
            <w:tcBorders>
              <w:top w:val="single" w:sz="8" w:color="0000EE"/>
            </w:tcBorders>
            <w:gridSpan w:val="14"/>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Notes to Condensed Financial Statements (Unaudited)</w:t>
              </w:r>
            </w:hyperlink>
          </w:p>
        </w:tc>
        <w:tc>
          <w:tcPr>
            <w:tcW w:w="1860" w:type="dxa"/>
            <w:vAlign w:val="bottom"/>
            <w:gridSpan w:val="2"/>
          </w:tcPr>
          <w:p>
            <w:pPr>
              <w:spacing w:after="0"/>
              <w:rPr>
                <w:sz w:val="21"/>
                <w:szCs w:val="21"/>
                <w:color w:val="auto"/>
              </w:rPr>
            </w:pPr>
          </w:p>
        </w:tc>
        <w:tc>
          <w:tcPr>
            <w:tcW w:w="124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4</w:t>
              </w:r>
            </w:hyperlink>
          </w:p>
        </w:tc>
        <w:tc>
          <w:tcPr>
            <w:tcW w:w="20" w:type="dxa"/>
            <w:vAlign w:val="bottom"/>
          </w:tcPr>
          <w:p>
            <w:pPr>
              <w:spacing w:after="0"/>
              <w:rPr>
                <w:sz w:val="21"/>
                <w:szCs w:val="21"/>
                <w:color w:val="auto"/>
              </w:rPr>
            </w:pPr>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Times New Roman" w:cs="Times New Roman" w:eastAsia="Times New Roman" w:hAnsi="Times New Roman"/>
                <w:sz w:val="18"/>
                <w:szCs w:val="18"/>
                <w:color w:val="0000EE"/>
                <w:w w:val="97"/>
              </w:rPr>
            </w:pPr>
            <w:hyperlink w:anchor="page16">
              <w:r>
                <w:rPr>
                  <w:rFonts w:ascii="Times New Roman" w:cs="Times New Roman" w:eastAsia="Times New Roman" w:hAnsi="Times New Roman"/>
                  <w:sz w:val="18"/>
                  <w:szCs w:val="18"/>
                  <w:color w:val="0000EE"/>
                  <w:w w:val="97"/>
                </w:rPr>
                <w:t>Item 2.</w:t>
              </w:r>
            </w:hyperlink>
          </w:p>
        </w:tc>
        <w:tc>
          <w:tcPr>
            <w:tcW w:w="9360" w:type="dxa"/>
            <w:vAlign w:val="bottom"/>
            <w:gridSpan w:val="15"/>
          </w:tcPr>
          <w:p>
            <w:pPr>
              <w:ind w:left="20"/>
              <w:spacing w:after="0"/>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3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14</w:t>
              </w:r>
            </w:hyperlink>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Times New Roman" w:cs="Times New Roman" w:eastAsia="Times New Roman" w:hAnsi="Times New Roman"/>
                <w:sz w:val="18"/>
                <w:szCs w:val="18"/>
                <w:color w:val="0000EE"/>
                <w:w w:val="97"/>
              </w:rPr>
            </w:pPr>
            <w:hyperlink w:anchor="page30">
              <w:r>
                <w:rPr>
                  <w:rFonts w:ascii="Times New Roman" w:cs="Times New Roman" w:eastAsia="Times New Roman" w:hAnsi="Times New Roman"/>
                  <w:sz w:val="18"/>
                  <w:szCs w:val="18"/>
                  <w:color w:val="0000EE"/>
                  <w:w w:val="97"/>
                </w:rPr>
                <w:t>Item 3.</w:t>
              </w:r>
            </w:hyperlink>
          </w:p>
        </w:tc>
        <w:tc>
          <w:tcPr>
            <w:tcW w:w="6480" w:type="dxa"/>
            <w:vAlign w:val="bottom"/>
            <w:gridSpan w:val="12"/>
          </w:tcPr>
          <w:p>
            <w:pPr>
              <w:ind w:left="20"/>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Quantitative and Qualitative Disclosures About Market Risk</w:t>
              </w:r>
            </w:hyperlink>
          </w:p>
        </w:tc>
        <w:tc>
          <w:tcPr>
            <w:tcW w:w="2880" w:type="dxa"/>
            <w:vAlign w:val="bottom"/>
            <w:gridSpan w:val="3"/>
          </w:tcPr>
          <w:p>
            <w:pPr>
              <w:spacing w:after="0"/>
              <w:rPr>
                <w:sz w:val="21"/>
                <w:szCs w:val="21"/>
                <w:color w:val="auto"/>
              </w:rPr>
            </w:pPr>
          </w:p>
        </w:tc>
        <w:tc>
          <w:tcPr>
            <w:tcW w:w="13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28</w:t>
              </w:r>
            </w:hyperlink>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4980" w:type="dxa"/>
            <w:vAlign w:val="bottom"/>
            <w:gridSpan w:val="5"/>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Times New Roman" w:cs="Times New Roman" w:eastAsia="Times New Roman" w:hAnsi="Times New Roman"/>
                <w:sz w:val="18"/>
                <w:szCs w:val="18"/>
                <w:color w:val="0000EE"/>
                <w:w w:val="97"/>
              </w:rPr>
            </w:pPr>
            <w:hyperlink w:anchor="page30">
              <w:r>
                <w:rPr>
                  <w:rFonts w:ascii="Times New Roman" w:cs="Times New Roman" w:eastAsia="Times New Roman" w:hAnsi="Times New Roman"/>
                  <w:sz w:val="18"/>
                  <w:szCs w:val="18"/>
                  <w:color w:val="0000EE"/>
                  <w:w w:val="97"/>
                </w:rPr>
                <w:t>Item 4.</w:t>
              </w:r>
            </w:hyperlink>
          </w:p>
        </w:tc>
        <w:tc>
          <w:tcPr>
            <w:tcW w:w="1800" w:type="dxa"/>
            <w:vAlign w:val="bottom"/>
            <w:gridSpan w:val="5"/>
          </w:tcPr>
          <w:p>
            <w:pPr>
              <w:ind w:left="20"/>
              <w:spacing w:after="0"/>
              <w:rPr>
                <w:rFonts w:ascii="Times New Roman" w:cs="Times New Roman" w:eastAsia="Times New Roman" w:hAnsi="Times New Roman"/>
                <w:sz w:val="18"/>
                <w:szCs w:val="18"/>
                <w:color w:val="0000EE"/>
                <w:w w:val="99"/>
              </w:rPr>
            </w:pPr>
            <w:hyperlink w:anchor="page30">
              <w:r>
                <w:rPr>
                  <w:rFonts w:ascii="Times New Roman" w:cs="Times New Roman" w:eastAsia="Times New Roman" w:hAnsi="Times New Roman"/>
                  <w:sz w:val="18"/>
                  <w:szCs w:val="18"/>
                  <w:color w:val="0000EE"/>
                  <w:w w:val="99"/>
                </w:rPr>
                <w:t>Controls and Procedures</w:t>
              </w:r>
            </w:hyperlink>
          </w:p>
        </w:tc>
        <w:tc>
          <w:tcPr>
            <w:tcW w:w="2580" w:type="dxa"/>
            <w:vAlign w:val="bottom"/>
            <w:gridSpan w:val="5"/>
          </w:tcPr>
          <w:p>
            <w:pPr>
              <w:spacing w:after="0"/>
              <w:rPr>
                <w:sz w:val="21"/>
                <w:szCs w:val="21"/>
                <w:color w:val="auto"/>
              </w:rPr>
            </w:pPr>
          </w:p>
        </w:tc>
        <w:tc>
          <w:tcPr>
            <w:tcW w:w="4980" w:type="dxa"/>
            <w:vAlign w:val="bottom"/>
            <w:gridSpan w:val="5"/>
          </w:tcPr>
          <w:p>
            <w:pPr>
              <w:spacing w:after="0"/>
              <w:rPr>
                <w:sz w:val="21"/>
                <w:szCs w:val="21"/>
                <w:color w:val="auto"/>
              </w:rPr>
            </w:pPr>
          </w:p>
        </w:tc>
        <w:tc>
          <w:tcPr>
            <w:tcW w:w="13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28</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40" w:type="dxa"/>
            <w:vAlign w:val="bottom"/>
            <w:gridSpan w:val="9"/>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20" w:type="dxa"/>
            <w:vAlign w:val="bottom"/>
            <w:gridSpan w:val="18"/>
          </w:tcPr>
          <w:p>
            <w:pPr>
              <w:spacing w:after="0"/>
              <w:rPr>
                <w:rFonts w:ascii="Times New Roman" w:cs="Times New Roman" w:eastAsia="Times New Roman" w:hAnsi="Times New Roman"/>
                <w:sz w:val="18"/>
                <w:szCs w:val="18"/>
                <w:b w:val="1"/>
                <w:bCs w:val="1"/>
                <w:color w:val="0000EE"/>
              </w:rPr>
            </w:pPr>
            <w:hyperlink w:anchor="page31">
              <w:r>
                <w:rPr>
                  <w:rFonts w:ascii="Times New Roman" w:cs="Times New Roman" w:eastAsia="Times New Roman" w:hAnsi="Times New Roman"/>
                  <w:sz w:val="18"/>
                  <w:szCs w:val="18"/>
                  <w:b w:val="1"/>
                  <w:bCs w:val="1"/>
                  <w:color w:val="0000EE"/>
                </w:rPr>
                <w:t>PART II. — OTHER INFORMATION</w:t>
              </w:r>
            </w:hyperlink>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140" w:type="dxa"/>
            <w:vAlign w:val="bottom"/>
            <w:tcBorders>
              <w:top w:val="single" w:sz="8" w:color="0000EE"/>
            </w:tcBorders>
          </w:tcPr>
          <w:p>
            <w:pPr>
              <w:spacing w:after="0"/>
              <w:rPr>
                <w:sz w:val="21"/>
                <w:szCs w:val="21"/>
                <w:color w:val="auto"/>
              </w:rPr>
            </w:pPr>
          </w:p>
        </w:tc>
        <w:tc>
          <w:tcPr>
            <w:tcW w:w="1580" w:type="dxa"/>
            <w:vAlign w:val="bottom"/>
            <w:tcBorders>
              <w:top w:val="single" w:sz="8" w:color="0000EE"/>
            </w:tcBorders>
            <w:gridSpan w:val="6"/>
          </w:tcPr>
          <w:p>
            <w:pPr>
              <w:spacing w:after="0"/>
              <w:rPr>
                <w:rFonts w:ascii="Times New Roman" w:cs="Times New Roman" w:eastAsia="Times New Roman" w:hAnsi="Times New Roman"/>
                <w:sz w:val="18"/>
                <w:szCs w:val="18"/>
                <w:color w:val="0000EE"/>
                <w:w w:val="98"/>
              </w:rPr>
            </w:pPr>
            <w:hyperlink w:anchor="page31">
              <w:r>
                <w:rPr>
                  <w:rFonts w:ascii="Times New Roman" w:cs="Times New Roman" w:eastAsia="Times New Roman" w:hAnsi="Times New Roman"/>
                  <w:sz w:val="18"/>
                  <w:szCs w:val="18"/>
                  <w:color w:val="0000EE"/>
                  <w:w w:val="98"/>
                </w:rPr>
                <w:t>Item 1A. Risk Factors</w:t>
              </w:r>
            </w:hyperlink>
          </w:p>
        </w:tc>
        <w:tc>
          <w:tcPr>
            <w:tcW w:w="1260" w:type="dxa"/>
            <w:vAlign w:val="bottom"/>
            <w:tcBorders>
              <w:top w:val="single" w:sz="8" w:color="0000EE"/>
            </w:tcBorders>
            <w:gridSpan w:val="2"/>
          </w:tcPr>
          <w:p>
            <w:pPr>
              <w:spacing w:after="0"/>
              <w:rPr>
                <w:sz w:val="21"/>
                <w:szCs w:val="21"/>
                <w:color w:val="auto"/>
              </w:rPr>
            </w:pPr>
          </w:p>
        </w:tc>
        <w:tc>
          <w:tcPr>
            <w:tcW w:w="7040" w:type="dxa"/>
            <w:vAlign w:val="bottom"/>
            <w:gridSpan w:val="9"/>
          </w:tcPr>
          <w:p>
            <w:pPr>
              <w:spacing w:after="0"/>
              <w:rPr>
                <w:sz w:val="21"/>
                <w:szCs w:val="21"/>
                <w:color w:val="auto"/>
              </w:rPr>
            </w:pPr>
          </w:p>
        </w:tc>
        <w:tc>
          <w:tcPr>
            <w:tcW w:w="13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29</w:t>
              </w:r>
            </w:hyperlink>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300" w:type="dxa"/>
            <w:vAlign w:val="bottom"/>
            <w:gridSpan w:val="11"/>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Times New Roman" w:cs="Times New Roman" w:eastAsia="Times New Roman" w:hAnsi="Times New Roman"/>
                <w:sz w:val="18"/>
                <w:szCs w:val="18"/>
                <w:color w:val="0000EE"/>
                <w:w w:val="97"/>
              </w:rPr>
            </w:pPr>
            <w:hyperlink w:anchor="page51">
              <w:r>
                <w:rPr>
                  <w:rFonts w:ascii="Times New Roman" w:cs="Times New Roman" w:eastAsia="Times New Roman" w:hAnsi="Times New Roman"/>
                  <w:sz w:val="18"/>
                  <w:szCs w:val="18"/>
                  <w:color w:val="0000EE"/>
                  <w:w w:val="97"/>
                </w:rPr>
                <w:t>Item 6.</w:t>
              </w:r>
            </w:hyperlink>
          </w:p>
        </w:tc>
        <w:tc>
          <w:tcPr>
            <w:tcW w:w="1060" w:type="dxa"/>
            <w:vAlign w:val="bottom"/>
            <w:gridSpan w:val="4"/>
          </w:tcPr>
          <w:p>
            <w:pPr>
              <w:ind w:left="20"/>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Exhibits</w:t>
              </w:r>
            </w:hyperlink>
          </w:p>
        </w:tc>
        <w:tc>
          <w:tcPr>
            <w:tcW w:w="8300" w:type="dxa"/>
            <w:vAlign w:val="bottom"/>
            <w:gridSpan w:val="11"/>
          </w:tcPr>
          <w:p>
            <w:pPr>
              <w:spacing w:after="0"/>
              <w:rPr>
                <w:sz w:val="21"/>
                <w:szCs w:val="21"/>
                <w:color w:val="auto"/>
              </w:rPr>
            </w:pPr>
          </w:p>
        </w:tc>
        <w:tc>
          <w:tcPr>
            <w:tcW w:w="13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49</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740" w:type="dxa"/>
            <w:vAlign w:val="bottom"/>
            <w:gridSpan w:val="1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gridSpan w:val="4"/>
          </w:tcPr>
          <w:p>
            <w:pPr>
              <w:spacing w:after="0"/>
              <w:rPr>
                <w:rFonts w:ascii="Times New Roman" w:cs="Times New Roman" w:eastAsia="Times New Roman" w:hAnsi="Times New Roman"/>
                <w:sz w:val="18"/>
                <w:szCs w:val="18"/>
                <w:color w:val="0000EE"/>
                <w:w w:val="96"/>
              </w:rPr>
            </w:pPr>
            <w:hyperlink w:anchor="page52">
              <w:r>
                <w:rPr>
                  <w:rFonts w:ascii="Times New Roman" w:cs="Times New Roman" w:eastAsia="Times New Roman" w:hAnsi="Times New Roman"/>
                  <w:sz w:val="18"/>
                  <w:szCs w:val="18"/>
                  <w:color w:val="0000EE"/>
                  <w:w w:val="96"/>
                </w:rPr>
                <w:t>SIGNATURES</w:t>
              </w:r>
            </w:hyperlink>
          </w:p>
        </w:tc>
        <w:tc>
          <w:tcPr>
            <w:tcW w:w="8920" w:type="dxa"/>
            <w:vAlign w:val="bottom"/>
            <w:gridSpan w:val="14"/>
          </w:tcPr>
          <w:p>
            <w:pPr>
              <w:spacing w:after="0"/>
              <w:rPr>
                <w:sz w:val="21"/>
                <w:szCs w:val="21"/>
                <w:color w:val="auto"/>
              </w:rPr>
            </w:pPr>
          </w:p>
        </w:tc>
        <w:tc>
          <w:tcPr>
            <w:tcW w:w="13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50</w:t>
              </w:r>
            </w:hyperlink>
          </w:p>
        </w:tc>
      </w:tr>
      <w:tr>
        <w:trPr>
          <w:trHeight w:val="20"/>
        </w:trPr>
        <w:tc>
          <w:tcPr>
            <w:tcW w:w="1100" w:type="dxa"/>
            <w:vAlign w:val="bottom"/>
            <w:gridSpan w:val="4"/>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740" w:type="dxa"/>
            <w:vAlign w:val="bottom"/>
            <w:gridSpan w:val="1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80" w:type="dxa"/>
            <w:vAlign w:val="bottom"/>
            <w:gridSpan w:val="6"/>
          </w:tcPr>
          <w:p>
            <w:pPr>
              <w:spacing w:after="0"/>
              <w:rPr>
                <w:rFonts w:ascii="Times New Roman" w:cs="Times New Roman" w:eastAsia="Times New Roman" w:hAnsi="Times New Roman"/>
                <w:sz w:val="18"/>
                <w:szCs w:val="18"/>
                <w:color w:val="0000EE"/>
                <w:w w:val="93"/>
              </w:rPr>
            </w:pPr>
            <w:hyperlink w:anchor="page53">
              <w:r>
                <w:rPr>
                  <w:rFonts w:ascii="Times New Roman" w:cs="Times New Roman" w:eastAsia="Times New Roman" w:hAnsi="Times New Roman"/>
                  <w:sz w:val="18"/>
                  <w:szCs w:val="18"/>
                  <w:color w:val="0000EE"/>
                  <w:w w:val="93"/>
                </w:rPr>
                <w:t>EXHIBIT INDEX</w:t>
              </w:r>
            </w:hyperlink>
          </w:p>
        </w:tc>
        <w:tc>
          <w:tcPr>
            <w:tcW w:w="8740" w:type="dxa"/>
            <w:vAlign w:val="bottom"/>
            <w:gridSpan w:val="12"/>
          </w:tcPr>
          <w:p>
            <w:pPr>
              <w:spacing w:after="0"/>
              <w:rPr>
                <w:sz w:val="21"/>
                <w:szCs w:val="21"/>
                <w:color w:val="auto"/>
              </w:rPr>
            </w:pPr>
          </w:p>
        </w:tc>
        <w:tc>
          <w:tcPr>
            <w:tcW w:w="13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51</w:t>
              </w:r>
            </w:hyperlink>
          </w:p>
        </w:tc>
      </w:tr>
      <w:tr>
        <w:trPr>
          <w:trHeight w:val="20"/>
        </w:trPr>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420"/>
          </w:cols>
          <w:pgMar w:left="240" w:top="118" w:right="239" w:bottom="1440" w:gutter="0" w:footer="0" w:header="0"/>
        </w:sectPr>
      </w:pPr>
    </w:p>
    <w:bookmarkStart w:id="2" w:name="page3"/>
    <w:bookmarkEnd w:id="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share and per share amounts)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3"/>
                <w:szCs w:val="13"/>
                <w:color w:val="auto"/>
              </w:rPr>
            </w:pPr>
          </w:p>
        </w:tc>
        <w:tc>
          <w:tcPr>
            <w:tcW w:w="134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0" w:type="dxa"/>
            <w:vAlign w:val="bottom"/>
          </w:tcPr>
          <w:p>
            <w:pPr>
              <w:spacing w:after="0"/>
              <w:rPr>
                <w:sz w:val="1"/>
                <w:szCs w:val="1"/>
                <w:color w:val="auto"/>
              </w:rPr>
            </w:pPr>
          </w:p>
        </w:tc>
      </w:tr>
      <w:tr>
        <w:trPr>
          <w:trHeight w:val="195"/>
        </w:trPr>
        <w:tc>
          <w:tcPr>
            <w:tcW w:w="8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21"/>
                <w:szCs w:val="21"/>
                <w:color w:val="auto"/>
              </w:rPr>
            </w:pPr>
          </w:p>
        </w:tc>
        <w:tc>
          <w:tcPr>
            <w:tcW w:w="134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(See Note 1)</w:t>
            </w: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38,993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39,084</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3,503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Supplies inventory</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3,767</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1,442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47,397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47,914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10,937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10,314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Finite-lived intangible assets, net</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14,666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15,200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1,057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97"/>
        </w:trPr>
        <w:tc>
          <w:tcPr>
            <w:tcW w:w="83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74,832</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75,247</w:t>
            </w:r>
          </w:p>
        </w:tc>
        <w:tc>
          <w:tcPr>
            <w:tcW w:w="0" w:type="dxa"/>
            <w:vAlign w:val="bottom"/>
          </w:tcPr>
          <w:p>
            <w:pPr>
              <w:spacing w:after="0"/>
              <w:rPr>
                <w:sz w:val="1"/>
                <w:szCs w:val="1"/>
                <w:color w:val="auto"/>
              </w:rPr>
            </w:pPr>
          </w:p>
        </w:tc>
      </w:tr>
      <w:tr>
        <w:trPr>
          <w:trHeight w:val="210"/>
        </w:trPr>
        <w:tc>
          <w:tcPr>
            <w:tcW w:w="8340" w:type="dxa"/>
            <w:vAlign w:val="bottom"/>
            <w:tcBorders>
              <w:bottom w:val="single" w:sz="8" w:color="CCEEFF"/>
            </w:tcBorders>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5,085</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8,910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8,689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Deferred Genzyme co-promotion fee</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11,842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14,722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24,671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4,990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rent, net of current portion</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4,283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41,079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23,995</w:t>
            </w:r>
          </w:p>
        </w:tc>
        <w:tc>
          <w:tcPr>
            <w:tcW w:w="0" w:type="dxa"/>
            <w:vAlign w:val="bottom"/>
          </w:tcPr>
          <w:p>
            <w:pPr>
              <w:spacing w:after="0"/>
              <w:rPr>
                <w:sz w:val="1"/>
                <w:szCs w:val="1"/>
                <w:color w:val="auto"/>
              </w:rPr>
            </w:pPr>
          </w:p>
        </w:tc>
      </w:tr>
      <w:tr>
        <w:trPr>
          <w:trHeight w:val="22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Preferred stock, $0.001 par value; 5,000,000 shares authorized, no shares issued and outstanding as of June 30,</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2016 and December 31, 2015</w:t>
            </w:r>
          </w:p>
        </w:tc>
        <w:tc>
          <w:tcPr>
            <w:tcW w:w="24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Common stock, $0.001 par value; 125,000,000 shares authorized, 27,864,285 and 27,685,291 shares issued</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3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and outstanding as of June 30, 2016 and December 31, 2015,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203,769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199,950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(170,044)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(148,726)</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33,753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51,252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74,832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75,247</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 and Comprehensive Loss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share and per share amounts)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720" w:type="dxa"/>
            <w:vAlign w:val="bottom"/>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516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14,675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11,908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28,225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23,126</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6,301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12,580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9,705</w:t>
            </w: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4,267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7,728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5,890</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Selling and marketing</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8,263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15,329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12,557</w:t>
            </w: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6,071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12,299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11,334</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267</w:t>
            </w:r>
          </w:p>
        </w:tc>
      </w:tr>
      <w:tr>
        <w:trPr>
          <w:trHeight w:val="237"/>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25,169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20,982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48,470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39,753</w:t>
            </w: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(16,627)</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w:t>
            </w:r>
          </w:p>
        </w:tc>
      </w:tr>
      <w:tr>
        <w:trPr>
          <w:trHeight w:val="297"/>
        </w:trPr>
        <w:tc>
          <w:tcPr>
            <w:tcW w:w="5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(11,243)</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(9,136)</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(21,318)</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(16,746)</w:t>
            </w:r>
          </w:p>
        </w:tc>
      </w:tr>
      <w:tr>
        <w:trPr>
          <w:trHeight w:val="251"/>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1"/>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used to compute net loss per common share, basic and diluted</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27,859,918</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26,048,934</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27,838,955</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24,304,022</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35"/>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Bad debt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Genzyme co-promotion fee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2,712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Conversion of accrued interest to 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and write-off of debt discount and issuance costs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on debt balloon payment and prepayment penalty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Supplies inventory</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Prepaid expenses and current 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(4,637)</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liabilities and deferred rent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(20,333)</w:t>
            </w:r>
          </w:p>
        </w:tc>
        <w:tc>
          <w:tcPr>
            <w:tcW w:w="0" w:type="dxa"/>
            <w:vAlign w:val="bottom"/>
          </w:tcPr>
          <w:p>
            <w:pPr>
              <w:spacing w:after="0"/>
              <w:rPr>
                <w:sz w:val="1"/>
                <w:szCs w:val="1"/>
                <w:color w:val="auto"/>
              </w:rPr>
            </w:pPr>
          </w:p>
        </w:tc>
      </w:tr>
      <w:tr>
        <w:trPr>
          <w:trHeight w:val="22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restricted cash</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0" w:type="dxa"/>
            <w:vAlign w:val="bottom"/>
          </w:tcPr>
          <w:p>
            <w:pPr>
              <w:spacing w:after="0"/>
              <w:rPr>
                <w:sz w:val="1"/>
                <w:szCs w:val="1"/>
                <w:color w:val="auto"/>
              </w:rPr>
            </w:pPr>
          </w:p>
        </w:tc>
      </w:tr>
      <w:tr>
        <w:trPr>
          <w:trHeight w:val="22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the issuance of long-term debt, net of debt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24,452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 from the issuance of common stock in a private placement, net of costs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37,258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Payment of 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 of end-of-term debt obligation and prepayment penalty</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the exercise of common stock options and employee stock purchases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19,810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37,749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16,031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39,084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35,014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38,993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51,045</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Supplementary cash flow information of non-cash investing and financing activities:</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 and accrued liabilities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7"/>
        </w:trPr>
        <w:tc>
          <w:tcPr>
            <w:tcW w:w="8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18" w:right="239" w:bottom="1440" w:gutter="0" w:footer="0" w:header="0"/>
          <w:type w:val="continuous"/>
        </w:sectPr>
      </w:pPr>
    </w:p>
    <w:bookmarkStart w:id="5" w:name="page6"/>
    <w:bookmarkEnd w:id="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Veracyte, Inc. (“Veracyte” or the “Company”) was incorporated in the state of Delaware on August 15, 2006 as Calderome, Inc. Calderome operated as an incubator until early 2008. On March 4, 2008, the Company changed its name to Veracyte, Inc. Veracyte is a molecular diagnostics company that uses genomic technology to resolve diagnostic ambiguity. The Company targets diseases in which large numbers of patients undergo invasive and costly diagnostic procedures that could have been avoided with a more accurate diagnosis from a cytology sample taken preoperatively. By improving preoperative diagnosis, the Company helps patients avoid such unnecessary invasive procedures and surgeries while reducing healthcare costs.</w:t>
      </w:r>
    </w:p>
    <w:p>
      <w:pPr>
        <w:spacing w:after="0" w:line="184"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18"/>
          <w:szCs w:val="18"/>
          <w:color w:val="auto"/>
        </w:rPr>
        <w:t>The Company’s first commercial solution, the Afirma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Thyroid FNA Analysis, centers on the proprietary Afirma Gene Expression Classifier (“GEC”). The Afirma GEC helps physicians reduce the number of unnecessary surgeries by employing a proprietary 142-gene signature to preoperatively determine whether thyroid nodules previously classified by cytopathology as indeterminate can be reclassified as benign. The Afirma GEC is offered directly or as part of a comprehensive solution that also includes cytopathology. Additionally, the Afirma Malignancy Classifiers were launched in May 2014. The Company currently markets and sells Afirma in the United States and select foreign countries through a co-promotion agreement with Genzyme Corporation, a subsidiary of Sanofi, as well as selectively through other distributors internationally. On March 9, 2016, the Company gave notice of termination of the U.S. Co-Promotion Agreement, effective September 9, 2016.</w:t>
      </w:r>
    </w:p>
    <w:p>
      <w:pPr>
        <w:spacing w:after="0" w:line="199" w:lineRule="exact"/>
        <w:rPr>
          <w:sz w:val="20"/>
          <w:szCs w:val="20"/>
          <w:color w:val="auto"/>
        </w:rPr>
      </w:pPr>
    </w:p>
    <w:p>
      <w:pPr>
        <w:jc w:val="both"/>
        <w:ind w:right="140" w:firstLine="648"/>
        <w:spacing w:after="0" w:line="228" w:lineRule="auto"/>
        <w:rPr>
          <w:sz w:val="20"/>
          <w:szCs w:val="20"/>
          <w:color w:val="auto"/>
        </w:rPr>
      </w:pPr>
      <w:r>
        <w:rPr>
          <w:rFonts w:ascii="Times New Roman" w:cs="Times New Roman" w:eastAsia="Times New Roman" w:hAnsi="Times New Roman"/>
          <w:sz w:val="18"/>
          <w:szCs w:val="18"/>
          <w:color w:val="auto"/>
        </w:rPr>
        <w:t>In April 2015, the Company entered the lung cancer diagnostics market with the Percepta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Bronchial Genomic Classifier, a genomic test to resolve ambiguity in lung cancer diagnosis. The Company has a second product in pulmonology under development designed to help in the preoperative assessment of patients suspected to have idiopathic pulmonary fibrosis (“IPF”).</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operations are based in South San Francisco, California and Austin, Texas, and it operates in one segment in the United States.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Company’s financial statements have been prepared in accordance with accounting principles generally accepted in the United States (“GAAP”). The financial statements include the accounts of the Company and its former wholly-owned subsidiary, which was dissolved in June 2015. For periods prior to the subsidiary dissolution, all intercompany accounts and transactions were eliminated in consolidation. Certain information and note disclosures normally included in the financial statements prepared in accordance with GAAP have been condensed or omitted pursuant to such rules and regulations. The condensed balance sheet as of June 30, 2016, the condensed statements of operations and comprehensive loss for the three and six months ended June 30, 2016 and 2015, and the condensed statements of cash flows for the six months ended June 30, 2016 and 2015 are unaudited, but include all adjustments, consisting only of normal recurring adjustments, which the Company considers necessary for a fair presentation of its financial position, operating results and cash flows for the periods presented. The condensed balance sheet at December 31, 2015 has been derived from audited financial statements. The results for the three and six months ended June 30, 2016 are not necessarily indicative of the results expected for the full year or any other period. Certain amounts have been reclassified on the condensed balance sheet at December 31, 2015 to conform with the adoption of Accounting Standards Update (“ASU”) No. 2015-3, </w:t>
      </w:r>
      <w:r>
        <w:rPr>
          <w:rFonts w:ascii="Times New Roman" w:cs="Times New Roman" w:eastAsia="Times New Roman" w:hAnsi="Times New Roman"/>
          <w:sz w:val="18"/>
          <w:szCs w:val="18"/>
          <w:i w:val="1"/>
          <w:iCs w:val="1"/>
          <w:color w:val="auto"/>
        </w:rPr>
        <w:t>Simplifying the Presentation of Debt Issuance Costs.</w:t>
      </w:r>
    </w:p>
    <w:p>
      <w:pPr>
        <w:spacing w:after="0" w:line="193"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accompanying interim period condensed financial statements and related financial information included in this Quarterly Report on Form 10-Q should be read in conjunction with the audited financial statements and notes thereto included in the Company’s Annual Report on Form 10-K for the year ended December 31, 2015.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the unaudited interim financial statements in conformity with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items subject to such estimates include: revenue recognition; contractual allowances; the useful lives of property and equipment; the recoverability of long-lived assets; the estimation of the fair value of intangible assets; stock options; income tax uncertainties, including a valuation allowance for deferred tax assets; and contingencies. The Company</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560"/>
        <w:spacing w:after="0" w:line="261" w:lineRule="auto"/>
        <w:rPr>
          <w:sz w:val="20"/>
          <w:szCs w:val="20"/>
          <w:color w:val="auto"/>
        </w:rPr>
      </w:pPr>
      <w:r>
        <w:rPr>
          <w:rFonts w:ascii="Times New Roman" w:cs="Times New Roman" w:eastAsia="Times New Roman" w:hAnsi="Times New Roman"/>
          <w:sz w:val="18"/>
          <w:szCs w:val="18"/>
          <w:color w:val="auto"/>
        </w:rPr>
        <w:t>bases these estimates on historical and anticipated results, trends and various other assumptions that the Company believes are reasonable under the circumstances, including assumptions as to future events. These estimates form the basis for making judgments about the carrying values of assets and liabilities and recorded revenue and expenses that are not readily apparent from other sources. Actual results could differ from those estimates and assumptions.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Other Risks and Uncertainties</w:t>
      </w:r>
    </w:p>
    <w:p>
      <w:pPr>
        <w:spacing w:after="0" w:line="229" w:lineRule="exact"/>
        <w:rPr>
          <w:sz w:val="20"/>
          <w:szCs w:val="20"/>
          <w:color w:val="auto"/>
        </w:rPr>
      </w:pPr>
    </w:p>
    <w:p>
      <w:pPr>
        <w:ind w:right="340" w:firstLine="648"/>
        <w:spacing w:after="0" w:line="313" w:lineRule="auto"/>
        <w:rPr>
          <w:sz w:val="20"/>
          <w:szCs w:val="20"/>
          <w:color w:val="auto"/>
        </w:rPr>
      </w:pPr>
      <w:r>
        <w:rPr>
          <w:rFonts w:ascii="Times New Roman" w:cs="Times New Roman" w:eastAsia="Times New Roman" w:hAnsi="Times New Roman"/>
          <w:sz w:val="17"/>
          <w:szCs w:val="17"/>
          <w:color w:val="auto"/>
        </w:rPr>
        <w:t>The Company’s cash and cash equivalents are deposited with one major financial institution in the United States. Deposits in this institution may exceed the amount of insurance provided on such deposits. The Company has not experienced any losses on its deposits of cash and cash equivalents.</w:t>
      </w:r>
    </w:p>
    <w:p>
      <w:pPr>
        <w:spacing w:after="0" w:line="138"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Several of the components of the Company’s sample collection kit and test reagents are obtained from single-source suppliers. If these single-source suppliers fail to satisfy the Company’s requirements on a timely basis, it could suffer delays in being able to deliver its diagnostic solutions, a possible loss of revenue, or incur higher costs, any of which could adversely affect its operating results.</w:t>
      </w:r>
    </w:p>
    <w:p>
      <w:pPr>
        <w:spacing w:after="0" w:line="17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Company is also subject to credit risk from its accounts receivable related to its sales. The Company generally does not perform evaluations of customers’ financial condition and generally does not require collateral.</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Through June 30, 2016, all of the Company’s revenue has been derived from the sale of Afirma. To date, Afirma has been delivered primarily to physicians in the United States. The Company’s third-party payers in excess of 10% of revenue and their related revenue as a percentage of total revenue were as follows: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00" w:type="dxa"/>
            <w:vAlign w:val="bottom"/>
          </w:tcPr>
          <w:p>
            <w:pPr>
              <w:spacing w:after="0"/>
              <w:rPr>
                <w:sz w:val="16"/>
                <w:szCs w:val="16"/>
                <w:color w:val="auto"/>
              </w:rPr>
            </w:pPr>
          </w:p>
        </w:tc>
        <w:tc>
          <w:tcPr>
            <w:tcW w:w="326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160" w:type="dxa"/>
            <w:vAlign w:val="bottom"/>
            <w:gridSpan w:val="5"/>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000" w:type="dxa"/>
            <w:vAlign w:val="bottom"/>
            <w:tcBorders>
              <w:bottom w:val="single" w:sz="8" w:color="CCEEFF"/>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2015</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500" w:type="dxa"/>
            <w:vAlign w:val="bottom"/>
            <w:tcBorders>
              <w:top w:val="single" w:sz="8" w:color="auto"/>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CCEEFF"/>
            </w:tcBorders>
          </w:tcPr>
          <w:p>
            <w:pPr>
              <w:spacing w:after="0"/>
              <w:rPr>
                <w:sz w:val="22"/>
                <w:szCs w:val="22"/>
                <w:color w:val="auto"/>
              </w:rPr>
            </w:pPr>
          </w:p>
        </w:tc>
        <w:tc>
          <w:tcPr>
            <w:tcW w:w="40" w:type="dxa"/>
            <w:vAlign w:val="bottom"/>
            <w:tcBorders>
              <w:top w:val="single" w:sz="8" w:color="auto"/>
              <w:bottom w:val="single" w:sz="8" w:color="CCEEFF"/>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49"/>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Medicare</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United Healthcare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11420" w:type="dxa"/>
            <w:vAlign w:val="bottom"/>
            <w:gridSpan w:val="11"/>
          </w:tcPr>
          <w:p>
            <w:pPr>
              <w:jc w:val="right"/>
              <w:ind w:right="374"/>
              <w:spacing w:after="0"/>
              <w:rPr>
                <w:sz w:val="20"/>
                <w:szCs w:val="20"/>
                <w:color w:val="auto"/>
              </w:rPr>
            </w:pPr>
            <w:r>
              <w:rPr>
                <w:rFonts w:ascii="Times New Roman" w:cs="Times New Roman" w:eastAsia="Times New Roman" w:hAnsi="Times New Roman"/>
                <w:sz w:val="18"/>
                <w:szCs w:val="18"/>
                <w:color w:val="auto"/>
              </w:rPr>
              <w:t>The Company’s significant third-party payers and their related accounts receivable balance as a percentage of total accounts receivable were as</w:t>
            </w:r>
          </w:p>
        </w:tc>
        <w:tc>
          <w:tcPr>
            <w:tcW w:w="0" w:type="dxa"/>
            <w:vAlign w:val="bottom"/>
          </w:tcPr>
          <w:p>
            <w:pPr>
              <w:spacing w:after="0"/>
              <w:rPr>
                <w:sz w:val="1"/>
                <w:szCs w:val="1"/>
                <w:color w:val="auto"/>
              </w:rPr>
            </w:pPr>
          </w:p>
        </w:tc>
      </w:tr>
      <w:tr>
        <w:trPr>
          <w:trHeight w:val="23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follows:</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2"/>
        </w:trPr>
        <w:tc>
          <w:tcPr>
            <w:tcW w:w="50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52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0" w:type="dxa"/>
            <w:vAlign w:val="bottom"/>
          </w:tcPr>
          <w:p>
            <w:pPr>
              <w:spacing w:after="0"/>
              <w:rPr>
                <w:sz w:val="1"/>
                <w:szCs w:val="1"/>
                <w:color w:val="auto"/>
              </w:rPr>
            </w:pPr>
          </w:p>
        </w:tc>
      </w:tr>
      <w:tr>
        <w:trPr>
          <w:trHeight w:val="195"/>
        </w:trPr>
        <w:tc>
          <w:tcPr>
            <w:tcW w:w="5000" w:type="dxa"/>
            <w:vAlign w:val="bottom"/>
            <w:tcBorders>
              <w:bottom w:val="single" w:sz="8" w:color="CCEEFF"/>
            </w:tcBorders>
          </w:tcPr>
          <w:p>
            <w:pPr>
              <w:spacing w:after="0"/>
              <w:rPr>
                <w:sz w:val="16"/>
                <w:szCs w:val="16"/>
                <w:color w:val="auto"/>
              </w:rPr>
            </w:pPr>
          </w:p>
        </w:tc>
        <w:tc>
          <w:tcPr>
            <w:tcW w:w="15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Medicare</w:t>
            </w: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United Healthcare</w:t>
            </w: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Aetna</w:t>
            </w: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Cigna</w:t>
            </w: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other third-party payer represented more than 10% of the Company’s accounts receivable balances as of those dates.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The Company had deposits of $120,000 and $118,000 as of June 30, 2016 and December 31, 2015, respectively, included in current assets. The deposit at June 30, 2016 was a pledge for corporate credit cards and the deposit at December 31, 2015 was restricted from withdrawal and held by a bank in the form of collateral for irrevocable standby letters of credit held as security for the lease of the Company’s former headquarters and laboratory facility in South San Francisco that expired March 31, 2016. The Company also had deposits of $603,000 included in long-term assets as of June 30, 2016 and December 31, 2015, restricted from withdrawal and held by a bank in the form of collateral for an irrevocable standby letter of credit held as security for the lease of the Company’s new South San Francisco facility signed in April 2015.</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carrying amounts of certain financial instruments including cash and cash equivalents, accounts receivable, prepaid expenses and other current assets, accounts payable and accrued liabilities approximate fair value due to their relatively short maturities.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the provision of ASC 954-605, </w:t>
      </w:r>
      <w:r>
        <w:rPr>
          <w:rFonts w:ascii="Times New Roman" w:cs="Times New Roman" w:eastAsia="Times New Roman" w:hAnsi="Times New Roman"/>
          <w:sz w:val="18"/>
          <w:szCs w:val="18"/>
          <w:i w:val="1"/>
          <w:iCs w:val="1"/>
          <w:color w:val="auto"/>
        </w:rPr>
        <w:t>Health Care Entities — Revenue Recognition.</w:t>
      </w:r>
      <w:r>
        <w:rPr>
          <w:rFonts w:ascii="Times New Roman" w:cs="Times New Roman" w:eastAsia="Times New Roman" w:hAnsi="Times New Roman"/>
          <w:sz w:val="18"/>
          <w:szCs w:val="18"/>
          <w:color w:val="auto"/>
        </w:rPr>
        <w:t xml:space="preserve"> The Company’s revenue is generated from the provision of diagnostic services. The service is completed upon the delivery of test results to the prescribing physician, at which time the Company bills for the service. The Company recognizes revenue related to billings for Medicare and commercial payers on an accrual basis when amounts that will ultimately be realized can be estimated. The estimates of amounts that will ultimately be realized requires significant judgment by management. Until a contract has been negotiated with a commercial payer or governmental program, the the Company's tests may or may not be covered by these entities’ existing reimbursement policies. In addition, patients do not enter into direct agreements with the Company that commit them to pay any portion of the cost of the tests in the event that their insurance declines to reimburse the Company.</w:t>
      </w:r>
    </w:p>
    <w:p>
      <w:pPr>
        <w:spacing w:after="0" w:line="18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Company may bill the patient directly for these amounts in the form of co-payments and co-insurance in accordance with their insurance carrier and health plans. Some payers may not cover the Company’s GEC as ordered by the prescribing physician under their reimbursement policies. The Company pursues reimbursement from such patients on a case-by-case basis. In the absence of contracted reimbursement coverage or the ability to estimate the amount that will ultimately be realized for the Company’s services, revenue is recognized upon the earlier of receipt of third-party payer notification of payment or when cash is received.</w:t>
      </w:r>
    </w:p>
    <w:p>
      <w:pPr>
        <w:spacing w:after="0" w:line="184"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Revenue recognized on an accrual basis and when cash is received for the three months ended June 30, 2016 and 2015 was as follows (in thousands of dollars):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760" w:type="dxa"/>
            <w:vAlign w:val="bottom"/>
            <w:tcBorders>
              <w:bottom w:val="single" w:sz="8" w:color="auto"/>
            </w:tcBorders>
          </w:tcPr>
          <w:p>
            <w:pPr>
              <w:spacing w:after="0"/>
              <w:rPr>
                <w:sz w:val="16"/>
                <w:szCs w:val="16"/>
                <w:color w:val="auto"/>
              </w:rPr>
            </w:pPr>
          </w:p>
        </w:tc>
      </w:tr>
      <w:tr>
        <w:trPr>
          <w:trHeight w:val="264"/>
        </w:trPr>
        <w:tc>
          <w:tcPr>
            <w:tcW w:w="37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9"/>
        </w:trPr>
        <w:tc>
          <w:tcPr>
            <w:tcW w:w="3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 recognized on an accrual basis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9,349</w:t>
            </w: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6,587</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17,575</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11,973</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43"/>
        </w:trPr>
        <w:tc>
          <w:tcPr>
            <w:tcW w:w="3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 recognized when cash is received</w:t>
            </w: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5,326</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5,321</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10,650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11,153</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7"/>
        </w:trPr>
        <w:tc>
          <w:tcPr>
            <w:tcW w:w="3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14,675</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11,908</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28,225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23,126</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ind w:right="120" w:firstLine="648"/>
        <w:spacing w:after="0" w:line="259"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ASU No. 2014-9,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requiring an entity to recognize the amount of revenue to which it expects to be entitled for the transfer of promised goods or services to customers. The updated standard will replace most existing revenue recognition guidance in GAAP when it becomes effective and permits the use of either the retrospective or cumulative effect transition method. Adoption is permitted as early as the first quarter of 2017 and is required by the first quarter of 2018. The Company has not yet selected a transition method and is currently evaluating the potential effect of the updated standard on its financial statements.</w:t>
      </w:r>
    </w:p>
    <w:p>
      <w:pPr>
        <w:spacing w:after="0" w:line="180"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August 2014, FASB issued ASU No. 2014-15, </w:t>
      </w:r>
      <w:r>
        <w:rPr>
          <w:rFonts w:ascii="Times New Roman" w:cs="Times New Roman" w:eastAsia="Times New Roman" w:hAnsi="Times New Roman"/>
          <w:sz w:val="18"/>
          <w:szCs w:val="18"/>
          <w:i w:val="1"/>
          <w:iCs w:val="1"/>
          <w:color w:val="auto"/>
        </w:rPr>
        <w:t>Presentation of Financial Statements Going Concern - Disclosure of Uncertainties about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Entity’s Ability to Continue as a Going Concern</w:t>
      </w:r>
      <w:r>
        <w:rPr>
          <w:rFonts w:ascii="Times New Roman" w:cs="Times New Roman" w:eastAsia="Times New Roman" w:hAnsi="Times New Roman"/>
          <w:sz w:val="18"/>
          <w:szCs w:val="18"/>
          <w:color w:val="auto"/>
        </w:rPr>
        <w:t>. The amendments require management to assess an entity’s ability to continue as a going concern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incorporating and expanding upon certain principles that are currently in U.S. auditing standards. Specifically, the amendments: (1) provide a definition of the term substantial doubt; (2) require an evaluation every reporting period including interim periods; (3) provide principles for considering the mitigating effect of management’s plans; (4) require certain disclosures when substantial doubt is alleviated as a result of consideration of management’s plans; (5) require an express statement and other disclosures when substantial doubt is not alleviated; and (6) require an assessment for a period of one year after the date that the financial statements are issued (or available to be issued). ASU 2014-15 will be effective for annual periods ending after December 15, 2016 and interim periods within annual periods beginning after December 15, 2016 with early adoption permitted. ASU 2014-15 will be effective for the Company beginning with its annual report for 2016 and interim periods thereafter. The Company does not anticipate that the adoption of this ASU will have a significant impact on its financial statements.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April 2015, the FASB issued ASU No. 2015-3, </w:t>
      </w:r>
      <w:r>
        <w:rPr>
          <w:rFonts w:ascii="Times New Roman" w:cs="Times New Roman" w:eastAsia="Times New Roman" w:hAnsi="Times New Roman"/>
          <w:sz w:val="18"/>
          <w:szCs w:val="18"/>
          <w:i w:val="1"/>
          <w:iCs w:val="1"/>
          <w:color w:val="auto"/>
        </w:rPr>
        <w:t>Simplifying the Presentation of Debt Issuance Costs</w:t>
      </w:r>
      <w:r>
        <w:rPr>
          <w:rFonts w:ascii="Times New Roman" w:cs="Times New Roman" w:eastAsia="Times New Roman" w:hAnsi="Times New Roman"/>
          <w:sz w:val="18"/>
          <w:szCs w:val="18"/>
          <w:color w:val="auto"/>
        </w:rPr>
        <w:t>, to require debt issuance costs to be presented as an offset against debt outstanding. The update does not change current guidance on the recognition and measurement of debt issuance costs. The ASU is effective for interim and annual periods beginning after December 15, 2015. Adoption of the ASU is retrospective to each prior period presented. The Company has adopted this ASU and the retrospective adjustment of the prior period presentation was not material.</w:t>
      </w:r>
    </w:p>
    <w:p>
      <w:pPr>
        <w:spacing w:after="0" w:line="180"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color w:val="auto"/>
        </w:rPr>
        <w:t xml:space="preserve">In November 2015, the FASB issued ASU 2015-17, </w:t>
      </w:r>
      <w:r>
        <w:rPr>
          <w:rFonts w:ascii="Times New Roman" w:cs="Times New Roman" w:eastAsia="Times New Roman" w:hAnsi="Times New Roman"/>
          <w:sz w:val="18"/>
          <w:szCs w:val="18"/>
          <w:i w:val="1"/>
          <w:iCs w:val="1"/>
          <w:color w:val="auto"/>
        </w:rPr>
        <w:t>Balance Sheet Classification of Deferred Taxes</w:t>
      </w:r>
      <w:r>
        <w:rPr>
          <w:rFonts w:ascii="Times New Roman" w:cs="Times New Roman" w:eastAsia="Times New Roman" w:hAnsi="Times New Roman"/>
          <w:sz w:val="18"/>
          <w:szCs w:val="18"/>
          <w:color w:val="auto"/>
        </w:rPr>
        <w:t>. The ASU requires that deferred tax assets and liabilities be classified as noncurrent in the statement of financial position, thereby simplifying the current guidance that requires an entity to separate deferred assets and liabilities into current and noncurrent amounts. This ASU will be effective for the Company beginning in the first quarter of 2018 though early adoption is permitted. The Company early-adopted this ASU as of December 31, 2015 and the impact of adoption on its statement of financial position was not material.</w:t>
      </w:r>
    </w:p>
    <w:p>
      <w:pPr>
        <w:spacing w:after="0" w:line="180" w:lineRule="exact"/>
        <w:rPr>
          <w:sz w:val="20"/>
          <w:szCs w:val="20"/>
          <w:color w:val="auto"/>
        </w:rPr>
      </w:pPr>
    </w:p>
    <w:p>
      <w:pPr>
        <w:ind w:right="2160" w:firstLine="648"/>
        <w:spacing w:after="0" w:line="277" w:lineRule="auto"/>
        <w:rPr>
          <w:sz w:val="20"/>
          <w:szCs w:val="20"/>
          <w:color w:val="auto"/>
        </w:rPr>
      </w:pPr>
      <w:r>
        <w:rPr>
          <w:rFonts w:ascii="Times New Roman" w:cs="Times New Roman" w:eastAsia="Times New Roman" w:hAnsi="Times New Roman"/>
          <w:sz w:val="17"/>
          <w:szCs w:val="17"/>
          <w:color w:val="auto"/>
        </w:rPr>
        <w:t xml:space="preserve">In February 2016, the FASB issued ASU No. 2016-2,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This ASU is aimed at making leasing activities more transparent and comparable, and requires substantially all leases be recognized by lessees on their balance sheet as a right-of-use</w:t>
      </w:r>
    </w:p>
    <w:p>
      <w:pPr>
        <w:spacing w:after="0" w:line="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asset and corresponding lease liability, including leases currently accounted for as operating leases. The ASU will be effective for interim and annual periods beginning after December 15, 2018. Early adoption is permitted. The Company is currently evaluating the potential effect of the updated standard on its financial statements.</w:t>
      </w:r>
    </w:p>
    <w:p>
      <w:pPr>
        <w:spacing w:after="0" w:line="184"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March 2016, the FASB issued ASU 2016-9,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related to the tax effects of share-based awards. The ASU requires that all the tax effects of share-based awards be recorded through the income statement, thereby simplifying the current guidance that requires excess tax benefits and certain excess tax deficiencies to be recorded in equity. The ASU will be effective for interim and annual periods beginning after December 15, 2016. The Company does not anticipate that the adoption of this ASU will have a significant impact on its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Net Loss Per Common Share</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following outstanding common stock equivalents have been excluded from diluted net loss per common share because their inclusion would be anti-dilutive:</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6"/>
                <w:szCs w:val="16"/>
                <w:color w:val="auto"/>
              </w:rPr>
            </w:pPr>
          </w:p>
        </w:tc>
        <w:tc>
          <w:tcPr>
            <w:tcW w:w="2780" w:type="dxa"/>
            <w:vAlign w:val="bottom"/>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5160" w:type="dxa"/>
            <w:vAlign w:val="bottom"/>
            <w:tcBorders>
              <w:bottom w:val="single" w:sz="8" w:color="CCEEFF"/>
            </w:tcBorders>
          </w:tcPr>
          <w:p>
            <w:pPr>
              <w:spacing w:after="0"/>
              <w:rPr>
                <w:sz w:val="22"/>
                <w:szCs w:val="22"/>
                <w:color w:val="auto"/>
              </w:rPr>
            </w:pPr>
          </w:p>
        </w:tc>
        <w:tc>
          <w:tcPr>
            <w:tcW w:w="6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837"/>
              <w:spacing w:after="0"/>
              <w:rPr>
                <w:sz w:val="20"/>
                <w:szCs w:val="20"/>
                <w:color w:val="auto"/>
              </w:rPr>
            </w:pPr>
            <w:r>
              <w:rPr>
                <w:rFonts w:ascii="Times New Roman" w:cs="Times New Roman" w:eastAsia="Times New Roman" w:hAnsi="Times New Roman"/>
                <w:sz w:val="14"/>
                <w:szCs w:val="14"/>
                <w:b w:val="1"/>
                <w:bCs w:val="1"/>
                <w:color w:val="auto"/>
                <w:w w:val="92"/>
              </w:rPr>
              <w:t>2016</w:t>
            </w:r>
          </w:p>
        </w:tc>
        <w:tc>
          <w:tcPr>
            <w:tcW w:w="130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5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of common stock subject to outstanding options</w:t>
            </w:r>
          </w:p>
        </w:tc>
        <w:tc>
          <w:tcPr>
            <w:tcW w:w="1200" w:type="dxa"/>
            <w:vAlign w:val="bottom"/>
            <w:tcBorders>
              <w:bottom w:val="single" w:sz="8" w:color="CCEEFF"/>
            </w:tcBorders>
            <w:shd w:val="clear" w:color="auto" w:fill="CCEEFF"/>
          </w:tcPr>
          <w:p>
            <w:pPr>
              <w:jc w:val="right"/>
              <w:ind w:right="337"/>
              <w:spacing w:after="0"/>
              <w:rPr>
                <w:sz w:val="20"/>
                <w:szCs w:val="20"/>
                <w:color w:val="auto"/>
              </w:rPr>
            </w:pPr>
            <w:r>
              <w:rPr>
                <w:rFonts w:ascii="Times New Roman" w:cs="Times New Roman" w:eastAsia="Times New Roman" w:hAnsi="Times New Roman"/>
                <w:sz w:val="18"/>
                <w:szCs w:val="18"/>
                <w:color w:val="auto"/>
              </w:rPr>
              <w:t>5,320,885</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4,270,882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4,890,309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3,940,304</w:t>
            </w:r>
          </w:p>
        </w:tc>
      </w:tr>
      <w:tr>
        <w:trPr>
          <w:trHeight w:val="243"/>
        </w:trPr>
        <w:tc>
          <w:tcPr>
            <w:tcW w:w="5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200" w:type="dxa"/>
            <w:vAlign w:val="bottom"/>
          </w:tcPr>
          <w:p>
            <w:pPr>
              <w:jc w:val="right"/>
              <w:ind w:right="337"/>
              <w:spacing w:after="0"/>
              <w:rPr>
                <w:sz w:val="20"/>
                <w:szCs w:val="20"/>
                <w:color w:val="auto"/>
              </w:rPr>
            </w:pPr>
            <w:r>
              <w:rPr>
                <w:rFonts w:ascii="Times New Roman" w:cs="Times New Roman" w:eastAsia="Times New Roman" w:hAnsi="Times New Roman"/>
                <w:sz w:val="18"/>
                <w:szCs w:val="18"/>
                <w:color w:val="auto"/>
              </w:rPr>
              <w:t>47,435</w:t>
            </w:r>
          </w:p>
        </w:tc>
        <w:tc>
          <w:tcPr>
            <w:tcW w:w="14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36,942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57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common stock equivalents</w:t>
            </w:r>
          </w:p>
        </w:tc>
        <w:tc>
          <w:tcPr>
            <w:tcW w:w="1200" w:type="dxa"/>
            <w:vAlign w:val="bottom"/>
            <w:shd w:val="clear" w:color="auto" w:fill="CCEEFF"/>
          </w:tcPr>
          <w:p>
            <w:pPr>
              <w:jc w:val="right"/>
              <w:ind w:right="337"/>
              <w:spacing w:after="0"/>
              <w:rPr>
                <w:sz w:val="20"/>
                <w:szCs w:val="20"/>
                <w:color w:val="auto"/>
              </w:rPr>
            </w:pPr>
            <w:r>
              <w:rPr>
                <w:rFonts w:ascii="Times New Roman" w:cs="Times New Roman" w:eastAsia="Times New Roman" w:hAnsi="Times New Roman"/>
                <w:sz w:val="18"/>
                <w:szCs w:val="18"/>
                <w:color w:val="auto"/>
              </w:rPr>
              <w:t>5,368,320</w:t>
            </w:r>
          </w:p>
        </w:tc>
        <w:tc>
          <w:tcPr>
            <w:tcW w:w="13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4,270,882</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4,927,251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3,940,304</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419"/>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 Accrued Liabilities</w:t>
            </w:r>
          </w:p>
        </w:tc>
        <w:tc>
          <w:tcPr>
            <w:tcW w:w="1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32"/>
        </w:trPr>
        <w:tc>
          <w:tcPr>
            <w:tcW w:w="57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9"/>
              </w:rPr>
              <w:t>Accrued liabilities consisted of the following (in thousands of dollars):</w:t>
            </w:r>
          </w:p>
        </w:tc>
        <w:tc>
          <w:tcPr>
            <w:tcW w:w="1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502"/>
        </w:trPr>
        <w:tc>
          <w:tcPr>
            <w:tcW w:w="5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24"/>
                <w:szCs w:val="24"/>
                <w:color w:val="auto"/>
              </w:rPr>
            </w:pPr>
          </w:p>
        </w:tc>
        <w:tc>
          <w:tcPr>
            <w:tcW w:w="12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516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5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compensation expenses</w:t>
            </w:r>
          </w:p>
        </w:tc>
        <w:tc>
          <w:tcPr>
            <w:tcW w:w="1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4,471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4,212</w:t>
            </w:r>
          </w:p>
        </w:tc>
      </w:tr>
      <w:tr>
        <w:trPr>
          <w:trHeight w:val="243"/>
        </w:trPr>
        <w:tc>
          <w:tcPr>
            <w:tcW w:w="5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Accrued Genzyme co-promotion fees</w:t>
            </w:r>
          </w:p>
        </w:tc>
        <w:tc>
          <w:tcPr>
            <w:tcW w:w="1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2,179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2,089</w:t>
            </w:r>
          </w:p>
        </w:tc>
      </w:tr>
      <w:tr>
        <w:trPr>
          <w:trHeight w:val="27"/>
        </w:trPr>
        <w:tc>
          <w:tcPr>
            <w:tcW w:w="576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other</w:t>
            </w:r>
          </w:p>
        </w:tc>
        <w:tc>
          <w:tcPr>
            <w:tcW w:w="1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2,260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2,388</w:t>
            </w:r>
          </w:p>
        </w:tc>
      </w:tr>
      <w:tr>
        <w:trPr>
          <w:trHeight w:val="237"/>
        </w:trPr>
        <w:tc>
          <w:tcPr>
            <w:tcW w:w="5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8,910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8,689</w:t>
            </w:r>
          </w:p>
        </w:tc>
      </w:tr>
      <w:tr>
        <w:trPr>
          <w:trHeight w:val="27"/>
        </w:trPr>
        <w:tc>
          <w:tcPr>
            <w:tcW w:w="5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recognizes its financial assets and liabilities at fair value. The carrying amounts of certain financial instruments of the Company, including cash and cash equivalents, prepaid expenses and other current assets, accounts payable and accrued liabilities, approximate fair value due to their relatively short maturities. The carrying value of the Company’s debt approximates its fair value because the interest rate approximates market rates that the Company could obtain for debt with similar terms. The estimated fair value of the Company’s debt is estimated using the net present value of the payments, discounted at an interest rate that is consistent with market interest rates, which is a Level 2 input. The accounting guidance for</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80" w:lineRule="exact"/>
        <w:rPr>
          <w:sz w:val="20"/>
          <w:szCs w:val="20"/>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 Inputs which include quoted prices in active markets for identical assets and liabilities.</w:t>
      </w:r>
    </w:p>
    <w:p>
      <w:pPr>
        <w:spacing w:after="0" w:line="225" w:lineRule="exact"/>
        <w:rPr>
          <w:rFonts w:ascii="Times New Roman" w:cs="Times New Roman" w:eastAsia="Times New Roman" w:hAnsi="Times New Roman"/>
          <w:sz w:val="18"/>
          <w:szCs w:val="18"/>
          <w:color w:val="auto"/>
        </w:rPr>
      </w:pPr>
    </w:p>
    <w:p>
      <w:pPr>
        <w:jc w:val="both"/>
        <w:ind w:left="980" w:right="180" w:hanging="324"/>
        <w:spacing w:after="0" w:line="266"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76" w:lineRule="exact"/>
        <w:rPr>
          <w:rFonts w:ascii="Times New Roman" w:cs="Times New Roman" w:eastAsia="Times New Roman" w:hAnsi="Times New Roman"/>
          <w:sz w:val="18"/>
          <w:szCs w:val="18"/>
          <w:color w:val="auto"/>
        </w:rPr>
      </w:pPr>
    </w:p>
    <w:p>
      <w:pPr>
        <w:ind w:left="980" w:right="76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III: Unobservable inputs that are supported by little or no market activity and that are significant to the fair value of the assets or liabilities.</w:t>
      </w:r>
    </w:p>
    <w:p>
      <w:pPr>
        <w:spacing w:after="0" w:line="162"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the Company’s financial assets, which consist only of money market funds, was $37.6 million and $37.5 million as of June 30, 2016 and December 31, 2015, respectively, and are Level I assets as described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Company leases its headquarters and South San Francisco, California laboratory facilities under a non-cancelable lease agreement for approximately 59,000 square feet. The lease began in June 2015 and ends in March 2026 and contains extension of lease term and expansion options. The Company had deposits of $603,000 included in long-term assets as of June 30, 2016, restricted from withdrawal and held by a bank in the form of collateral for an irrevocable standby letter of credit held as security for the lease of the South San Francisco facility.</w:t>
      </w:r>
    </w:p>
    <w:p>
      <w:pPr>
        <w:spacing w:after="0" w:line="180"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Company also leases laboratory and office space in Austin, Texas. The lease expires on July 31, 2018. The Company provided a cash security deposit of $75,000, which is included in other assets in the Company’s condensed balance sheets as of June 30, 2016 and December 31, 2015.</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minimum lease payments under non-cancelable operating leases as of June 30, 2016 are as follows (in thousands of dollars):</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5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1"/>
        </w:trPr>
        <w:tc>
          <w:tcPr>
            <w:tcW w:w="40" w:type="dxa"/>
            <w:vAlign w:val="bottom"/>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8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1,047</w:t>
            </w:r>
          </w:p>
        </w:tc>
      </w:tr>
      <w:tr>
        <w:trPr>
          <w:trHeight w:val="243"/>
        </w:trPr>
        <w:tc>
          <w:tcPr>
            <w:tcW w:w="1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8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2,143</w:t>
            </w: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8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2,102</w:t>
            </w:r>
          </w:p>
        </w:tc>
      </w:tr>
      <w:tr>
        <w:trPr>
          <w:trHeight w:val="243"/>
        </w:trPr>
        <w:tc>
          <w:tcPr>
            <w:tcW w:w="1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8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2,026</w:t>
            </w: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8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2,082</w:t>
            </w:r>
          </w:p>
        </w:tc>
      </w:tr>
      <w:tr>
        <w:trPr>
          <w:trHeight w:val="243"/>
        </w:trPr>
        <w:tc>
          <w:tcPr>
            <w:tcW w:w="99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11,956</w:t>
            </w: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82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9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21,356</w:t>
            </w:r>
          </w:p>
        </w:tc>
      </w:tr>
      <w:tr>
        <w:trPr>
          <w:trHeight w:val="20"/>
        </w:trPr>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recognizes rent expense on a straight-line basis over the non-cancelable lease period. Facilities rent expense was $457,000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$352,000 for the three months ended June 30, 2016 and 2015, respectively, and $1.1 million and $565,000 for the six months ended June 30, 2016 and 2015,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Supplies Purchase Commitments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Company had non-cancelable purchase commitments with two suppliers to purchase a minimum quantity of supplies for approximately $1.1 million at June 30, 2016.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Obligations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6, Debt.</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involved in legal proceedings arising in the ordinary course of business. The Company believes there is no litigation pending that could have, individually or in the aggregate, a material adverse effect on the Company’s financial position, results of operations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2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March 2016, the Company entered into a credit agreement (the “Credit Agreement”) with Visium Healthcare Partners, LP (“Visium”). Under the Credit Agreement, two term loans are available to the Company with an aggregate principal amount of up to $40.0 million. The Company drew down the initial $25.0 million term loan (the “Initial Term Loan”) on March 30, 2016, of which $5.0 million was used to pay the outstanding balance of the Company’s existing long-term debt, which was cancelled at that date. On or prior to June 30, 2017, the Company may request the second term loan of up to $15.0 million (the “Second Term Loan” and together with the Initial Term Loan, the “Term Loans”). The Term Loans mature on March 31, 2022.</w:t>
      </w:r>
    </w:p>
    <w:p>
      <w:pPr>
        <w:spacing w:after="0" w:line="184"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Term Loans bear interest at a fixed rate of 12.0% per annum, payable quarterly at the end of each March, June, September and December. No principal payments will be due during an interest-only period, commencing on the funding date for the Initial Term Loan (the “Initial Borrowing Date”) and continuing through and including March 31, 2020. The Company is obligated to repay the outstanding principal amounts under the Term Loans in eight equal installments during the final two years under the Credit Agreement. For any quarterly interest payment through and including the 16th interest payment date after the Initial Borrowing Date, so long as no event of default has occurred and is then continuing, the Company may elect to pay interest in cash on the outstanding principal amounts of the Term Loans at a fixed rate of 9.0%, with the remaining 3.0% of the 12.0% interest paid-in-kind by adding such paid-in-kind interest to the outstanding principal amounts of the Term Loans. The Company elected to pay interest in-kind for the quarter ended June 30, 2016 and has recorded $192,000 of paid-in-kind interest through June 30, 2016.</w:t>
      </w:r>
    </w:p>
    <w:p>
      <w:pPr>
        <w:spacing w:after="0" w:line="185"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The Company may prepay the outstanding principal amount under the Term Loans subject to a minimum of $5.0 million of principal amount or a whole multiple of $1.0 million in excess thereof plus accrued and unpaid interest and a prepayment premium. The prepayment premium will be assessed on the principal amount repaid and will equal (i) 24.0% less the aggregate amount of all interest payments in cash, if the prepayment is made on or prior to March 31, 2018, (ii) 4.0%, if the prepayment is made after March 31, 2018 and on or prior to March 31, 2019, (iii) 2.0%, if the prepayment is made after March 31, 2019 and on or prior to March 31, 2020, and (iv) 1.0%, if the prepayment is made after March 31, 2020 and on or prior to March 31, 2021. After March 31, 2021 there is no prepayment premium.</w:t>
      </w:r>
    </w:p>
    <w:p>
      <w:pPr>
        <w:spacing w:after="0" w:line="188"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The Company’s obligations under the Credit Agreement are secured by a security interest in substantially all of its assets. The Credit Agreement contains customary representations, warranties and events of default, as well as affirmative and negative covenants. The negative covenants include, among other provisions, covenants that limit or restrict the Company’s ability to incur liens, make investments, incur indebtedness, merge with or acquire other entities, dispose of assets, make dividends or other distributions to holders of its equity interests, engage in any material new line of business or enter into certain transactions with affiliates, in each case subject to certain exceptions. To the extent the Company forms or acquires certain subsidiaries domiciled in the United States, those subsidiaries are required to be guarantors of the Company’s obligations under the Credit Agreement. As of June 30, 2016, the Company was in compliance with the loan covenants.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Concurrent with entering into the Credit Agreement, the Company entered into an agreement with Visium pursuant to which, for a period of one year following the Initial Borrowing Date, Visium has the right to participate in certain future equity financings of the Company in an amount of up to $5.0 million with no preferential terms.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2016, the net debt obligation for borrowings made under the Credit Agreement was as follows (in thousands of dollars):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118" w:right="25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9940" w:type="dxa"/>
            <w:vAlign w:val="bottom"/>
            <w:gridSpan w:val="4"/>
          </w:tcPr>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83"/>
        </w:trPr>
        <w:tc>
          <w:tcPr>
            <w:tcW w:w="40" w:type="dxa"/>
            <w:vAlign w:val="bottom"/>
            <w:tcBorders>
              <w:top w:val="single" w:sz="8" w:color="0000EE"/>
              <w:bottom w:val="single" w:sz="8" w:color="CCEEFF"/>
            </w:tcBorders>
          </w:tcPr>
          <w:p>
            <w:pPr>
              <w:spacing w:after="0"/>
              <w:rPr>
                <w:sz w:val="24"/>
                <w:szCs w:val="24"/>
                <w:color w:val="auto"/>
              </w:rPr>
            </w:pPr>
          </w:p>
        </w:tc>
        <w:tc>
          <w:tcPr>
            <w:tcW w:w="980" w:type="dxa"/>
            <w:vAlign w:val="bottom"/>
            <w:tcBorders>
              <w:top w:val="single" w:sz="8" w:color="0000EE"/>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826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0" w:type="dxa"/>
            <w:vAlign w:val="bottom"/>
          </w:tcPr>
          <w:p>
            <w:pPr>
              <w:spacing w:after="0"/>
              <w:rPr>
                <w:sz w:val="1"/>
                <w:szCs w:val="1"/>
                <w:color w:val="auto"/>
              </w:rPr>
            </w:pPr>
          </w:p>
        </w:tc>
      </w:tr>
      <w:tr>
        <w:trPr>
          <w:trHeight w:val="249"/>
        </w:trPr>
        <w:tc>
          <w:tcPr>
            <w:tcW w:w="99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Debt principal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25,192</w:t>
            </w:r>
          </w:p>
        </w:tc>
        <w:tc>
          <w:tcPr>
            <w:tcW w:w="0" w:type="dxa"/>
            <w:vAlign w:val="bottom"/>
          </w:tcPr>
          <w:p>
            <w:pPr>
              <w:spacing w:after="0"/>
              <w:rPr>
                <w:sz w:val="1"/>
                <w:szCs w:val="1"/>
                <w:color w:val="auto"/>
              </w:rPr>
            </w:pPr>
          </w:p>
        </w:tc>
      </w:tr>
      <w:tr>
        <w:trPr>
          <w:trHeight w:val="243"/>
        </w:trPr>
        <w:tc>
          <w:tcPr>
            <w:tcW w:w="99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Unamortized deferred debt issuance costs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8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9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debt obligation</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24,671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900" w:type="dxa"/>
            <w:vAlign w:val="bottom"/>
            <w:gridSpan w:val="3"/>
            <w:vMerge w:val="restart"/>
          </w:tcPr>
          <w:p>
            <w:pPr>
              <w:ind w:left="620"/>
              <w:spacing w:after="0"/>
              <w:rPr>
                <w:sz w:val="20"/>
                <w:szCs w:val="20"/>
                <w:color w:val="auto"/>
              </w:rPr>
            </w:pPr>
            <w:r>
              <w:rPr>
                <w:rFonts w:ascii="Times New Roman" w:cs="Times New Roman" w:eastAsia="Times New Roman" w:hAnsi="Times New Roman"/>
                <w:sz w:val="18"/>
                <w:szCs w:val="18"/>
                <w:color w:val="auto"/>
              </w:rPr>
              <w:t>Future principal payments under the Credit Agreement are as follows (in thousands of dollars):</w:t>
            </w: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0" w:type="dxa"/>
            <w:vAlign w:val="bottom"/>
          </w:tcPr>
          <w:p>
            <w:pPr>
              <w:spacing w:after="0"/>
              <w:rPr>
                <w:sz w:val="24"/>
                <w:szCs w:val="24"/>
                <w:color w:val="auto"/>
              </w:rPr>
            </w:pPr>
          </w:p>
        </w:tc>
        <w:tc>
          <w:tcPr>
            <w:tcW w:w="990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99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660" w:type="dxa"/>
            <w:vAlign w:val="bottom"/>
            <w:tcBorders>
              <w:bottom w:val="single" w:sz="8" w:color="CCEEFF"/>
            </w:tcBorders>
            <w:shd w:val="clear" w:color="auto" w:fill="CCEEFF"/>
          </w:tcPr>
          <w:p>
            <w:pPr>
              <w:spacing w:after="0"/>
              <w:rPr>
                <w:sz w:val="21"/>
                <w:szCs w:val="21"/>
                <w:color w:val="auto"/>
              </w:rPr>
            </w:pPr>
          </w:p>
        </w:tc>
        <w:tc>
          <w:tcPr>
            <w:tcW w:w="8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9,447</w:t>
            </w:r>
          </w:p>
        </w:tc>
        <w:tc>
          <w:tcPr>
            <w:tcW w:w="0" w:type="dxa"/>
            <w:vAlign w:val="bottom"/>
          </w:tcPr>
          <w:p>
            <w:pPr>
              <w:spacing w:after="0"/>
              <w:rPr>
                <w:sz w:val="1"/>
                <w:szCs w:val="1"/>
                <w:color w:val="auto"/>
              </w:rPr>
            </w:pPr>
          </w:p>
        </w:tc>
      </w:tr>
      <w:tr>
        <w:trPr>
          <w:trHeight w:val="243"/>
        </w:trPr>
        <w:tc>
          <w:tcPr>
            <w:tcW w:w="99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15,745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8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9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25,192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and Security Agreement</w:t>
      </w:r>
    </w:p>
    <w:p>
      <w:pPr>
        <w:spacing w:after="0" w:line="227"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In June 2013, the Company entered into a loan and security agreement as subsequently amended (“2013 Loan Agreement”) with a financial institution that provided for borrowings of up to $10.0 million in aggregate. Borrowings under the 2013 Loan Agreement totaled $5.0 million, which was outstanding at January 1, 2015 and into 2016 until such amount was repaid upon the Company entering into the Credit Agreement discussed above.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expense was as follows (in thousands of dollars):</w:t>
      </w:r>
    </w:p>
    <w:p>
      <w:pPr>
        <w:sectPr>
          <w:pgSz w:w="11900" w:h="16838" w:orient="portrait"/>
          <w:cols w:equalWidth="0" w:num="1">
            <w:col w:w="11420"/>
          </w:cols>
          <w:pgMar w:left="240" w:top="114" w:right="239" w:bottom="1440" w:gutter="0" w:footer="0" w:header="0"/>
        </w:sectPr>
      </w:pPr>
    </w:p>
    <w:p>
      <w:pPr>
        <w:spacing w:after="0" w:line="232"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24765</wp:posOffset>
            </wp:positionV>
            <wp:extent cx="19723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103" w:lineRule="exact"/>
        <w:rPr>
          <w:sz w:val="20"/>
          <w:szCs w:val="20"/>
          <w:color w:val="auto"/>
        </w:rPr>
      </w:pPr>
    </w:p>
    <w:p>
      <w:pPr>
        <w:ind w:left="5760"/>
        <w:spacing w:after="0"/>
        <w:tabs>
          <w:tab w:leader="none" w:pos="7360" w:val="left"/>
        </w:tabs>
        <w:rPr>
          <w:sz w:val="20"/>
          <w:szCs w:val="20"/>
          <w:color w:val="auto"/>
        </w:rPr>
      </w:pPr>
      <w:r>
        <w:rPr>
          <w:rFonts w:ascii="Times New Roman" w:cs="Times New Roman" w:eastAsia="Times New Roman" w:hAnsi="Times New Roman"/>
          <w:sz w:val="14"/>
          <w:szCs w:val="14"/>
          <w:b w:val="1"/>
          <w:bCs w:val="1"/>
          <w:color w:val="auto"/>
        </w:rPr>
        <w:t>2016</w:t>
      </w:r>
      <w:r>
        <w:rPr>
          <w:sz w:val="20"/>
          <w:szCs w:val="20"/>
          <w:color w:val="auto"/>
        </w:rPr>
        <w:tab/>
      </w:r>
      <w:r>
        <w:rPr>
          <w:rFonts w:ascii="Times New Roman" w:cs="Times New Roman" w:eastAsia="Times New Roman" w:hAnsi="Times New Roman"/>
          <w:sz w:val="14"/>
          <w:szCs w:val="14"/>
          <w:b w:val="1"/>
          <w:bCs w:val="1"/>
          <w:color w:val="auto"/>
        </w:rPr>
        <w:t>2015</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24765</wp:posOffset>
            </wp:positionV>
            <wp:extent cx="19380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103"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4"/>
          <w:szCs w:val="14"/>
          <w:b w:val="1"/>
          <w:bCs w:val="1"/>
          <w:color w:val="auto"/>
        </w:rPr>
        <w:t>2016</w:t>
      </w:r>
      <w:r>
        <w:rPr>
          <w:sz w:val="20"/>
          <w:szCs w:val="20"/>
          <w:color w:val="auto"/>
        </w:rPr>
        <w:tab/>
      </w:r>
      <w:r>
        <w:rPr>
          <w:rFonts w:ascii="Times New Roman" w:cs="Times New Roman" w:eastAsia="Times New Roman" w:hAnsi="Times New Roman"/>
          <w:sz w:val="14"/>
          <w:szCs w:val="14"/>
          <w:b w:val="1"/>
          <w:bCs w:val="1"/>
          <w:color w:val="auto"/>
        </w:rPr>
        <w:t>2015</w:t>
      </w:r>
    </w:p>
    <w:p>
      <w:pPr>
        <w:spacing w:after="0" w:line="29" w:lineRule="exact"/>
        <w:rPr>
          <w:sz w:val="20"/>
          <w:szCs w:val="20"/>
          <w:color w:val="auto"/>
        </w:rPr>
      </w:pPr>
    </w:p>
    <w:p>
      <w:pPr>
        <w:sectPr>
          <w:pgSz w:w="11900" w:h="16838" w:orient="portrait"/>
          <w:cols w:equalWidth="0" w:num="2">
            <w:col w:w="8240" w:space="720"/>
            <w:col w:w="2460"/>
          </w:cols>
          <w:pgMar w:left="240" w:top="114" w:right="239" w:bottom="1440" w:gutter="0" w:footer="0" w:header="0"/>
          <w:type w:val="continuous"/>
        </w:sectPr>
      </w:pPr>
    </w:p>
    <w:tbl>
      <w:tblPr>
        <w:tblLayout w:type="fixed"/>
        <w:tblInd w:w="0" w:type="dxa"/>
        <w:tblCellMar>
          <w:top w:w="0" w:type="dxa"/>
          <w:left w:w="0" w:type="dxa"/>
          <w:bottom w:w="0" w:type="dxa"/>
          <w:right w:w="0" w:type="dxa"/>
        </w:tblCellMar>
      </w:tblPr>
      <w:tr>
        <w:trPr>
          <w:trHeight w:val="254"/>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Nominal interest</w:t>
            </w:r>
          </w:p>
        </w:tc>
        <w:tc>
          <w:tcPr>
            <w:tcW w:w="620" w:type="dxa"/>
            <w:vAlign w:val="bottom"/>
            <w:tcBorders>
              <w:top w:val="single" w:sz="8" w:color="auto"/>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660" w:type="dxa"/>
            <w:vAlign w:val="bottom"/>
            <w:tcBorders>
              <w:top w:val="single" w:sz="8" w:color="auto"/>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828</w:t>
            </w:r>
          </w:p>
        </w:tc>
        <w:tc>
          <w:tcPr>
            <w:tcW w:w="700" w:type="dxa"/>
            <w:vAlign w:val="bottom"/>
            <w:tcBorders>
              <w:top w:val="single" w:sz="8" w:color="auto"/>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and write-off of debt discount and debt issuance costs</w:t>
            </w:r>
          </w:p>
        </w:tc>
        <w:tc>
          <w:tcPr>
            <w:tcW w:w="62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w:t>
            </w:r>
          </w:p>
        </w:tc>
        <w:tc>
          <w:tcPr>
            <w:tcW w:w="7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5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Prepayment penalty</w:t>
            </w:r>
          </w:p>
        </w:tc>
        <w:tc>
          <w:tcPr>
            <w:tcW w:w="6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7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End-of-term payment interest</w:t>
            </w:r>
          </w:p>
        </w:tc>
        <w:tc>
          <w:tcPr>
            <w:tcW w:w="62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156</w:t>
            </w:r>
          </w:p>
        </w:tc>
        <w:tc>
          <w:tcPr>
            <w:tcW w:w="7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r>
      <w:tr>
        <w:trPr>
          <w:trHeight w:val="27"/>
        </w:trPr>
        <w:tc>
          <w:tcPr>
            <w:tcW w:w="51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785</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1,152</w:t>
            </w:r>
          </w:p>
        </w:tc>
        <w:tc>
          <w:tcPr>
            <w:tcW w:w="7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w:t>
            </w:r>
          </w:p>
        </w:tc>
      </w:tr>
      <w:tr>
        <w:trPr>
          <w:trHeight w:val="20"/>
        </w:trPr>
        <w:tc>
          <w:tcPr>
            <w:tcW w:w="5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had reserved shares of common stock for issuance as follows: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60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8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0" w:type="dxa"/>
            <w:vAlign w:val="bottom"/>
          </w:tcPr>
          <w:p>
            <w:pPr>
              <w:spacing w:after="0"/>
              <w:rPr>
                <w:sz w:val="1"/>
                <w:szCs w:val="1"/>
                <w:color w:val="auto"/>
              </w:rPr>
            </w:pPr>
          </w:p>
        </w:tc>
      </w:tr>
      <w:tr>
        <w:trPr>
          <w:trHeight w:val="195"/>
        </w:trPr>
        <w:tc>
          <w:tcPr>
            <w:tcW w:w="5120" w:type="dxa"/>
            <w:vAlign w:val="bottom"/>
            <w:tcBorders>
              <w:bottom w:val="single" w:sz="8" w:color="CCEEFF"/>
            </w:tcBorders>
          </w:tcPr>
          <w:p>
            <w:pPr>
              <w:spacing w:after="0"/>
              <w:rPr>
                <w:sz w:val="16"/>
                <w:szCs w:val="16"/>
                <w:color w:val="auto"/>
              </w:rPr>
            </w:pPr>
          </w:p>
        </w:tc>
        <w:tc>
          <w:tcPr>
            <w:tcW w:w="32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Options issued and outstanding</w:t>
            </w:r>
          </w:p>
        </w:tc>
        <w:tc>
          <w:tcPr>
            <w:tcW w:w="47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5,362,144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4,179,521</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Options available for grant under stock option plans</w:t>
            </w:r>
          </w:p>
        </w:tc>
        <w:tc>
          <w:tcPr>
            <w:tcW w:w="472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876,886</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1,058,359</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stock available for the Employee Stock Purchase Plan</w:t>
            </w:r>
          </w:p>
        </w:tc>
        <w:tc>
          <w:tcPr>
            <w:tcW w:w="3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684,272</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750,000</w:t>
            </w:r>
          </w:p>
        </w:tc>
        <w:tc>
          <w:tcPr>
            <w:tcW w:w="0" w:type="dxa"/>
            <w:vAlign w:val="bottom"/>
          </w:tcPr>
          <w:p>
            <w:pPr>
              <w:spacing w:after="0"/>
              <w:rPr>
                <w:sz w:val="1"/>
                <w:szCs w:val="1"/>
                <w:color w:val="auto"/>
              </w:rPr>
            </w:pPr>
          </w:p>
        </w:tc>
      </w:tr>
      <w:tr>
        <w:trPr>
          <w:trHeight w:val="257"/>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220" w:type="dxa"/>
            <w:vAlign w:val="bottom"/>
          </w:tcPr>
          <w:p>
            <w:pPr>
              <w:spacing w:after="0"/>
              <w:rPr>
                <w:sz w:val="22"/>
                <w:szCs w:val="22"/>
                <w:color w:val="auto"/>
              </w:rPr>
            </w:pPr>
          </w:p>
        </w:tc>
        <w:tc>
          <w:tcPr>
            <w:tcW w:w="15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6,923,302</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5,987,880</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220" w:type="dxa"/>
            <w:vAlign w:val="bottom"/>
            <w:vMerge w:val="restart"/>
          </w:tcPr>
          <w:p>
            <w:pPr>
              <w:jc w:val="right"/>
              <w:ind w:right="2450"/>
              <w:spacing w:after="0"/>
              <w:rPr>
                <w:sz w:val="20"/>
                <w:szCs w:val="20"/>
                <w:color w:val="auto"/>
              </w:rPr>
            </w:pPr>
            <w:r>
              <w:rPr>
                <w:rFonts w:ascii="Times New Roman" w:cs="Times New Roman" w:eastAsia="Times New Roman" w:hAnsi="Times New Roman"/>
                <w:sz w:val="18"/>
                <w:szCs w:val="18"/>
                <w:color w:val="auto"/>
              </w:rPr>
              <w:t>10</w:t>
            </w: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12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type w:val="continuous"/>
        </w:sectPr>
      </w:pPr>
    </w:p>
    <w:bookmarkStart w:id="12" w:name="page13"/>
    <w:bookmarkEnd w:id="1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 Incentive Plans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activity under the Company’s stock option plans (aggregate intrinsic value in thousands):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5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38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5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Available</w:t>
            </w: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5"/>
        </w:trPr>
        <w:tc>
          <w:tcPr>
            <w:tcW w:w="378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 Grant</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49"/>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Balance—December 31, 2015</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1,058,359</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4,179,521</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$8.03</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$6,511</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options authorized</w:t>
            </w:r>
          </w:p>
        </w:tc>
        <w:tc>
          <w:tcPr>
            <w:tcW w:w="13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1,107,411</w:t>
            </w:r>
          </w:p>
        </w:tc>
        <w:tc>
          <w:tcPr>
            <w:tcW w:w="12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(1,420,050)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1,420,050</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Canceled</w:t>
            </w:r>
          </w:p>
        </w:tc>
        <w:tc>
          <w:tcPr>
            <w:tcW w:w="13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131,166</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(124,161)</w:t>
            </w:r>
          </w:p>
        </w:tc>
        <w:tc>
          <w:tcPr>
            <w:tcW w:w="14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10.80</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(113,266)</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7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Balance—June 30, 2016</w:t>
            </w:r>
          </w:p>
        </w:tc>
        <w:tc>
          <w:tcPr>
            <w:tcW w:w="13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876,886</w:t>
            </w:r>
          </w:p>
        </w:tc>
        <w:tc>
          <w:tcPr>
            <w:tcW w:w="120" w:type="dxa"/>
            <w:vAlign w:val="bottom"/>
            <w:tcBorders>
              <w:bottom w:val="single" w:sz="8" w:color="CCEEFF"/>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5,362,144</w:t>
            </w:r>
          </w:p>
        </w:tc>
        <w:tc>
          <w:tcPr>
            <w:tcW w:w="1480" w:type="dxa"/>
            <w:vAlign w:val="bottom"/>
            <w:tcBorders>
              <w:bottom w:val="single" w:sz="8" w:color="CCEEFF"/>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$7.59</w:t>
            </w:r>
          </w:p>
        </w:tc>
        <w:tc>
          <w:tcPr>
            <w:tcW w:w="100" w:type="dxa"/>
            <w:vAlign w:val="bottom"/>
            <w:tcBorders>
              <w:bottom w:val="single" w:sz="8" w:color="CCEEFF"/>
            </w:tcBorders>
          </w:tcPr>
          <w:p>
            <w:pPr>
              <w:spacing w:after="0"/>
              <w:rPr>
                <w:sz w:val="24"/>
                <w:szCs w:val="24"/>
                <w:color w:val="auto"/>
              </w:rPr>
            </w:pPr>
          </w:p>
        </w:tc>
        <w:tc>
          <w:tcPr>
            <w:tcW w:w="17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7.89</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6"/>
              </w:rPr>
              <w:t>$2,861</w:t>
            </w: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Options vested and exercisable—June 30, 2016</w:t>
            </w: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2,381,926</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$6.97</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6.49</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$2,791</w:t>
            </w:r>
          </w:p>
        </w:tc>
        <w:tc>
          <w:tcPr>
            <w:tcW w:w="0" w:type="dxa"/>
            <w:vAlign w:val="bottom"/>
          </w:tcPr>
          <w:p>
            <w:pPr>
              <w:spacing w:after="0"/>
              <w:rPr>
                <w:sz w:val="1"/>
                <w:szCs w:val="1"/>
                <w:color w:val="auto"/>
              </w:rPr>
            </w:pPr>
          </w:p>
        </w:tc>
      </w:tr>
      <w:tr>
        <w:trPr>
          <w:trHeight w:val="225"/>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Options vested and expected to vest—June 30,</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5,056,829</w:t>
            </w:r>
          </w:p>
        </w:tc>
        <w:tc>
          <w:tcPr>
            <w:tcW w:w="14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$7.59</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7.81</w:t>
            </w: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$2,855</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The aggregate intrinsic value was calculated as the difference between the exercise price of the options to purchase common stock and the fair market value of the Company’s common stock, which was $5.03 per share as of June 30, 2016.</w:t>
      </w:r>
    </w:p>
    <w:p>
      <w:pPr>
        <w:spacing w:after="0" w:line="162"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 weighted average fair value of options to purchase common stock granted was $3.30 and $5.36 for the six months ended June 30, 2016 and 2015, respectively.</w:t>
      </w:r>
    </w:p>
    <w:p>
      <w:pPr>
        <w:spacing w:after="0" w:line="162" w:lineRule="exact"/>
        <w:rPr>
          <w:sz w:val="20"/>
          <w:szCs w:val="20"/>
          <w:color w:val="auto"/>
        </w:rPr>
      </w:pPr>
    </w:p>
    <w:p>
      <w:pPr>
        <w:ind w:right="340" w:firstLine="648"/>
        <w:spacing w:after="0" w:line="313" w:lineRule="auto"/>
        <w:rPr>
          <w:sz w:val="20"/>
          <w:szCs w:val="20"/>
          <w:color w:val="auto"/>
        </w:rPr>
      </w:pPr>
      <w:r>
        <w:rPr>
          <w:rFonts w:ascii="Times New Roman" w:cs="Times New Roman" w:eastAsia="Times New Roman" w:hAnsi="Times New Roman"/>
          <w:sz w:val="17"/>
          <w:szCs w:val="17"/>
          <w:color w:val="auto"/>
        </w:rPr>
        <w:t>The weighted-average fair value of stock options exercised was $1.69 and $2.12 per option for the six months ended June 30, 2016 and 2015, respectively. The intrinsic value of stock options exercised was $383,000 and $1.2 million for the six months ended June 30, 2016 and 2015, respectively.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stock-based compensation expense related to stock options and the Company's employee stock purchase plan (“ESPP”) for the three and six months ended June 30, 2016 and 2015 (in thousands of dollars):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2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tcBorders>
              <w:bottom w:val="single" w:sz="8" w:color="auto"/>
            </w:tcBorders>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560" w:type="dxa"/>
            <w:vAlign w:val="bottom"/>
            <w:tcBorders>
              <w:bottom w:val="single" w:sz="8" w:color="auto"/>
            </w:tcBorders>
          </w:tcPr>
          <w:p>
            <w:pPr>
              <w:spacing w:after="0"/>
              <w:rPr>
                <w:sz w:val="22"/>
                <w:szCs w:val="22"/>
                <w:color w:val="auto"/>
              </w:rPr>
            </w:pPr>
          </w:p>
        </w:tc>
      </w:tr>
      <w:tr>
        <w:trPr>
          <w:trHeight w:val="24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595</w:t>
            </w:r>
          </w:p>
        </w:tc>
      </w:tr>
      <w:tr>
        <w:trPr>
          <w:trHeight w:val="27"/>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and marketing</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590</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909</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1,667</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1,495</w:t>
            </w:r>
          </w:p>
        </w:tc>
      </w:tr>
      <w:tr>
        <w:trPr>
          <w:trHeight w:val="27"/>
        </w:trPr>
        <w:tc>
          <w:tcPr>
            <w:tcW w:w="5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1,677</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3,173</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2,712</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100" w:firstLine="648"/>
        <w:spacing w:after="0" w:line="282" w:lineRule="auto"/>
        <w:rPr>
          <w:sz w:val="20"/>
          <w:szCs w:val="20"/>
          <w:color w:val="auto"/>
        </w:rPr>
      </w:pPr>
      <w:r>
        <w:rPr>
          <w:rFonts w:ascii="Times New Roman" w:cs="Times New Roman" w:eastAsia="Times New Roman" w:hAnsi="Times New Roman"/>
          <w:sz w:val="18"/>
          <w:szCs w:val="18"/>
          <w:color w:val="auto"/>
        </w:rPr>
        <w:t>As of June 30, 2016, the Company had $12.0 million of unrecognized compensation expense related to unvested stock options, which is expected to be recognized over an estimated weighted-average period of 2.74 years.</w:t>
      </w:r>
    </w:p>
    <w:p>
      <w:pPr>
        <w:spacing w:after="0" w:line="16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estimated grant-date fair value of employee stock options was calculated using the Black-Scholes option-pricing model, based on the following assumptions: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8"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4240" w:type="dxa"/>
            <w:vAlign w:val="bottom"/>
            <w:gridSpan w:val="2"/>
          </w:tcPr>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tc>
        <w:tc>
          <w:tcPr>
            <w:tcW w:w="7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650"/>
        </w:trPr>
        <w:tc>
          <w:tcPr>
            <w:tcW w:w="1020" w:type="dxa"/>
            <w:vAlign w:val="bottom"/>
            <w:tcBorders>
              <w:top w:val="single" w:sz="8" w:color="0000EE"/>
            </w:tcBorders>
          </w:tcPr>
          <w:p>
            <w:pPr>
              <w:spacing w:after="0"/>
              <w:rPr>
                <w:sz w:val="24"/>
                <w:szCs w:val="24"/>
                <w:color w:val="auto"/>
              </w:rPr>
            </w:pPr>
          </w:p>
        </w:tc>
        <w:tc>
          <w:tcPr>
            <w:tcW w:w="3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9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700" w:type="dxa"/>
            <w:vAlign w:val="bottom"/>
          </w:tcPr>
          <w:p>
            <w:pPr>
              <w:spacing w:after="0"/>
              <w:rPr>
                <w:sz w:val="24"/>
                <w:szCs w:val="24"/>
                <w:color w:val="auto"/>
              </w:rPr>
            </w:pPr>
          </w:p>
        </w:tc>
        <w:tc>
          <w:tcPr>
            <w:tcW w:w="282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1020" w:type="dxa"/>
            <w:vAlign w:val="bottom"/>
            <w:tcBorders>
              <w:bottom w:val="single" w:sz="8" w:color="CCEEFF"/>
            </w:tcBorders>
          </w:tcPr>
          <w:p>
            <w:pPr>
              <w:spacing w:after="0"/>
              <w:rPr>
                <w:sz w:val="22"/>
                <w:szCs w:val="22"/>
                <w:color w:val="auto"/>
              </w:rPr>
            </w:pPr>
          </w:p>
        </w:tc>
        <w:tc>
          <w:tcPr>
            <w:tcW w:w="3220" w:type="dxa"/>
            <w:vAlign w:val="bottom"/>
            <w:tcBorders>
              <w:bottom w:val="single" w:sz="8" w:color="CCEEFF"/>
            </w:tcBorders>
          </w:tcPr>
          <w:p>
            <w:pPr>
              <w:spacing w:after="0"/>
              <w:rPr>
                <w:sz w:val="22"/>
                <w:szCs w:val="22"/>
                <w:color w:val="auto"/>
              </w:rPr>
            </w:pPr>
          </w:p>
        </w:tc>
        <w:tc>
          <w:tcPr>
            <w:tcW w:w="7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center"/>
              <w:ind w:right="63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7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center"/>
              <w:ind w:right="6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7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center"/>
              <w:ind w:right="657"/>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7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center"/>
              <w:ind w:right="61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volatility</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55.88</w:t>
            </w:r>
          </w:p>
        </w:tc>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56.29%</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59.10</w:t>
            </w:r>
          </w:p>
        </w:tc>
        <w:tc>
          <w:tcPr>
            <w:tcW w:w="1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65.28%</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55.88</w:t>
            </w:r>
          </w:p>
        </w:tc>
        <w:tc>
          <w:tcPr>
            <w:tcW w:w="1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56.36%</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59.10</w:t>
            </w:r>
          </w:p>
        </w:tc>
        <w:tc>
          <w:tcPr>
            <w:tcW w:w="1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68.82%</w:t>
            </w:r>
          </w:p>
        </w:tc>
      </w:tr>
      <w:tr>
        <w:trPr>
          <w:trHeight w:val="243"/>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Weighted-average expected term (years)</w:t>
            </w:r>
          </w:p>
        </w:tc>
        <w:tc>
          <w:tcPr>
            <w:tcW w:w="18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5.50 – 6.08</w:t>
            </w:r>
          </w:p>
        </w:tc>
        <w:tc>
          <w:tcPr>
            <w:tcW w:w="18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5.50 – 6.08</w:t>
            </w: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5.50 – 6.23</w:t>
            </w: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5.50 – 6.08</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1.37%</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2.03%</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1.77%</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2.03%</w:t>
            </w:r>
          </w:p>
        </w:tc>
      </w:tr>
      <w:tr>
        <w:trPr>
          <w:trHeight w:val="243"/>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Expected dividend yield</w:t>
            </w:r>
          </w:p>
        </w:tc>
        <w:tc>
          <w:tcPr>
            <w:tcW w:w="700" w:type="dxa"/>
            <w:vAlign w:val="bottom"/>
          </w:tcPr>
          <w:p>
            <w:pPr>
              <w:spacing w:after="0"/>
              <w:rPr>
                <w:sz w:val="21"/>
                <w:szCs w:val="21"/>
                <w:color w:val="auto"/>
              </w:rPr>
            </w:pPr>
          </w:p>
        </w:tc>
        <w:tc>
          <w:tcPr>
            <w:tcW w:w="114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Pr>
          <w:p>
            <w:pPr>
              <w:spacing w:after="0"/>
              <w:rPr>
                <w:sz w:val="21"/>
                <w:szCs w:val="21"/>
                <w:color w:val="auto"/>
              </w:rPr>
            </w:pPr>
          </w:p>
        </w:tc>
        <w:tc>
          <w:tcPr>
            <w:tcW w:w="112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Pr>
          <w:p>
            <w:pPr>
              <w:spacing w:after="0"/>
              <w:rPr>
                <w:sz w:val="21"/>
                <w:szCs w:val="21"/>
                <w:color w:val="auto"/>
              </w:rPr>
            </w:pPr>
          </w:p>
        </w:tc>
        <w:tc>
          <w:tcPr>
            <w:tcW w:w="1060" w:type="dxa"/>
            <w:vAlign w:val="bottom"/>
          </w:tcPr>
          <w:p>
            <w:pPr>
              <w:jc w:val="center"/>
              <w:ind w:right="677"/>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tcPr>
          <w:p>
            <w:pPr>
              <w:spacing w:after="0"/>
              <w:rPr>
                <w:sz w:val="21"/>
                <w:szCs w:val="21"/>
                <w:color w:val="auto"/>
              </w:rPr>
            </w:pPr>
          </w:p>
        </w:tc>
        <w:tc>
          <w:tcPr>
            <w:tcW w:w="1000" w:type="dxa"/>
            <w:vAlign w:val="bottom"/>
          </w:tcPr>
          <w:p>
            <w:pPr>
              <w:jc w:val="center"/>
              <w:ind w:right="614"/>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stock options granted to non-employees during the six months ended June 30, 2016 and 2015.</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estimated grant date fair value of shares granted under the Company's ESPP was calculated using the Black-Scholes option-pricing model, based on the following assumptions: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Pr>
          <w:p>
            <w:pPr>
              <w:spacing w:after="0"/>
              <w:rPr>
                <w:sz w:val="13"/>
                <w:szCs w:val="13"/>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and Six Months Ended</w:t>
            </w:r>
          </w:p>
        </w:tc>
      </w:tr>
      <w:tr>
        <w:trPr>
          <w:trHeight w:val="195"/>
        </w:trPr>
        <w:tc>
          <w:tcPr>
            <w:tcW w:w="948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2016</w:t>
            </w:r>
          </w:p>
        </w:tc>
      </w:tr>
      <w:tr>
        <w:trPr>
          <w:trHeight w:val="249"/>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volatility</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67.71 – 75.72%</w:t>
            </w:r>
          </w:p>
        </w:tc>
      </w:tr>
      <w:tr>
        <w:trPr>
          <w:trHeight w:val="243"/>
        </w:trPr>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Weighted-average expected term (years)</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0.49 – 1.00</w:t>
            </w:r>
          </w:p>
        </w:tc>
      </w:tr>
      <w:tr>
        <w:trPr>
          <w:trHeight w:val="27"/>
        </w:trPr>
        <w:tc>
          <w:tcPr>
            <w:tcW w:w="94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0.47%</w:t>
            </w:r>
          </w:p>
        </w:tc>
      </w:tr>
      <w:tr>
        <w:trPr>
          <w:trHeight w:val="243"/>
        </w:trPr>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dividend yield</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Genzyme Co-Promotion Agreement</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January 2012, the Company and Genzyme Corporation (“Genzyme”) executed a co-promotion agreement for the co-exclusive rights and license to promote and market the Company’s Afirma thyroid diagnostic solution in the United States and in 40 named countries. In exchange, the Company received a $10.0 million upfront co-promotion fee from Genzyme in February 2012. Under the terms of the agreement, Genzyme receives a percentage of U.S. cash receipts that the Company has received related to Afirma as co-promotion fees. The percentage was 50% in 2012, 40% from January 2013 through February 2014, and 32% beginning in February 2014.</w:t>
      </w:r>
    </w:p>
    <w:p>
      <w:pPr>
        <w:spacing w:after="0" w:line="18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November 2014, the Company signed an Amended and Restated U.S. Co-Promotion Agreement (“Amended Agreement”) with Genzyme. Under the Amended Agreement, the co-promotion fees Genzyme receives as a percentage of U.S. cash receipts were reduced from 32% to 15% beginning January 1, 2015. Through August 11, 2014, the Company amortized the $10.0 million upfront co-promotion fee straight-line over a four-year period, which was management’s best estimate of the life of the agreement, in part because after that period either party could have terminated the agreement without penalty. Effective August 12, 2014, the Company extended the amortization period from January 2016 to June 2016, the modified earliest period either party could terminate the agreement without penalty. The Company accounted for the change in accounting estimate prospectively. Either party may terminate the agreement with six months prior notice, however, under the Amended Agreement, neither party can terminate the agreement for convenience prior to June 30, 2016. The agreement with Genzyme expires in 2027. On March 9, 2016, the Company gave Genzyme notice of termination of the Amended Agreement effective September 9, 2016 and the amortization of the upfront co-promotion fee has been further extended to that date. The extension of the amortization period has no impact on our 2016 financial statements on an annual basis.</w:t>
      </w:r>
    </w:p>
    <w:p>
      <w:pPr>
        <w:spacing w:after="0" w:line="186" w:lineRule="exact"/>
        <w:rPr>
          <w:sz w:val="20"/>
          <w:szCs w:val="20"/>
          <w:color w:val="auto"/>
        </w:rPr>
      </w:pPr>
    </w:p>
    <w:p>
      <w:pPr>
        <w:ind w:right="240" w:firstLine="648"/>
        <w:spacing w:after="0" w:line="255" w:lineRule="auto"/>
        <w:rPr>
          <w:sz w:val="20"/>
          <w:szCs w:val="20"/>
          <w:color w:val="auto"/>
        </w:rPr>
      </w:pPr>
      <w:r>
        <w:rPr>
          <w:rFonts w:ascii="Times New Roman" w:cs="Times New Roman" w:eastAsia="Times New Roman" w:hAnsi="Times New Roman"/>
          <w:sz w:val="18"/>
          <w:szCs w:val="18"/>
          <w:color w:val="auto"/>
        </w:rPr>
        <w:t>In February 2015, the Company entered into an Ex-U.S. Co-promotion Agreement with Genzyme for the promotion of the Afirma GEC test with exclusivity in five countries outside the United States initially and in other countries agreed to from time to time. The agreement commenced on January 1, 2015 and continues until December 31, 2019, with extension of the agreement possible upon agreement of the parties. Country-specific terms have been established under this agreement for Brazil and Singapore and a right of first negotiation has been established for Canada, the Netherlands and Italy. The Company pays Genzyme 25% of net revenue from the sale of the Afirma GEC test in Brazil and Singapore over a five-year period commencing January 1, 2015. Beginning in the fourth year of the agreement, if the Company terminates the agreement for convenience, the Company may be required to pay a termination fee contingent on the number of GEC billable results generated.</w:t>
      </w:r>
    </w:p>
    <w:p>
      <w:pPr>
        <w:spacing w:after="0" w:line="18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Company incurred $2.1 million and $1.7 million in co-promotion expense, excluding the amortization of the up-front co-promotion fee, for the three months ended June 30, 2016 and 2015, respectively, and $4.2 million and $3.4 million in co-promotion expense for the six months ended June 30, 2016 and 2015, respectively, which is included in selling and marketing expenses in the condensed statements of operations and comprehensive loss. The Company’s outstanding obligations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14" w:right="239" w:bottom="1440" w:gutter="0" w:footer="0" w:header="0"/>
        </w:sectPr>
      </w:pPr>
    </w:p>
    <w:bookmarkStart w:id="14" w:name="page15"/>
    <w:bookmarkEnd w:id="1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to Genzyme totaled $2.2 million as of June 30, 2016 and $2.1 million as of December 31, 2015, and are included in accrued liabilities on the Company’s condensed balance sheets.</w:t>
      </w:r>
    </w:p>
    <w:p>
      <w:pPr>
        <w:spacing w:after="0" w:line="16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Company amortized $290,000 and $475,000 of the $10.0 million up-front co-promotion fee in the three months ended June 30, 2016 and 2015, respectively, and $721,000 and $949,000 in the six months ended June 30, 2016 and 2015, respectively, which is reflected as a reduction to selling and marketing expenses in the condensed statements of operations and comprehensive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Thyroid Cytopathology Partners</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In 2010, the Company entered into an arrangement with Pathology Resource Consultants, P.A. (“PRC”) to set up and manage a specialized pathology practice to provide testing services to the Company. There is no direct monetary compensation from the Company to PRC as a result of this arrangement. The Company’s service agreement is with the specialized pathology practice, Thyroid Cytopathology Partners, (“TCP”), and is effective through December 31, 2015, and thereafter automatically renews every year unless either party provides notice of intent not to renew at least 12 months prior to the end of the then-current term. Under the service agreement, the Company pays TCP based on a fixed price per test schedule, which is reviewed periodically for changes in market pricing. Subsequent to December 2012, an amendment to the service agreement allows TCP to sublease a portion of the Company’s facility in Austin, Texas. The Company does not have an ownership interest in or provide any form of financial or other support to TCP.</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Company has concluded that TCP represents a variable interest entity and that the Company is not the primary beneficiary as it does not have the ability to direct the activities that most significantly impact TCP’s economic performance. Therefore, the Company does not consolidate TCP. All amounts paid to TCP under the service agreement are expensed as incurred and included in cost of revenue in the condensed statements of operations and comprehensive loss. The Company incurred $1.3 million and $1.2 million for the three months ended June 30, 2016 and 2015, respectively, and $2.6 million and $2.3 million for the six months ended June 30, 2016 and 2015, respectively, in cytopathology testing and evaluation services expenses with TCP. The Company’s outstanding obligations to TCP for cytopathology testing services were $867,000 and $820,000 as of June 30, 2016 and December 31, 2015, respectively, and are included in accounts payable on the Company’s condensed balance sheets.</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TCP reimburses the Company for a proportionate share of the Company’s rent and related operating expenses for the leased facility. TCP’s portion of rent and related operating expense for the subleased space at the Austin, Texas facility was $23,000 and $22,000 for the three months ended June 30, 2016 and 2015, respectively, and $46,000 and $45,000 for the six months ended June 30, 2016 and 2015, respectively, and is included in other income, net in the Company’s condensed statements of operations and comprehensive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Company did not record a provision or benefit for income taxes during the three and six months ended June 30, 2016 and 2015. The Company continues to maintain a full valuation allowance against its net deferred tax assets.</w:t>
      </w:r>
    </w:p>
    <w:p>
      <w:pPr>
        <w:spacing w:after="0" w:line="162"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As of June 30, 2016, the Company had unrecognized tax benefits of $2.0 million, none of which would currently affect the Company’s effective tax rate if recognized due to the Company’s net deferred tax assets being fully offset by a valuation allowance. The Company does not anticipate that the amount of unrecognized tax benefits relating to tax positions existing at June 30, 2016 will significantly increase or decrease within the next 12 months. There was no interest expense or penalties related to unrecognized tax benefits recorded through June 30, 2016.</w:t>
      </w:r>
    </w:p>
    <w:p>
      <w:pPr>
        <w:spacing w:after="0" w:line="18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A number of years may elapse before an uncertain tax position is audited and finally resolved. While it is often difficult to predict the final outcome or the timing of resolution of any particular uncertain tax position, the Company believes that its reserves for income taxes reflect the most likely outcome. The Company adjusts these reserves, as well as the related interest, in light of changing facts and circumstances. Settlement of any particular position could require the use of cash.</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financial condition and results of operations should be read together with the condensed financial statements and the related notes included in Item 1 of Part I of this Quarterly Report on Form 10-Q, and with our audited financial statements and the related notes included in our Annual Report on Form 10-K for the year ended December 31, 2015.</w:t>
      </w:r>
    </w:p>
    <w:p>
      <w:pPr>
        <w:spacing w:after="0" w:line="174"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This report contains forward-looking statements within the meaning of the Private Securities Litigation Reform Act of 1995. When used in this report, the words “expects,” “anticipates,” “intends,” “estimates,” “plans,” “believes,” “continuing,” “ongoing,” and similar expressions are intended to identify forward-looking statements. These are statements that relate to future events and include, but are not limited to, the factors that may impact our financial results; our expectations regarding revenue; our expectations with respect to our future research and development, general and administrative and selling and marketing expenses and our anticipated uses of our funds; our expectations regarding capital expenditures; our anticipated cash needs and our estimates regarding our capital requirements; our need for additional financing; potential future sources of cash; our business strategy and our ability to execute our strategy; our ability to achieve and maintain reimbursement from third-party payers at acceptable levels; the potential benefits of our tests and any future tests we may develop to patients, physicians and payers; the factors we believe drive demand for and reimbursement of our tests; our ability to sustain or increase demand for our tests; our intent to expand into other clinical areas; our ability to develop new tests, including tests for interstitial lung disease, and the timeframes for development or commercialization; our ability to get our data and clinical studies accepted in peer-reviewed publications; our dependence on and the terms of our agreements with Genzyme and Thyroid Cytopathology Partners, and on other strategic relationships, and the success of those relationships; our beliefs regarding our laboratory capacity; the applicability of clinical results to actual outcomes; the occurrence, timing, outcome or success of clinical trials or studies; the ability of our tests to impact treatment decisions; our beliefs regarding our competitive position; our ability to compete with potential competitors; our compliance with federal, state and international regulations; the potential impact of regulation of our tests by the FDA or other regulatory bodies; the impact of new or changing policies, regulation or legislation, or of judicial decisions, on our business; our ability to comply with the requirements of being a public company; the impact of seasonal fluctuations and economic conditions on our business; our belief that we have taken reasonable steps to protect our intellectual property; the impact of accounting pronouncements and our critical accounting policies, judgments, estimates, models and assumptions on our financial results; and anticipated trends and challenges in our business and the markets in which we operate.</w:t>
      </w:r>
    </w:p>
    <w:p>
      <w:pPr>
        <w:spacing w:after="0" w:line="194"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Forward-looking statements are based on our current plans and expectations and involve risks and uncertainties which could cause actual results to differ materially. These risks and uncertainties include, but are not limited to, those risks discussed in Part II, Item 1A of this report, as well as risks and uncertainties related to: our limited operating history and history of losses since inception; our ability to increase usage of and reimbursement for the Afirma GEC, Percepta and any other tests we may develop; our dependence on a limited number of payers for a significant portion of our revenue; the complexity, time and expense associated with billing and collecting for our test; current and future laws, regulations and judicial decisions applicable to our business, including potential regulation by the FDA or by regulatory bodies outside of the United States; changes in legislation related to the U.S. healthcare system; our dependence on strategic relationships, collaborations and co-promotion arrangements; our ability to successfully transition away from our co-promotion agreement with Genzyme; unanticipated delays in research and development efforts; our ability to develop and commercialize new products and the timing of commercialization; our ability to successfully enter new product markets; our ability to conduct clinical studies and the outcomes of such clinical studies; the applicability of clinical results to actual outcomes; trends and challenges in our business; our ability to compete against other companies, products and technologies; our ability to protect our intellectual property; and our ability to obtain capital when needed. These forward-looking statements speak only as of the date hereof. We expressly disclaim any obligation or undertaking to update any forward-looking statements contained herein to reflect any change in our expectations with regard thereto or any change in events, conditions or circumstances on which any such statement is based.</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When used in this report, all references to “Veracyte,” “we,” “our” and “us” refer to Veracyte, Inc.</w:t>
      </w:r>
    </w:p>
    <w:p>
      <w:pPr>
        <w:spacing w:after="0" w:line="22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Veracyte, Afirma, Percepta, Envisia, the Veracyte logo and the Afirma logo are our trademarks or registered trademarks. We also refer to trademarks of other corporations or organizations in this report.</w:t>
      </w:r>
    </w:p>
    <w:p>
      <w:pPr>
        <w:spacing w:after="0" w:line="162"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This report contains statistical data and estimates that we obtained from industry publications and reports. These publications typically indicate that they have obtained their information from sources they believe to be reliable, but do not guarantee the accuracy and completeness of their information. Some data contained in this report is also based on our internal estimates.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118" w:right="259" w:bottom="1440" w:gutter="0" w:footer="0" w:header="0"/>
        </w:sectPr>
      </w:pPr>
    </w:p>
    <w:bookmarkStart w:id="16" w:name="page17"/>
    <w:bookmarkEnd w:id="1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We are a molecular diagnostics company that focuses on genomic solutions that resolve diagnostic ambiguity, thus enabling physicians to make more informed treatment decisions at an early stage in patient care. By improving preoperative diagnostic accuracy, we aim to help patients avoid unnecessary invasive procedures while reducing healthcare costs. Our first commercial solution, the Afirma Thyroid FNA Analysis, or Afirma, centers on the proprietary Afirma Gene Expression Classifier, or GEC, which is becoming a new standard of care in thyroid nodule assessment. The Afirma GEC helps physicians reduce the number of unnecessary surgeries by approximately 50% by employing a proprietary 142-gene signature to preoperatively identify benign thyroid nodules among those deemed indeterminate by cytopathology alone. An additional 25 genes are used to differentiate uncommon neoplasm subtypes. We have demonstrated the clinical utility and cost effectiveness of the Afirma GEC in multiple studies published in peer-reviewed journals and established the test’s clinical validity in a study published in </w:t>
      </w:r>
      <w:r>
        <w:rPr>
          <w:rFonts w:ascii="Times New Roman" w:cs="Times New Roman" w:eastAsia="Times New Roman" w:hAnsi="Times New Roman"/>
          <w:sz w:val="18"/>
          <w:szCs w:val="18"/>
          <w:i w:val="1"/>
          <w:iCs w:val="1"/>
          <w:color w:val="auto"/>
        </w:rPr>
        <w:t>The New England Journal of Medicine</w:t>
      </w:r>
      <w:r>
        <w:rPr>
          <w:rFonts w:ascii="Times New Roman" w:cs="Times New Roman" w:eastAsia="Times New Roman" w:hAnsi="Times New Roman"/>
          <w:sz w:val="18"/>
          <w:szCs w:val="18"/>
          <w:color w:val="auto"/>
        </w:rPr>
        <w:t xml:space="preserve"> in 2012. The comprehensive Afirma offering also includes cytopathology testing and the Afirma Malignancy Classifiers, launched in May 2014. Since we commercially launched Afirma in January 2011 through June 30, 2016, we have received 270,000 fine needle aspiration, or FNA, samples for evaluation using Afirma and performed over 60,000 GECs to resolve indeterminate cytopathology results.</w:t>
      </w:r>
    </w:p>
    <w:p>
      <w:pPr>
        <w:spacing w:after="0" w:line="193"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April 2015, we accelerated our entry into pulmonology, our second clinical area, with the launch of the Percepta Bronchial Genomic Classifier, which we obtained through our acquisition of Allegro Diagnostics Corp., or Allegro, in September 2014. The Percepta classifier is designed to improve the diagnosis of lung cancer, thus helping to reduce unnecessary invasive, risky and costly procedures in patients with suspicious lung nodules and lesions that were initially found on CT scans. Clinical validation data from two multicenter, prospective studies — AEGIS I and II — were published in July 2015 in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New England Journal of Medicine</w:t>
      </w:r>
      <w:r>
        <w:rPr>
          <w:rFonts w:ascii="Times New Roman" w:cs="Times New Roman" w:eastAsia="Times New Roman" w:hAnsi="Times New Roman"/>
          <w:sz w:val="18"/>
          <w:szCs w:val="18"/>
          <w:color w:val="auto"/>
        </w:rPr>
        <w:t>. Our initial focus is on building our library of clinical evidence, including clinical utility, for the Percepta classifier, while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we work to secure reimbursement coverage for the test from Medicare and private payers. In February 2016, the first clinical utility study for the Percepta classifier was published in </w:t>
      </w:r>
      <w:r>
        <w:rPr>
          <w:rFonts w:ascii="Times New Roman" w:cs="Times New Roman" w:eastAsia="Times New Roman" w:hAnsi="Times New Roman"/>
          <w:sz w:val="18"/>
          <w:szCs w:val="18"/>
          <w:i w:val="1"/>
          <w:iCs w:val="1"/>
          <w:color w:val="auto"/>
        </w:rPr>
        <w:t>CHEST</w:t>
      </w:r>
      <w:r>
        <w:rPr>
          <w:rFonts w:ascii="Times New Roman" w:cs="Times New Roman" w:eastAsia="Times New Roman" w:hAnsi="Times New Roman"/>
          <w:sz w:val="18"/>
          <w:szCs w:val="18"/>
          <w:color w:val="auto"/>
        </w:rPr>
        <w:t>, the official journal of the American College of Chest Physicians. As of June 2016, more than 40 thought-leading academic and other institutions around the country are offering Percepta to their patients during this initial stage of commercialization.</w:t>
      </w:r>
    </w:p>
    <w:p>
      <w:pPr>
        <w:spacing w:after="0" w:line="185" w:lineRule="exact"/>
        <w:rPr>
          <w:sz w:val="20"/>
          <w:szCs w:val="20"/>
          <w:color w:val="auto"/>
        </w:rPr>
      </w:pPr>
    </w:p>
    <w:p>
      <w:pPr>
        <w:jc w:val="both"/>
        <w:ind w:right="120" w:firstLine="648"/>
        <w:spacing w:after="0" w:line="313" w:lineRule="auto"/>
        <w:rPr>
          <w:sz w:val="20"/>
          <w:szCs w:val="20"/>
          <w:color w:val="auto"/>
        </w:rPr>
      </w:pPr>
      <w:r>
        <w:rPr>
          <w:rFonts w:ascii="Times New Roman" w:cs="Times New Roman" w:eastAsia="Times New Roman" w:hAnsi="Times New Roman"/>
          <w:sz w:val="17"/>
          <w:szCs w:val="17"/>
          <w:color w:val="auto"/>
        </w:rPr>
        <w:t>Our second pulmonology product, which we plan to introduce in the fourth quarter of 2016, Envisia™ Genomic Classifier, is designed to assess the likelihood of idiopathic pulmonary fibrosis, or IPF, among patients presenting with a suspected interstitial lung disease, or ILD, without the need for surgery.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Number of FNAs We Receive and Test</w:t>
      </w:r>
    </w:p>
    <w:p>
      <w:pPr>
        <w:spacing w:after="0" w:line="22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The growth in our business is tied to the number of FNAs we receive and the number of GECs performed. Approximately 86% of FNAs we receive are for the Afirma solution, which consists of services related to rendering a cytopathology diagnosis, and if the cytopathology result is indeterminate, the GEC is performed. The remaining approximate 14% of FNAs are received from customers performing cytopathology and when the cytopathology result is indeterminate, the FNA is sent to us for the GEC only. The rate at which adoption occurs in these two settings will cause these two percentages to fluctuate over time. Less than 1% of the FNA samples we receive for cytopathology have insufficient cellular material from which to render a cytopathology diagnosis. We only bill the technical component, including slide preparation, for these tests. For results that are benign or suspicious/malignant by cytopathology, we bill for these services when we issue the report to the physician. If the cytopathology result is indeterminate, defined as atypia/follicular lesions of undetermined significance (AUS/FLUS) or suspicious for FN/HCN, we perform the GEC. Historically, approximately 14%-17% of samples we have received for the Afirma solution have yielded indeterminate results by cytopathology. Approximately 5%-10% of the samples for GEC testing have insufficient ribonucleic acid, or RNA, from which to render a result. The GEC can be reported as Benign, Suspicious or No Result. We bill for the GEC Benign and GEC Suspicious results only. After the GEC is completed, we issue the cytopathology report for the indeterminate results as well as the GEC report, and then bill for both of these tests. We incur costs of collecting and shipping the FNAs and a portion of the costs of performing tests where we cannot ultimately issue a patient report. Because we cannot bill for all samples received, the number of FNAs received does not directly correlate to the total number of patient reports issued and the amount billed.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Adoption of and Reimbursement for Afirma</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To date, only a small number of payers have reimbursed us for Afirma at list price. Revenue growth depends on both our ability to achieve broader reimbursement at increased levels from third-party payers and to expand our base of prescribing physicians and increase our penetration in existing accounts. Because some payers consider the GEC experimental and</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investigational, we may not receive payment for tests and payments we receive may not be at acceptable levels. We expect our revenue growth will increase as more payers make a positive coverage decision and as payers enter into contracts with us, which should enhance our accrued revenue and cash collections. To drive increased adoption of Afirma, we increased our sales force over the last several years, along with increasing our marketing efforts. We have hired institutional channel managers to focus on the institutional segment, where accounts generally send us FNAs for the GEC only, and account managers, dedicated to serving existing accounts, thereby freeing up our product specialists to focus on brining in new business. If we are unable to expand the base of prescribing physicians and penetration within these accounts at an acceptable rate, or if we are not able to execute our strategy for increasing reimbursement, we may not be able to effectively increase our revenue.</w:t>
      </w:r>
    </w:p>
    <w:p>
      <w:pPr>
        <w:spacing w:after="0" w:line="189" w:lineRule="exact"/>
        <w:rPr>
          <w:sz w:val="20"/>
          <w:szCs w:val="20"/>
          <w:color w:val="auto"/>
        </w:rPr>
      </w:pPr>
    </w:p>
    <w:p>
      <w:pPr>
        <w:ind w:right="20" w:firstLine="648"/>
        <w:spacing w:after="0" w:line="274" w:lineRule="auto"/>
        <w:rPr>
          <w:sz w:val="20"/>
          <w:szCs w:val="20"/>
          <w:color w:val="auto"/>
        </w:rPr>
      </w:pPr>
      <w:r>
        <w:rPr>
          <w:rFonts w:ascii="Times New Roman" w:cs="Times New Roman" w:eastAsia="Times New Roman" w:hAnsi="Times New Roman"/>
          <w:sz w:val="17"/>
          <w:szCs w:val="17"/>
          <w:color w:val="auto"/>
        </w:rPr>
        <w:t>We increased the list price billed for the GEC from $4,875 to $6,400 per test in July 2015, while the list price billed for routine cytopathology remained at $490 per test. We obtained Medicare coverage for the GEC effective in January 2012 and contracted reimbursement at an agreed upon rate of $3,200. We have entered into contracts establishing in-network allowable rates for both our GEC and cytopathology tests with payers including United Healthcare, Aetna and Cigna, as well as several Blue Cross Blue Shield plans, among others. We have also received positive coverage determinations from numerous other commercial payers and, as of June 2016, the GEC is covered by payers representing 180 million lives. We now have over 140 million lives under contract. Payers that have agreed to pay for Afirma under contract are also counted as covered lives. Contracted and reimbursement rates vary by payer.</w:t>
      </w:r>
    </w:p>
    <w:p>
      <w:pPr>
        <w:spacing w:after="0" w:line="174"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On March 1, 2015, a separate CPT code, or Current Procedural Terminology code, for the Afirma GEC was issued. In November 2015, the Centers for Medicare &amp; Medicaid Services, or CMS, issued a final determination to establish a national limitation amount for this new CPT code under the gapfill process through the regional Medicare administrative contractors, or MACs for 2017. This maintained our 2016 rate at $3,200. On June 10, 2016, CMS released a preliminary 2017 gapfill rate for Afirma GEC of $2,240. This preliminary rate is open to public comment for 60 days. We intend to appeal the proposed reduction. The GEC rate will be finalized later this year and be effective January 1, 2017 and remain in effect for 2017. Medicare represents approximately 20% of our GEC volume.</w:t>
      </w:r>
    </w:p>
    <w:p>
      <w:pPr>
        <w:spacing w:after="0" w:line="18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average reimbursement per GEC was approximately $2,100 for the quarter ended June 30, 2016 as compared with approximately $2,300 for the same period in 2015. The average GEC reimbursement rate will change over time due to a number of factors, including medical coverage decisions by payers, the effects of contracts signed with payers, changes in allowed amounts by payers, our ability to successfully win appeals for payment, and our ability to collect cash payments from third-party payers and individual patients. Historical average reimbursement is not necessarily indicative of future average reimbursement.</w:t>
      </w:r>
    </w:p>
    <w:p>
      <w:pPr>
        <w:spacing w:after="0" w:line="184"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calculate the average GEC reimbursement from all payers, whether they are on a cash or an accrual basis, for tests that are on average a year old, since it can take a significant period of time to collect from some payers. We use an average of reimbursement for tests provided over two quarters as it reduces the effects of temporary volatility and seasonal effects. Thus the average reimbursement per GEC represents the total cash collected to date against GEC tests performed during the relevant period divided by the number of GEC tests performed during that same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We Recognize Revenue</w:t>
      </w:r>
    </w:p>
    <w:p>
      <w:pPr>
        <w:spacing w:after="0" w:line="229"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We recognize revenue on an accrual basis when we are able to make a reasonable estimate of reimbursement at the time delivery is complete. In the first period in which revenue is accrued for a particular payer or test, there generally is a one-time increase in revenue. Until we have contracts with or can estimate the amount that will ultimately be received, we recognize the related revenue upon the earlier of notification of payment or when cash is received. Additionally, as we commercialize new products, we will need to be able to make an estimate of the amount that will ultimately be received from each payer for each new product offering prior to being able to recognize the related revenue on an accrual basis. Because the timing and amount of cash payments received from payers as well as one-time increases in revenue from newly accrued payers is difficult to predict, we expect that our revenue will fluctuate significantly in any given quarter. In addition, even if we begin to accrue larger amounts of revenue related to Afirma, when we introduce new products, we do not expect we will be able to recognize revenue from new products on an accrual basis for some period of time. This may result in continued fluctuations in our revenue.</w:t>
      </w:r>
    </w:p>
    <w:p>
      <w:pPr>
        <w:spacing w:after="0" w:line="189" w:lineRule="exact"/>
        <w:rPr>
          <w:sz w:val="20"/>
          <w:szCs w:val="20"/>
          <w:color w:val="auto"/>
        </w:rPr>
      </w:pPr>
    </w:p>
    <w:p>
      <w:pPr>
        <w:ind w:right="240" w:firstLine="648"/>
        <w:spacing w:after="0" w:line="281" w:lineRule="auto"/>
        <w:rPr>
          <w:sz w:val="20"/>
          <w:szCs w:val="20"/>
          <w:color w:val="auto"/>
        </w:rPr>
      </w:pPr>
      <w:r>
        <w:rPr>
          <w:rFonts w:ascii="Times New Roman" w:cs="Times New Roman" w:eastAsia="Times New Roman" w:hAnsi="Times New Roman"/>
          <w:sz w:val="17"/>
          <w:szCs w:val="17"/>
          <w:color w:val="auto"/>
        </w:rPr>
        <w:t>As of June 30, 2016 and December 31, 2015, cumulative amounts billed since 2011 at list price for tests processed which were not recognized as revenue upon delivery of a patient report because our accrual revenue recognition criteria were not met and for which we had not received notification of payment, collected cash or written off as uncollectible, totaled approximately $167.1 million and $134.3 million, respectively. Of the $134.3 million, we recognized revenue of approximately $1.8 million and $5.4 million in the three and six months ended June 30, 2016, respectively, when cash was received.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Generally, cash we receive is collected within 12 months of the date the test is billed. We cannot provide any assurance as to when, if ever, or to what extent any of these amounts will be collected. Notwithstanding our efforts to obtain payment for these tests, payers may deny our claims, in whole or in part, and we may never receive revenue from previously performed but unpaid tests. Revenue from these tests, if any, may not be equal to the billed amount due to a number of factors, including differences in reimbursement rates, the amounts of patient co-payments and co-insurance, the existence of secondary payers and claims denials. Finally, when we increase our list price, as we did in July 2015, it will increase the cumulative amounts billed.</w:t>
      </w:r>
    </w:p>
    <w:p>
      <w:pPr>
        <w:spacing w:after="0" w:line="184"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incur expense for tests in the period in which the test is conducted and recognize revenue for tests in the period in which our revenue recognition criteria are met. Accordingly, any revenue that we recognize as a result of cash collection in respect of previously performed but unpaid tests will favorably impact our liquidity and results of operations in future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Genzyme Co-promotion Agreement</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have a Co-Promotion Agreement with Genzyme to market the Afirma solution in the United States. The agreement requires that we pay a certain percentage of our cash receipts from the sale of the Afirma solution to Genzyme, which percentage decreased over time, from 50% in 2012 to 40% from January 2013 through February 2014, and 32% beginning in February 2014. We received a $10.0 million up-front co-promotion fee from Genzyme under the Co-Promotion Agreement, which is being amortized over the estimated useful life based on the provisions of the agreement as a reduction to selling and marketing expenses.</w:t>
      </w:r>
    </w:p>
    <w:p>
      <w:pPr>
        <w:spacing w:after="0" w:line="18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November 2014, we signed an Amended and Restated U.S. Co-Promotion Agreement, or Amended Agreement, with Genzyme which reduced the co-promotion fees Genzyme receives as a percentage of U.S. cash receipts from the sale of the Afirma solution from 32% to 15% beginning January 1, 2015. Either party may terminate the agreement for convenience with six months' prior notice, however, neither party can terminate the agreement for convenience prior to June 30, 2016. On March 9, 2016, we gave Genzyme notice of termination of the Amended Agreement effective September 9, 2016 and the amortization of the upfront co-promotion fee has been extended to that date.</w:t>
      </w:r>
    </w:p>
    <w:p>
      <w:pPr>
        <w:spacing w:after="0" w:line="184"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February 2015, we entered into an Ex-U.S. Co-Promotion Agreement, or Ex-U.S. Agreement, with Genzyme for the promotion of the Afirma GEC with exclusivity in five countries outside the United States initially and in other countries agreed to from time to time. The agreement commenced on January 1, 2015 and continues until December 31, 2019, with extension of the agreement possible upon agreement of the parties. Country-specific terms have been established under this agreement for Brazil and Singapore and a right of first negotiation has been established for Canada, the Netherlands and Italy. We pay Genzyme 25% of net revenue from the sale of the Afirma GEC in Brazil and Singapore over a five-year period. Beginning in the fourth year of the agreement, if we terminate the agreement for convenience, we may be required to pay a termination fee contingent on the number of GEC billable results generated.</w:t>
      </w:r>
    </w:p>
    <w:p>
      <w:pPr>
        <w:spacing w:after="0" w:line="18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amortized $290,000 and $721,000 of the $10.0 million up-front co-promotion fee in the three and six months ended June 30, 2016, respectively, compared to $475,000 and $949,000 in the same periods in 2015. The balance of the unamortized up-front co-promotion fee was $227,000 at June 30, 2016. Our co-promotion fees payable to Genzyme, excluding the amortization of the up-front co-promotion fee, were $2.1 million and $4.2 million in the three and six months ended June 30, 2016, respectively, compared to $1.7 million and $3.4 million in the same periods in 2015, and are included in selling and marketing expenses in our condensed consolidated statements of operations and comprehensive loss.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of Additional Products</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We currently rely on sales of Afirma to generate all of our revenue. In May 2014, we commercially launched our Afirma Malignancy Classifiers, which we believe enhances our Afirma Thyroid FNA Analysis as a comprehensive way to manage thyroid nodule patients and serve our current base of prescribing physicians. We are also pursuing development or acquisition of products for additional diseases to increase and diversify our revenue. For example, in September 2014 we acquired Allegro and with it, the Percepta Bronchial Genomic Classifier, a molecular diagnostic lung cancer test designed to help physicians determine which patients with lung nodules who have had an inconclusive bronchoscopy result are at low risk for cancer and can thus be safely monitored with CT scans, rather than undergoing invasive procedures. We launched the Percepta test in April 2015. Additionally, we are pursuing a solution for interstitial lung disease, our Envisia Genomic Classifier, that will offer an alternative to surgery by developing a genomic signature to classify samples collected through less invasive bronchoscopy techniques. Accordingly, we expect to continue to invest heavily in research and development in order to expand the capabilities of our solutions and to develop additional products. Our success in developing or acquiring new products will be important in our efforts to grow our business by expanding the potential market for our products and diversifying our sources of revenue.</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118" w:right="259" w:bottom="1440" w:gutter="0" w:footer="0" w:header="0"/>
        </w:sectPr>
      </w:pPr>
    </w:p>
    <w:bookmarkStart w:id="19" w:name="page20"/>
    <w:bookmarkEnd w:id="1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Timing of Our Research and Development Expenses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deploy state-of-the-art and costly genomic technologies in our biomarker discovery experiments, and our spending on these technologies may vary substantially from quarter to quarter. We also spend a significant amount to secure clinical samples that can be used in discovery and product development as well as clinical validation studies. The timing of these research and development activities is difficult to predict, as is the timing of sample acquisitions. If a substantial number of clinical samples are acquired in a given quarter or if a high-cost experiment is conducted in one quarter versus the next, the timing of these expenses can affect our financial results. We conduct clinical studies to validate our new products as well as on-going clinical studies to further the published evidence to support our commercialized tests. As these studies are initiated, start-up costs for each site can be significant and concentrated in a specific quarter. Spending on research and development, for both experiments and studies, may vary significantly by quarter depending on the timing of these various expenses.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 Seasonal Fluctuations in FNA Volume and Cash Collections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business is subject to fluctuations in the number of FNA samples received for both cytopathology and GEC testing throughout the year as a result of a number of factors, including physician practices being closed for holidays or endocrinology and thyroid-related industry meetings which are widely attended by our prescribing physicians. Like other companies in our field, vacations by physicians and patients tend to negatively affect our volumes more during the summer months and during the end of year holidays compared to other times of the year. Additionally, we may receive fewer FNAs in the winter months due to severe weather if patients are not able to visit their doctor’s office. Our reimbursed rates and cash collections are also subject to seasonality. Medicare normally makes adjustments in its fee schedules at the beginning of the year which may affect our reimbursement. Additionally, some plans reset their deductibles at the beginning of each year which means that patients early in the year are responsible for a greater portion of the cost of our tests, and we have lower cash collection rates from individuals than from third-party payers. Later in the year, particularly in the fourth quarter, we experience improved payment results as third-party payers tend to clear pending claims toward year end. This trend historically has increased our cash collections in the fourth quarter. As we accrue more revenue in the future, this will have less of an impact on our revenue in the fourth quarter but will still impact our cash position. The effects of these seasonal fluctuations in prior periods may have been obscured by the growth of our business.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Through June 30, 2016, all of our revenue has been derived from the sale of Afirma. To date, Afirma has been delivered primarily to physicians in the United States. We generally invoice third-party payers upon delivery of a patient report to the prescribing physician. As such, we take the assignment of benefits and the risk of cash collection from the third-party payer and individual patients. Third-party payers in excess of 10% of revenue and their related revenue as a percentage of total revenue were as follows: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0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00" w:type="dxa"/>
            <w:vAlign w:val="bottom"/>
            <w:tcBorders>
              <w:bottom w:val="single" w:sz="8" w:color="auto"/>
            </w:tcBorders>
          </w:tcPr>
          <w:p>
            <w:pPr>
              <w:spacing w:after="0"/>
              <w:rPr>
                <w:sz w:val="16"/>
                <w:szCs w:val="16"/>
                <w:color w:val="auto"/>
              </w:rPr>
            </w:pPr>
          </w:p>
        </w:tc>
      </w:tr>
      <w:tr>
        <w:trPr>
          <w:trHeight w:val="264"/>
        </w:trPr>
        <w:tc>
          <w:tcPr>
            <w:tcW w:w="60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64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2015</w:t>
            </w:r>
          </w:p>
        </w:tc>
        <w:tc>
          <w:tcPr>
            <w:tcW w:w="500" w:type="dxa"/>
            <w:vAlign w:val="bottom"/>
          </w:tcPr>
          <w:p>
            <w:pPr>
              <w:spacing w:after="0"/>
              <w:rPr>
                <w:sz w:val="22"/>
                <w:szCs w:val="22"/>
                <w:color w:val="auto"/>
              </w:rPr>
            </w:pPr>
          </w:p>
        </w:tc>
      </w:tr>
      <w:tr>
        <w:trPr>
          <w:trHeight w:val="249"/>
        </w:trPr>
        <w:tc>
          <w:tcPr>
            <w:tcW w:w="5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Medicare</w:t>
            </w: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6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United Healthcare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50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69"/>
        </w:trPr>
        <w:tc>
          <w:tcPr>
            <w:tcW w:w="50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For tests performed where we can estimate the amount we will ultimately receive at the time delivery is complete, such as in the case of Medicare and certain other payers, we recognize the related revenue upon delivery of a patient report to the prescribing physician based on the established billing rate less contractual and other adjustments to arrive at the amount that we expect to ultimately receive. We determine the amount we expect to ultimately receive based on a per payer, per contract or agreement basis. Upon ultimate collection, the amount received where reimbursement was estimated is compared to previous estimates and the amount accrued is adjusted accordingly. In other situations, where we cannot estimate the amount that will be ultimately received, we recognize revenue upon the earlier of receipt of third-party payer notification of payment or when cash is received. Incremental accrued revenue as a result of additional payers meeting our revenue recognition criteria was approximately $338,000 and $484,000 million for the three and six months ended June 30, 2016, respectively, and $240,000 and $565,000 for the three and six months ended June 30, 2015, respectively. Our ability to increase our revenue will depend on our ability to penetrate the market, obtain positive coverage policies from additional third-party payers, obtain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reimbursement and/or enter into contracts with additional third-party payers, and increase reimbursement rates for tests performed. Finally, should we recognize revenue on an accrual basis and later determine the judgments underlying estimated reimbursement change, our financial results could be negatively impacted in future quarters.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components of our cost of revenue are materials and service costs, including cytopathology testing services, stock-based compensation expense, direct labor costs, equipment and infrastructure expenses associated with testing samples, shipping charges to transport samples, and allocated overhead including rent, information technology, equipment depreciation and utilities. Costs associated with performing tests are recorded as the test is processed regardless of whether and when revenue is recognized with respect to that test. As a result, our cost of revenue as a percentage of revenue may vary significantly from period to period because we do not recognize all revenue in the period in which the associated costs are incurred. We expect cost of revenue in absolute dollars to increase as the number of tests we perform increases and from the higher costs of our new facility. However, we expect that the cost per test will decrease over time due to leveraging fixed costs, efficiencies we may gain as test volume increases and from automation, process efficiencies and other cost reductions. As we introduce new tests, initially our cost of revenue will be high and will increase disproportionately our aggregate cost of revenue until we achieve efficiencies in processing these new tests.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include costs incurred to develop our technology, collect clinical samples and conduct clinical studies to develop and support our products. These costs consist of personnel costs, including stock-based compensation expense, prototype materials, laboratory supplies, consulting costs, costs associated with setting up and conducting clinical studies at domestic and international sites, and allocated overhead including rent, information technology, equipment depreciation and utilities. We expense all research and development costs in the periods in which they are incurred. We expect to incur significant research and development expenses as we continue to invest in research and development activities related to developing additional products and evaluating various platforms. We are incurring research and development expenses in 2016 for the development and launch of Envisia and for the continued development and support of the Afirma and Percepta tests. Specifically, we plan to: increase the body of clinical evidence to support Afirma; incur research and development expenses associated with clinical utility studies to support the commercialization of Percepta; and incur expenses associated with development, analytical verification and clinical validation studies for Envisia.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Selling and marketing expenses consist of personnel costs, including stock-based compensation expense, direct marketing expenses, consulting costs, and allocated overhead including rent, information technology, equipment depreciation and utilities. In addition, co-promotion fees paid to Genzyme, net of amortization of the up-front fee received, are included in selling and marketing expenses. In November 2014, we amended the co-promotion agreement with Genzyme and our personnel and marketing costs increased as we took on more sales and marketing responsibilities related to Afirma, but these increases are offset by the lower rate we are required to pay Genzyme under the Amended Agreement beginning in January 2015. On March 9, 2016, we gave Genzyme notice of termination of the Amended Agreement effective September 9, 2016. Consequently, in 2016, we have further expanded our internal sales force and marketing spending as we transition out of the relationship. We expect that these costs will be offset by the elimination of the co-promotion fee, beginning in mid-September 2016. In 2016, we also expect to incur increased selling and marketing expense as a result of investments in our lung product portfolio. We believe total selling and marketing expenses will continue to increase as we launch and promote our new tests.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include those from executive, finance and accounting, human resources, legal, billing and client services, and quality and regulatory functions. These expenses include personnel costs, including stock-based compensation expense, audit and legal expenses, consulting costs, costs associated with being a public company, and allocated overhead including rent, information technology, equipment depreciation and utilities. We expect these expenses to continue to grow in 2016 as we build our general and administration infrastructure and to stabilize thereafter.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 Amortization</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Intangible asset amortization began in April 2015 when we launched the Percepta test. The finite-lived intangible asset with a cost of $16.0 million is being amortized over 15 years, using the straight-line method.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expense is attributable to our borrowings under our loan and security agreement and the credit agreement that replaced 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income (expense), net consists primarily of sublease rental income and interest income received from payers and from our cash equivalents.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Polices and Estimates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unaudited interim condensed financial statements, which have been prepared in accordance with United States generally accepted accounting principles, or U.S. GAAP. The preparation of the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recognize revenue in accordance with the provisions of Accounting Standards Codification (“ASC”) 954-605, </w:t>
      </w:r>
      <w:r>
        <w:rPr>
          <w:rFonts w:ascii="Times New Roman" w:cs="Times New Roman" w:eastAsia="Times New Roman" w:hAnsi="Times New Roman"/>
          <w:sz w:val="18"/>
          <w:szCs w:val="18"/>
          <w:i w:val="1"/>
          <w:iCs w:val="1"/>
          <w:color w:val="auto"/>
        </w:rPr>
        <w:t>Health Care Entities — 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Recognition</w:t>
      </w:r>
      <w:r>
        <w:rPr>
          <w:rFonts w:ascii="Times New Roman" w:cs="Times New Roman" w:eastAsia="Times New Roman" w:hAnsi="Times New Roman"/>
          <w:sz w:val="18"/>
          <w:szCs w:val="18"/>
          <w:color w:val="auto"/>
        </w:rPr>
        <w:t>. Our revenue is generated from the provision of diagnostic services. The service is completed upon the delivery of test results to the prescribing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physician, at which time we bill for the service. We recognize revenue related to billings for Medicare and commercial payers on an accrual basis when amounts that will ultimately be realized can be estimated. The estimates of amounts that will ultimately be realized requires significant judgment by management. Until a contract has been negotiated with a commercial payer or governmental program, our tests may or may not be covered by these entities’ existing reimbursement policies. In addition, patients do not enter into direct agreements with us that commit them to pay any portion of the cost of the tests in the event that their insurance declines to reimburse us.</w:t>
      </w:r>
    </w:p>
    <w:p>
      <w:pPr>
        <w:spacing w:after="0" w:line="185"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We may bill the patient directly for these amounts in the form of co-payments and co-insurance in accordance with their insurance carrier and health plans. Some payers may not cover our GEC as ordered by the prescribing physician under their reimbursement policies. We pursue reimbursement from such patients on a case-by-case basis. In the absence of contracted reimbursement coverage or the ability to estimate the amount that will ultimately be realized for our services, revenue is recognized upon the earlier of receipt of third-party payer notification of payment or when cash is received.</w:t>
      </w:r>
    </w:p>
    <w:p>
      <w:pPr>
        <w:spacing w:after="0" w:line="180"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We use judgment in determining if we are able to make an estimate of what will be ultimately realized. We also use judgment in estimating the amounts we expect to collect by payer. Our judgments will continue to evolve in the future as we continue to gain payment experience.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Finite-lived Intangible Assets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Finite-lived intangible assets relates to intangible assets reclassified from indefinite-lived intangible assets, following the launch of Percepta in April 2015. We amortize finite-lived intangible assets using the straight-line method, over their estimated useful life. The estimated useful life of 15 years was used for the intangible asset related to Percepta based on management’s estimate of product life, product life of other diagnostic tests and patent life. We test this finite-lived intangible asset for impairment when events or circumstances indicate a reduction in the fair value below its carrying amount. There was no impairment for the six months ended June 30, 2016.</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118" w:right="259" w:bottom="1440" w:gutter="0" w:footer="0" w:header="0"/>
        </w:sectPr>
      </w:pPr>
    </w:p>
    <w:bookmarkStart w:id="22" w:name="page23"/>
    <w:bookmarkEnd w:id="2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We recognize stock-based compensation cost for only those shares underlying stock options that we expect to vest on a straight-line basis over the requisite service period of the award. We estimate the fair value of stock options using a Black-Scholes option-pricing model, which requires the input of highly subjective assumptions, including the option’s expected term and stock price volatility. In addition, judgment is also required in estimating the number of stock-based awards that are expected to be forfeited. Forfeitures are estimated based on historical experience at the time of grant and revised, if necessary, in subsequent periods if actual forfeitures differ from those estimates. The assumptions used in calculating the fair value of share-based payment awards represent management’s best estimates, but these estimates involve inherent uncertainties and the application of management’s judgment. As a result, if factors change and we use different assumptions, our stock-based compensation expense could be materially different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Six Months Ended June 30, 2016 and 2015 (In Thousands of Dollars, Except Percentages)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264"/>
        </w:trPr>
        <w:tc>
          <w:tcPr>
            <w:tcW w:w="39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r>
      <w:tr>
        <w:trPr>
          <w:trHeight w:val="249"/>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14,675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11,908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2,767</w:t>
            </w:r>
          </w:p>
        </w:tc>
        <w:tc>
          <w:tcPr>
            <w:tcW w:w="7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28,225</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23,126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5,099</w:t>
            </w:r>
          </w:p>
        </w:tc>
        <w:tc>
          <w:tcPr>
            <w:tcW w:w="7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22%</w:t>
            </w: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6,301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1,162</w:t>
            </w:r>
          </w:p>
        </w:tc>
        <w:tc>
          <w:tcPr>
            <w:tcW w:w="7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12,580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9,705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2,875</w:t>
            </w:r>
          </w:p>
        </w:tc>
        <w:tc>
          <w:tcPr>
            <w:tcW w:w="7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30%</w:t>
            </w:r>
          </w:p>
        </w:tc>
      </w:tr>
      <w:tr>
        <w:trPr>
          <w:trHeight w:val="243"/>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4,267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1,164</w:t>
            </w:r>
          </w:p>
        </w:tc>
        <w:tc>
          <w:tcPr>
            <w:tcW w:w="7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6"/>
              </w:rPr>
              <w:t>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7,728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1,838</w:t>
            </w:r>
          </w:p>
        </w:tc>
        <w:tc>
          <w:tcPr>
            <w:tcW w:w="7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6"/>
              </w:rPr>
              <w:t>31%</w:t>
            </w:r>
          </w:p>
        </w:tc>
      </w:tr>
      <w:tr>
        <w:trPr>
          <w:trHeight w:val="27"/>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8,263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1,326</w:t>
            </w:r>
          </w:p>
        </w:tc>
        <w:tc>
          <w:tcPr>
            <w:tcW w:w="7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15,329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12,557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2,772</w:t>
            </w:r>
          </w:p>
        </w:tc>
        <w:tc>
          <w:tcPr>
            <w:tcW w:w="7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22%</w:t>
            </w:r>
          </w:p>
        </w:tc>
      </w:tr>
      <w:tr>
        <w:trPr>
          <w:trHeight w:val="243"/>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6,071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535</w:t>
            </w:r>
          </w:p>
        </w:tc>
        <w:tc>
          <w:tcPr>
            <w:tcW w:w="7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6"/>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12,299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11,334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965</w:t>
            </w:r>
          </w:p>
        </w:tc>
        <w:tc>
          <w:tcPr>
            <w:tcW w:w="7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9%</w:t>
            </w:r>
          </w:p>
        </w:tc>
      </w:tr>
      <w:tr>
        <w:trPr>
          <w:trHeight w:val="27"/>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r>
      <w:tr>
        <w:trPr>
          <w:trHeight w:val="237"/>
        </w:trPr>
        <w:tc>
          <w:tcPr>
            <w:tcW w:w="3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25,169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20,982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4,187</w:t>
            </w:r>
          </w:p>
        </w:tc>
        <w:tc>
          <w:tcPr>
            <w:tcW w:w="7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6"/>
              </w:rPr>
              <w:t>20%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48,470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39,753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8,717</w:t>
            </w:r>
          </w:p>
        </w:tc>
        <w:tc>
          <w:tcPr>
            <w:tcW w:w="7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6"/>
              </w:rPr>
              <w:t>22%</w:t>
            </w:r>
          </w:p>
        </w:tc>
      </w:tr>
      <w:tr>
        <w:trPr>
          <w:trHeight w:val="27"/>
        </w:trPr>
        <w:tc>
          <w:tcPr>
            <w:tcW w:w="3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7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7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22%</w:t>
            </w: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772%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7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551%</w:t>
            </w:r>
          </w:p>
        </w:tc>
      </w:tr>
      <w:tr>
        <w:trPr>
          <w:trHeight w:val="27"/>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w:t>
            </w:r>
          </w:p>
        </w:tc>
        <w:tc>
          <w:tcPr>
            <w:tcW w:w="7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29%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c>
          <w:tcPr>
            <w:tcW w:w="7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36%</w:t>
            </w:r>
          </w:p>
        </w:tc>
      </w:tr>
      <w:tr>
        <w:trPr>
          <w:trHeight w:val="297"/>
        </w:trPr>
        <w:tc>
          <w:tcPr>
            <w:tcW w:w="39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(9,136)</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780" w:type="dxa"/>
            <w:vAlign w:val="bottom"/>
            <w:tcBorders>
              <w:bottom w:val="single" w:sz="8" w:color="CCEEFF"/>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6"/>
              </w:rPr>
              <w:t>23%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(21,318)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(16,746)</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(4,572)</w:t>
            </w:r>
          </w:p>
        </w:tc>
        <w:tc>
          <w:tcPr>
            <w:tcW w:w="780" w:type="dxa"/>
            <w:vAlign w:val="bottom"/>
            <w:tcBorders>
              <w:bottom w:val="single" w:sz="8" w:color="CCEEFF"/>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6"/>
              </w:rPr>
              <w:t>27%</w:t>
            </w:r>
          </w:p>
        </w:tc>
      </w:tr>
      <w:tr>
        <w:trPr>
          <w:trHeight w:val="210"/>
        </w:trPr>
        <w:tc>
          <w:tcPr>
            <w:tcW w:w="3900" w:type="dxa"/>
            <w:vAlign w:val="bottom"/>
            <w:tcBorders>
              <w:bottom w:val="single" w:sz="8" w:color="CCEEFF"/>
            </w:tcBorders>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b w:val="1"/>
                <w:bCs w:val="1"/>
                <w:color w:val="auto"/>
              </w:rPr>
              <w:t>Other Operating Data:</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GECs reported</w:t>
            </w:r>
          </w:p>
        </w:tc>
        <w:tc>
          <w:tcPr>
            <w:tcW w:w="20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5,832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1,074</w:t>
            </w:r>
          </w:p>
        </w:tc>
        <w:tc>
          <w:tcPr>
            <w:tcW w:w="7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6"/>
              </w:rPr>
              <w:t>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11,184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8,778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2,406</w:t>
            </w:r>
          </w:p>
        </w:tc>
        <w:tc>
          <w:tcPr>
            <w:tcW w:w="7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6"/>
              </w:rPr>
              <w:t>27%</w:t>
            </w:r>
          </w:p>
        </w:tc>
      </w:tr>
    </w:tbl>
    <w:p>
      <w:pPr>
        <w:spacing w:after="0" w:line="225"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We incurred a net loss of $11.2 million and $21.3 million for the three and six months ended June 30, 2016 compared to a net loss of $9.1 million and $16.7 million in the same periods in 2015. As of June 30, 2016, we had an accumulated deficit of $170.0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Revenue increased $2.8 million, or 23%, for the three months ended June 30, 2016 compared to the same period in 2015. The increase was primarily due to increased adoption of Afirma and the resultant increase in tests delivered, especially the proportion of GEC tests reported, and, to a lesser extent, additional payers meeting our revenue recognition criteria for accrual. As contracts are executed and as revenue and cash collection becomes more predictable, we expect to accrue a greater proportion of revenue instead of waiting for cash receipt.</w:t>
      </w:r>
    </w:p>
    <w:p>
      <w:pPr>
        <w:spacing w:after="0" w:line="180"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Revenue increased $5.1 million, or 22%, for the six months ended June 30, 2016 compared to the same period in 2015. The increase was primarily due to increased adoption of Afirma and the resultant increase in tests delivered, especially the proportion of GEC tests reported, and, to a lesser extent, additional payers meeting our revenue recognition criteria for accrual, partially offset by a decrease in revenue recorded when cash is received. As contracts are executed and as revenue and cash collection becomes more predictable, we expect to accrue a greater proportion of revenue instead of waiting for cash receipt.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Revenue recognized on an accrual basis and when cash is received for the three and six months ended June 30, 2016 and 2015 was as follows (in thousands of dollars):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740" w:type="dxa"/>
            <w:vAlign w:val="bottom"/>
            <w:tcBorders>
              <w:bottom w:val="single" w:sz="8" w:color="auto"/>
            </w:tcBorders>
          </w:tcPr>
          <w:p>
            <w:pPr>
              <w:spacing w:after="0"/>
              <w:rPr>
                <w:sz w:val="16"/>
                <w:szCs w:val="16"/>
                <w:color w:val="auto"/>
              </w:rPr>
            </w:pPr>
          </w:p>
        </w:tc>
      </w:tr>
      <w:tr>
        <w:trPr>
          <w:trHeight w:val="264"/>
        </w:trPr>
        <w:tc>
          <w:tcPr>
            <w:tcW w:w="37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9"/>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 recognized on an accrual basis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5,326</w:t>
            </w: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5,321</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10,650</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11,153</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 recognized when cash is received</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9,349</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6,587</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17,575</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11,973</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7"/>
        </w:trPr>
        <w:tc>
          <w:tcPr>
            <w:tcW w:w="3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14,675</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11,908</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28,225</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23,126</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Comparison of the three and six months ended June 30, 2016 and 2015 is as follows (in thousands of dollars, except percentages):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264"/>
        </w:trPr>
        <w:tc>
          <w:tcPr>
            <w:tcW w:w="4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gridSpan w:val="2"/>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w w:val="99"/>
              </w:rPr>
              <w:t>%</w:t>
            </w:r>
          </w:p>
        </w:tc>
      </w:tr>
      <w:tr>
        <w:trPr>
          <w:trHeight w:val="235"/>
        </w:trPr>
        <w:tc>
          <w:tcPr>
            <w:tcW w:w="4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6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Reagents, chips, consumables and related</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2,314</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1,745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4,606</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3,202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1,404</w:t>
            </w:r>
          </w:p>
        </w:tc>
        <w:tc>
          <w:tcPr>
            <w:tcW w:w="900" w:type="dxa"/>
            <w:vAlign w:val="bottom"/>
            <w:gridSpan w:val="2"/>
          </w:tcPr>
          <w:p>
            <w:pPr>
              <w:jc w:val="center"/>
              <w:ind w:left="33"/>
              <w:spacing w:after="0"/>
              <w:rPr>
                <w:sz w:val="20"/>
                <w:szCs w:val="20"/>
                <w:color w:val="auto"/>
              </w:rPr>
            </w:pPr>
            <w:r>
              <w:rPr>
                <w:rFonts w:ascii="Times New Roman" w:cs="Times New Roman" w:eastAsia="Times New Roman" w:hAnsi="Times New Roman"/>
                <w:sz w:val="18"/>
                <w:szCs w:val="18"/>
                <w:color w:val="auto"/>
              </w:rPr>
              <w:t>44%</w:t>
            </w:r>
          </w:p>
        </w:tc>
      </w:tr>
      <w:tr>
        <w:trPr>
          <w:trHeight w:val="27"/>
        </w:trPr>
        <w:tc>
          <w:tcPr>
            <w:tcW w:w="4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Cytopathology fees and related costs</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2,583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405</w:t>
            </w:r>
          </w:p>
        </w:tc>
        <w:tc>
          <w:tcPr>
            <w:tcW w:w="900" w:type="dxa"/>
            <w:vAlign w:val="bottom"/>
            <w:tcBorders>
              <w:bottom w:val="single" w:sz="8" w:color="CCEEFF"/>
            </w:tcBorders>
            <w:gridSpan w:val="2"/>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Sample collection</w:t>
            </w:r>
          </w:p>
        </w:tc>
        <w:tc>
          <w:tcPr>
            <w:tcW w:w="200" w:type="dxa"/>
            <w:vAlign w:val="bottom"/>
          </w:tcPr>
          <w:p>
            <w:pPr>
              <w:spacing w:after="0"/>
              <w:rPr>
                <w:sz w:val="21"/>
                <w:szCs w:val="21"/>
                <w:color w:val="auto"/>
              </w:rPr>
            </w:pPr>
          </w:p>
        </w:tc>
        <w:tc>
          <w:tcPr>
            <w:tcW w:w="6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371</w:t>
            </w:r>
          </w:p>
        </w:tc>
        <w:tc>
          <w:tcPr>
            <w:tcW w:w="900" w:type="dxa"/>
            <w:vAlign w:val="bottom"/>
            <w:gridSpan w:val="2"/>
          </w:tcPr>
          <w:p>
            <w:pPr>
              <w:jc w:val="center"/>
              <w:ind w:left="33"/>
              <w:spacing w:after="0"/>
              <w:rPr>
                <w:sz w:val="20"/>
                <w:szCs w:val="20"/>
                <w:color w:val="auto"/>
              </w:rPr>
            </w:pPr>
            <w:r>
              <w:rPr>
                <w:rFonts w:ascii="Times New Roman" w:cs="Times New Roman" w:eastAsia="Times New Roman" w:hAnsi="Times New Roman"/>
                <w:sz w:val="18"/>
                <w:szCs w:val="18"/>
                <w:color w:val="auto"/>
              </w:rPr>
              <w:t>26%</w:t>
            </w:r>
          </w:p>
        </w:tc>
      </w:tr>
      <w:tr>
        <w:trPr>
          <w:trHeight w:val="27"/>
        </w:trPr>
        <w:tc>
          <w:tcPr>
            <w:tcW w:w="4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labor</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464</w:t>
            </w:r>
          </w:p>
        </w:tc>
        <w:tc>
          <w:tcPr>
            <w:tcW w:w="900" w:type="dxa"/>
            <w:vAlign w:val="bottom"/>
            <w:tcBorders>
              <w:bottom w:val="single" w:sz="8" w:color="CCEEFF"/>
            </w:tcBorders>
            <w:gridSpan w:val="2"/>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rPr>
              <w:t>42%</w:t>
            </w:r>
          </w:p>
        </w:tc>
      </w:tr>
      <w:tr>
        <w:trPr>
          <w:trHeight w:val="243"/>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1"/>
                <w:szCs w:val="21"/>
                <w:color w:val="auto"/>
              </w:rPr>
            </w:pPr>
          </w:p>
        </w:tc>
        <w:tc>
          <w:tcPr>
            <w:tcW w:w="6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231</w:t>
            </w:r>
          </w:p>
        </w:tc>
        <w:tc>
          <w:tcPr>
            <w:tcW w:w="900" w:type="dxa"/>
            <w:vAlign w:val="bottom"/>
            <w:gridSpan w:val="2"/>
          </w:tcPr>
          <w:p>
            <w:pPr>
              <w:jc w:val="center"/>
              <w:ind w:left="33"/>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4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r>
      <w:tr>
        <w:trPr>
          <w:trHeight w:val="257"/>
        </w:trPr>
        <w:tc>
          <w:tcPr>
            <w:tcW w:w="40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6,301</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5,139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12,580</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9,705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2,875</w:t>
            </w:r>
          </w:p>
        </w:tc>
        <w:tc>
          <w:tcPr>
            <w:tcW w:w="900" w:type="dxa"/>
            <w:vAlign w:val="bottom"/>
            <w:gridSpan w:val="2"/>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Cost of revenue increased $1.2 million, or 23%, for the three months ended June 30, 2016 compared to the same period in 2015. Given our corporate focus on GEC growth and the adoption of the Afirma test, GEC tests increased by 23% and cytopathology tests increased by 7%. The increase in reagents, chips, consumables and related costs is associated primarily with increased GEC test volume. The increase in cytopathology fees is related to the volume increase in FNA samples processed. The increase in sample collection costs is primarily related to increased volume of samples. The increase in direct labor is associated with an average lab headcount increase of 24%, the increase in sample volume, and the mix shift to relatively more GECs versus cytopathology tests as more labor hours are incurred on the GEC tests compared to the cytopathology tests and at a higher average employee cost. Other costs are primarily indirect costs, such as facilities allocation, depreciation and equipment maintenance, which increased as a result of increased allocable costs, mainly due to our move into a larger facility in the first quarter of 2016.</w:t>
      </w:r>
    </w:p>
    <w:p>
      <w:pPr>
        <w:spacing w:after="0" w:line="185"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Cost of revenue increased $2.9 million, or 30%, for the six months ended June 30, 2016 compared to the same period in 2015. Given our corporate focus on GEC growth and the adoption of the Afirma test, GEC tests increased by 27% and cytopathology tests increased by 13%. The increase in reagents, chips, consumables and related costs is associated primarily with increased GEC test volume. The increase in cytopathology fees is related to the volume increase in FNA samples processed. The increase in sample collection costs is primarily related to increased volume of samples. The increase in direct labor is associated with an average lab headcount increase of 26%, the increase in sample volume, and the mix shift to relatively more GECs versus cytopathology tests as more labor hours are incurred on the GEC tests compared to the cytopathology tests and at a higher average employee cost. Other costs are primarily indirect costs, such as facilities allocation, depreciation and equipment maintenance, which increased as a result of increased allocable costs, mainly due to our move into a larger facility.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Comparison of the three and six months ended June 30, 2016 and 2015 is as follows (in thousands of dollars, except percentages):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80"/>
          </w:cols>
          <w:pgMar w:left="240" w:top="118" w:right="27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61"/>
        </w:trPr>
        <w:tc>
          <w:tcPr>
            <w:tcW w:w="4360" w:type="dxa"/>
            <w:vAlign w:val="bottom"/>
            <w:gridSpan w:val="2"/>
          </w:tcPr>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650"/>
        </w:trPr>
        <w:tc>
          <w:tcPr>
            <w:tcW w:w="1020" w:type="dxa"/>
            <w:vAlign w:val="bottom"/>
            <w:tcBorders>
              <w:top w:val="single" w:sz="8" w:color="0000EE"/>
            </w:tcBorders>
          </w:tcPr>
          <w:p>
            <w:pPr>
              <w:spacing w:after="0"/>
              <w:rPr>
                <w:sz w:val="24"/>
                <w:szCs w:val="24"/>
                <w:color w:val="auto"/>
              </w:rPr>
            </w:pPr>
          </w:p>
        </w:tc>
        <w:tc>
          <w:tcPr>
            <w:tcW w:w="33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r>
        <w:trPr>
          <w:trHeight w:val="264"/>
        </w:trPr>
        <w:tc>
          <w:tcPr>
            <w:tcW w:w="102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gridSpan w:val="2"/>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w w:val="99"/>
              </w:rPr>
              <w:t>%</w:t>
            </w:r>
          </w:p>
        </w:tc>
      </w:tr>
      <w:tr>
        <w:trPr>
          <w:trHeight w:val="235"/>
        </w:trPr>
        <w:tc>
          <w:tcPr>
            <w:tcW w:w="43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6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4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Personnel-related expense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1,742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3,409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2,917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492</w:t>
            </w:r>
          </w:p>
        </w:tc>
        <w:tc>
          <w:tcPr>
            <w:tcW w:w="780" w:type="dxa"/>
            <w:vAlign w:val="bottom"/>
            <w:gridSpan w:val="2"/>
          </w:tcPr>
          <w:p>
            <w:pPr>
              <w:jc w:val="center"/>
              <w:ind w:left="13"/>
              <w:spacing w:after="0"/>
              <w:rPr>
                <w:sz w:val="20"/>
                <w:szCs w:val="20"/>
                <w:color w:val="auto"/>
              </w:rPr>
            </w:pPr>
            <w:r>
              <w:rPr>
                <w:rFonts w:ascii="Times New Roman" w:cs="Times New Roman" w:eastAsia="Times New Roman" w:hAnsi="Times New Roman"/>
                <w:sz w:val="18"/>
                <w:szCs w:val="18"/>
                <w:color w:val="auto"/>
                <w:w w:val="96"/>
              </w:rPr>
              <w:t>17%</w:t>
            </w:r>
          </w:p>
        </w:tc>
      </w:tr>
      <w:tr>
        <w:trPr>
          <w:trHeight w:val="27"/>
        </w:trPr>
        <w:tc>
          <w:tcPr>
            <w:tcW w:w="10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45</w:t>
            </w:r>
          </w:p>
        </w:tc>
        <w:tc>
          <w:tcPr>
            <w:tcW w:w="780" w:type="dxa"/>
            <w:vAlign w:val="bottom"/>
            <w:tcBorders>
              <w:bottom w:val="single" w:sz="8" w:color="CCEEFF"/>
            </w:tcBorders>
            <w:gridSpan w:val="2"/>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99"/>
              </w:rPr>
              <w:t>8%</w:t>
            </w:r>
          </w:p>
        </w:tc>
      </w:tr>
      <w:tr>
        <w:trPr>
          <w:trHeight w:val="243"/>
        </w:trPr>
        <w:tc>
          <w:tcPr>
            <w:tcW w:w="4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Direct R&amp;D expense</w:t>
            </w:r>
          </w:p>
        </w:tc>
        <w:tc>
          <w:tcPr>
            <w:tcW w:w="200" w:type="dxa"/>
            <w:vAlign w:val="bottom"/>
          </w:tcPr>
          <w:p>
            <w:pPr>
              <w:spacing w:after="0"/>
              <w:rPr>
                <w:sz w:val="21"/>
                <w:szCs w:val="21"/>
                <w:color w:val="auto"/>
              </w:rPr>
            </w:pPr>
          </w:p>
        </w:tc>
        <w:tc>
          <w:tcPr>
            <w:tcW w:w="6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893</w:t>
            </w:r>
          </w:p>
        </w:tc>
        <w:tc>
          <w:tcPr>
            <w:tcW w:w="780" w:type="dxa"/>
            <w:vAlign w:val="bottom"/>
            <w:gridSpan w:val="2"/>
          </w:tcPr>
          <w:p>
            <w:pPr>
              <w:jc w:val="center"/>
              <w:ind w:left="13"/>
              <w:spacing w:after="0"/>
              <w:rPr>
                <w:sz w:val="20"/>
                <w:szCs w:val="20"/>
                <w:color w:val="auto"/>
              </w:rPr>
            </w:pPr>
            <w:r>
              <w:rPr>
                <w:rFonts w:ascii="Times New Roman" w:cs="Times New Roman" w:eastAsia="Times New Roman" w:hAnsi="Times New Roman"/>
                <w:sz w:val="18"/>
                <w:szCs w:val="18"/>
                <w:color w:val="auto"/>
                <w:w w:val="96"/>
              </w:rPr>
              <w:t>67%</w:t>
            </w:r>
          </w:p>
        </w:tc>
      </w:tr>
      <w:tr>
        <w:trPr>
          <w:trHeight w:val="27"/>
        </w:trPr>
        <w:tc>
          <w:tcPr>
            <w:tcW w:w="10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4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w:t>
            </w: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778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1,458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408</w:t>
            </w:r>
          </w:p>
        </w:tc>
        <w:tc>
          <w:tcPr>
            <w:tcW w:w="780" w:type="dxa"/>
            <w:vAlign w:val="bottom"/>
            <w:tcBorders>
              <w:bottom w:val="single" w:sz="8" w:color="CCEEFF"/>
            </w:tcBorders>
            <w:gridSpan w:val="2"/>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96"/>
              </w:rPr>
              <w:t>39%</w:t>
            </w:r>
          </w:p>
        </w:tc>
      </w:tr>
      <w:tr>
        <w:trPr>
          <w:trHeight w:val="257"/>
        </w:trPr>
        <w:tc>
          <w:tcPr>
            <w:tcW w:w="43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4,267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3,103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7,728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5,890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1,838</w:t>
            </w:r>
          </w:p>
        </w:tc>
        <w:tc>
          <w:tcPr>
            <w:tcW w:w="780" w:type="dxa"/>
            <w:vAlign w:val="bottom"/>
            <w:gridSpan w:val="2"/>
          </w:tcPr>
          <w:p>
            <w:pPr>
              <w:jc w:val="center"/>
              <w:ind w:left="13"/>
              <w:spacing w:after="0"/>
              <w:rPr>
                <w:sz w:val="20"/>
                <w:szCs w:val="20"/>
                <w:color w:val="auto"/>
              </w:rPr>
            </w:pPr>
            <w:r>
              <w:rPr>
                <w:rFonts w:ascii="Times New Roman" w:cs="Times New Roman" w:eastAsia="Times New Roman" w:hAnsi="Times New Roman"/>
                <w:sz w:val="18"/>
                <w:szCs w:val="18"/>
                <w:color w:val="auto"/>
                <w:w w:val="96"/>
              </w:rPr>
              <w:t>31%</w:t>
            </w:r>
          </w:p>
        </w:tc>
      </w:tr>
      <w:tr>
        <w:trPr>
          <w:trHeight w:val="20"/>
        </w:trPr>
        <w:tc>
          <w:tcPr>
            <w:tcW w:w="10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Research and development expense increased $1.2 million, or 38%, for the three months ended June 30, 2016 compared to the same period in 2015. The increase in personnel-related expense was primarily due to a 10% increase in average headcount, an increase in senior level positions and increased accrued bonuses as a result of increased bonus targets and performance. The increase in direct R&amp;D expense was primarily due to materials purchased for research and development experiments. Other expense increased primarily as a result of increased information technology and facilities expenses that were related to research and development activities.</w:t>
      </w:r>
    </w:p>
    <w:p>
      <w:pPr>
        <w:spacing w:after="0" w:line="184"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Research and development expense increased $1.8 million, or 31%, for the six months ended June 30, 2016 compared to the same period in 2015. The increase in personnel-related expense was primarily due to an increase in senior level positions and increased accrued bonuses as a result of increased bonus targets and performance. The increase in stock-based compensation expense reflects option grants to new and existing employees. The increase in direct R&amp;D expense was primarily due to materials purchased for research and development experiments. Other expense increased primarily as a result of increased information technology and facilities expenses that were related to research and development activities.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and marketing</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Comparison of the three and six months ended June 30, 2016 and 2015 is as follows (in thousands of dollars, except percentages):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264"/>
        </w:trPr>
        <w:tc>
          <w:tcPr>
            <w:tcW w:w="3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gridSpan w:val="2"/>
          </w:tcPr>
          <w:p>
            <w:pPr>
              <w:jc w:val="center"/>
              <w:ind w:left="13"/>
              <w:spacing w:after="0"/>
              <w:rPr>
                <w:sz w:val="20"/>
                <w:szCs w:val="20"/>
                <w:color w:val="auto"/>
              </w:rPr>
            </w:pPr>
            <w:r>
              <w:rPr>
                <w:rFonts w:ascii="Times New Roman" w:cs="Times New Roman" w:eastAsia="Times New Roman" w:hAnsi="Times New Roman"/>
                <w:sz w:val="14"/>
                <w:szCs w:val="14"/>
                <w:b w:val="1"/>
                <w:bCs w:val="1"/>
                <w:color w:val="auto"/>
                <w:w w:val="99"/>
              </w:rPr>
              <w:t>%</w:t>
            </w:r>
          </w:p>
        </w:tc>
      </w:tr>
      <w:tr>
        <w:trPr>
          <w:trHeight w:val="235"/>
        </w:trPr>
        <w:tc>
          <w:tcPr>
            <w:tcW w:w="3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Genzyme co-promotion expense, net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1,886</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3,512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2,422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1,090</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45%</w:t>
            </w:r>
          </w:p>
        </w:tc>
      </w:tr>
      <w:tr>
        <w:trPr>
          <w:trHeight w:val="27"/>
        </w:trPr>
        <w:tc>
          <w:tcPr>
            <w:tcW w:w="3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Personnel-related expense</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4,230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3,251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7,966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5,916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2,050</w:t>
            </w:r>
          </w:p>
        </w:tc>
        <w:tc>
          <w:tcPr>
            <w:tcW w:w="10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35%</w:t>
            </w:r>
          </w:p>
        </w:tc>
      </w:tr>
      <w:tr>
        <w:trPr>
          <w:trHeight w:val="243"/>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2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213</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36%</w:t>
            </w:r>
          </w:p>
        </w:tc>
      </w:tr>
      <w:tr>
        <w:trPr>
          <w:trHeight w:val="27"/>
        </w:trPr>
        <w:tc>
          <w:tcPr>
            <w:tcW w:w="3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marketing expense</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w:t>
            </w:r>
          </w:p>
        </w:tc>
      </w:tr>
      <w:tr>
        <w:trPr>
          <w:trHeight w:val="243"/>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w:t>
            </w:r>
          </w:p>
        </w:tc>
        <w:tc>
          <w:tcPr>
            <w:tcW w:w="22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(26)%</w:t>
            </w:r>
          </w:p>
        </w:tc>
      </w:tr>
      <w:tr>
        <w:trPr>
          <w:trHeight w:val="27"/>
        </w:trPr>
        <w:tc>
          <w:tcPr>
            <w:tcW w:w="3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57"/>
        </w:trPr>
        <w:tc>
          <w:tcPr>
            <w:tcW w:w="33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8,263</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6,937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15,329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12,557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2,772</w:t>
            </w:r>
          </w:p>
        </w:tc>
        <w:tc>
          <w:tcPr>
            <w:tcW w:w="10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22%</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Selling and marketing expense increased $1.3 million, or 19%, for the three months ended June 30, 2016 compared to the same period in 2015. The increase in Genzyme co-promotion expense, net, reflects an increase in cash collections for Afirma and lower amortization expense from the extension of the amortization life of the $10.0 million up-front co-promotion fee to reflect the termination of the Amended Agreement effective September 9, 2016. The increase in personnel-related expense was primarily due to a 34% increase in average headcount of our sales and marketing team, as we prepare for the termination of the Amended Agreement, as well as increased commissions. The increase in stock-based compensation expense reflects option grants to new and existing employees. The increase in direct marketing expense was primarily associated with Afirma, including trade shows, market research, advertising, public relations, and speaker programs. The decrease in other expense was primarily due to a reduction of consulting expenses.</w:t>
      </w:r>
    </w:p>
    <w:p>
      <w:pPr>
        <w:spacing w:after="0" w:line="18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Selling and marketing expense increased $2.8 million, or 22%, for the six months ended June 30, 2016 compared to the same period in 2015. The increase in Genzyme co-promotion expense, net, reflects an increase in cash collections for Afirma and lower amortization expense from the extension of the amortization life of the $10.0 million up-front co-promotion fee. The increase in personnel-related expense was primarily due to a 31% increase in average headcount of our sales and marketing team, as we prepare for the termination of the Amended Agreement, as well as increased commissions. The increase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14" w:right="239" w:bottom="1440" w:gutter="0" w:footer="0" w:header="0"/>
        </w:sectPr>
      </w:pPr>
    </w:p>
    <w:bookmarkStart w:id="25" w:name="page26"/>
    <w:bookmarkEnd w:id="2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stock-based compensation expense reflects option grants to new and existing employees. The decrease in other expense was primarily due to a reduction of consulting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Comparison of the three and six months ended June 30, 2016 and 2015 is as follows (in thousands of dollars, except percentages):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6"/>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264"/>
        </w:trPr>
        <w:tc>
          <w:tcPr>
            <w:tcW w:w="4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gridSpan w:val="2"/>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gridSpan w:val="2"/>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w w:val="99"/>
              </w:rPr>
              <w:t>%</w:t>
            </w:r>
          </w:p>
        </w:tc>
      </w:tr>
      <w:tr>
        <w:trPr>
          <w:trHeight w:val="235"/>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6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Personnel-related expense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3,411</w:t>
            </w: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2,664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747</w:t>
            </w:r>
          </w:p>
        </w:tc>
        <w:tc>
          <w:tcPr>
            <w:tcW w:w="780" w:type="dxa"/>
            <w:vAlign w:val="bottom"/>
            <w:gridSpan w:val="2"/>
          </w:tcPr>
          <w:p>
            <w:pPr>
              <w:jc w:val="center"/>
              <w:ind w:left="33"/>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6,437</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5,214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1,223</w:t>
            </w:r>
          </w:p>
        </w:tc>
        <w:tc>
          <w:tcPr>
            <w:tcW w:w="780" w:type="dxa"/>
            <w:vAlign w:val="bottom"/>
            <w:gridSpan w:val="2"/>
          </w:tcPr>
          <w:p>
            <w:pPr>
              <w:jc w:val="center"/>
              <w:ind w:left="13"/>
              <w:spacing w:after="0"/>
              <w:rPr>
                <w:sz w:val="20"/>
                <w:szCs w:val="20"/>
                <w:color w:val="auto"/>
              </w:rPr>
            </w:pPr>
            <w:r>
              <w:rPr>
                <w:rFonts w:ascii="Times New Roman" w:cs="Times New Roman" w:eastAsia="Times New Roman" w:hAnsi="Times New Roman"/>
                <w:sz w:val="18"/>
                <w:szCs w:val="18"/>
                <w:color w:val="auto"/>
                <w:w w:val="96"/>
              </w:rPr>
              <w:t>23%</w:t>
            </w: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98</w:t>
            </w:r>
          </w:p>
        </w:tc>
        <w:tc>
          <w:tcPr>
            <w:tcW w:w="780" w:type="dxa"/>
            <w:vAlign w:val="bottom"/>
            <w:tcBorders>
              <w:bottom w:val="single" w:sz="8" w:color="CCEEFF"/>
            </w:tcBorders>
            <w:gridSpan w:val="2"/>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172</w:t>
            </w:r>
          </w:p>
        </w:tc>
        <w:tc>
          <w:tcPr>
            <w:tcW w:w="780" w:type="dxa"/>
            <w:vAlign w:val="bottom"/>
            <w:tcBorders>
              <w:bottom w:val="single" w:sz="8" w:color="CCEEFF"/>
            </w:tcBorders>
            <w:gridSpan w:val="2"/>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96"/>
              </w:rPr>
              <w:t>12%</w:t>
            </w:r>
          </w:p>
        </w:tc>
      </w:tr>
      <w:tr>
        <w:trPr>
          <w:trHeight w:val="243"/>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Professional fees expense</w:t>
            </w:r>
          </w:p>
        </w:tc>
        <w:tc>
          <w:tcPr>
            <w:tcW w:w="2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w:t>
            </w:r>
          </w:p>
        </w:tc>
        <w:tc>
          <w:tcPr>
            <w:tcW w:w="780" w:type="dxa"/>
            <w:vAlign w:val="bottom"/>
            <w:gridSpan w:val="2"/>
          </w:tcPr>
          <w:p>
            <w:pPr>
              <w:jc w:val="center"/>
              <w:ind w:left="13"/>
              <w:spacing w:after="0"/>
              <w:rPr>
                <w:sz w:val="20"/>
                <w:szCs w:val="20"/>
                <w:color w:val="auto"/>
              </w:rPr>
            </w:pPr>
            <w:r>
              <w:rPr>
                <w:rFonts w:ascii="Times New Roman" w:cs="Times New Roman" w:eastAsia="Times New Roman" w:hAnsi="Times New Roman"/>
                <w:sz w:val="18"/>
                <w:szCs w:val="18"/>
                <w:color w:val="auto"/>
                <w:w w:val="99"/>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780" w:type="dxa"/>
            <w:vAlign w:val="bottom"/>
            <w:gridSpan w:val="2"/>
          </w:tcPr>
          <w:p>
            <w:pPr>
              <w:jc w:val="center"/>
              <w:ind w:left="13"/>
              <w:spacing w:after="0"/>
              <w:rPr>
                <w:sz w:val="20"/>
                <w:szCs w:val="20"/>
                <w:color w:val="auto"/>
              </w:rPr>
            </w:pPr>
            <w:r>
              <w:rPr>
                <w:rFonts w:ascii="Times New Roman" w:cs="Times New Roman" w:eastAsia="Times New Roman" w:hAnsi="Times New Roman"/>
                <w:sz w:val="18"/>
                <w:szCs w:val="18"/>
                <w:color w:val="auto"/>
                <w:w w:val="97"/>
              </w:rPr>
              <w:t>(15)%</w:t>
            </w: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Rent and other facilities expense</w:t>
            </w: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780" w:type="dxa"/>
            <w:vAlign w:val="bottom"/>
            <w:tcBorders>
              <w:bottom w:val="single" w:sz="8" w:color="CCEEFF"/>
            </w:tcBorders>
            <w:gridSpan w:val="2"/>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377</w:t>
            </w:r>
          </w:p>
        </w:tc>
        <w:tc>
          <w:tcPr>
            <w:tcW w:w="780" w:type="dxa"/>
            <w:vAlign w:val="bottom"/>
            <w:tcBorders>
              <w:bottom w:val="single" w:sz="8" w:color="CCEEFF"/>
            </w:tcBorders>
            <w:gridSpan w:val="2"/>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96"/>
              </w:rPr>
              <w:t>37%</w:t>
            </w:r>
          </w:p>
        </w:tc>
      </w:tr>
      <w:tr>
        <w:trPr>
          <w:trHeight w:val="243"/>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w:t>
            </w:r>
          </w:p>
        </w:tc>
        <w:tc>
          <w:tcPr>
            <w:tcW w:w="2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780" w:type="dxa"/>
            <w:vAlign w:val="bottom"/>
            <w:gridSpan w:val="2"/>
          </w:tcPr>
          <w:p>
            <w:pPr>
              <w:jc w:val="center"/>
              <w:ind w:left="33"/>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780" w:type="dxa"/>
            <w:vAlign w:val="bottom"/>
            <w:gridSpan w:val="2"/>
          </w:tcPr>
          <w:p>
            <w:pPr>
              <w:jc w:val="center"/>
              <w:ind w:left="13"/>
              <w:spacing w:after="0"/>
              <w:rPr>
                <w:sz w:val="20"/>
                <w:szCs w:val="20"/>
                <w:color w:val="auto"/>
              </w:rPr>
            </w:pPr>
            <w:r>
              <w:rPr>
                <w:rFonts w:ascii="Times New Roman" w:cs="Times New Roman" w:eastAsia="Times New Roman" w:hAnsi="Times New Roman"/>
                <w:sz w:val="18"/>
                <w:szCs w:val="18"/>
                <w:color w:val="auto"/>
                <w:w w:val="97"/>
              </w:rPr>
              <w:t>(47)%</w:t>
            </w: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r>
      <w:tr>
        <w:trPr>
          <w:trHeight w:val="257"/>
        </w:trPr>
        <w:tc>
          <w:tcPr>
            <w:tcW w:w="42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6,071</w:t>
            </w:r>
          </w:p>
        </w:tc>
        <w:tc>
          <w:tcPr>
            <w:tcW w:w="3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5,536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535</w:t>
            </w:r>
          </w:p>
        </w:tc>
        <w:tc>
          <w:tcPr>
            <w:tcW w:w="780" w:type="dxa"/>
            <w:vAlign w:val="bottom"/>
            <w:gridSpan w:val="2"/>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12,299</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11,334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965</w:t>
            </w:r>
          </w:p>
        </w:tc>
        <w:tc>
          <w:tcPr>
            <w:tcW w:w="780" w:type="dxa"/>
            <w:vAlign w:val="bottom"/>
            <w:gridSpan w:val="2"/>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99"/>
              </w:rPr>
              <w:t>9%</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 increased $535,000, or 10%, for the three months ended June 30, 2016 compared to the same period in 2015. The increase in personnel-related expense was primarily due to an 11% increase in average headcount for the three months ended June 30, 2016 as compared to the same period in 2015, and higher employee separation costs. The increase in stock-based compensation expense was primarily due to option grants to new and existing employees. The decrease in rent and other facilities expense was largely due to incurring facilities expenses for the three months ended June 30, 2015 for our new South San Francisco facility, as well as our previous space, for which the lease ended in March 2016. The decrease in other expense was due primarily to consulting expenses of approximately $400,000 for the three months ended June 30, 2015 largely related to accounting services that did not recur as we hired full-time staff, partially offset by higher general administrative expenses.</w:t>
      </w:r>
    </w:p>
    <w:p>
      <w:pPr>
        <w:spacing w:after="0" w:line="18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 increased $1.0 million, or 9%, for the six months ended June 30, 2016 compared to the same period in 2015. The increase in personnel-related expense was primarily due to a 10% increase in average headcount for the six months ended June 30, 2016 as compared to the same period in 2015, and higher employee separation costs. The increase in stock-based compensation expense was primarily due to option grants to new and existing employees. The decrease in professional fees was primarily due to lower accounting, audit and legal expenses. The increase in rent and other facilities expense was largely due to incurring expenses for our new South San Francisco facility, as well as our previous space, for which the lease ended in March 2016. The decrease in other expense was due primarily to consulting expense of approximately $0.9 million for the six months ended June 30, 2015 largely related to accounting services that did not recur as we hired full-time staff, partially offset by higher general administrative 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Interest expense increased $695,000 for the three months ended June 30, 2016 compared to the same period in 2015 due to interest on the initial term loan of $25 million under a credit agreement entered into in March 2016.</w:t>
      </w:r>
    </w:p>
    <w:p>
      <w:pPr>
        <w:spacing w:after="0" w:line="162"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Interest expense increased $975,000 for the six months ended June 30, 2016 compared to the same period in 2015 due to interest on the initial term loan of $25 million under a credit agreement entered into in March 2016 and due to the paying off of the loan and security agreement in March 2016, which included expenses for an end-of-term payment, a prepayment penalty and the write-off of debt issuance costs and debt discount.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7"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Other income, net, increased $8,000 for the three months ended June 30, 2016 compared to the same period in 2015 primarily due to higher interest income from our money market investments.</w:t>
      </w:r>
    </w:p>
    <w:p>
      <w:pPr>
        <w:spacing w:after="0" w:line="162"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Other income, net, increased $21,000 for the six months ended June 30, 2016 compared to the same period in 2015 primarily due to higher interest income from our money market investments.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We have incurred net losses since our inception. For the six months ended June 30, 2016, we had a net loss of $21.3 million, and we expect to incur additional losses in the remainder of 2016 and in future years. As of June 30, 2016, we had an accumulated deficit of $170.0 million. We may never achieve revenue sufficient to offset our expenses.</w:t>
      </w:r>
    </w:p>
    <w:p>
      <w:pPr>
        <w:spacing w:after="0" w:line="176"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We believe our existing cash and cash equivalents of $39.0 million as of June 30, 2016 and our revenue during the next 12 months will be sufficient to meet our anticipated cash requirements for at least the next 12 months.</w:t>
      </w:r>
    </w:p>
    <w:p>
      <w:pPr>
        <w:spacing w:after="0" w:line="162"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From inception through June 30, 2016, we have received $217.3 million in net proceeds from various sources to finance our operations, including net proceeds of $78.6 million from sales of our preferred stock, net proceeds of $59.2 million from our IPO, net proceeds of $37.3 million from our sale of common stock in a private placement, $10.0 million from the Genzyme co-promotion agreement, net borrowings of $4.9 million under our loan and security agreement which was paid off in March 2016, net borrowings of $24.5 million under our credit agreement, the exercise of stock options and employee stock purchases of $2.6 million and conversion of accrued interest to long-term debt of $0.2 million.</w:t>
      </w:r>
    </w:p>
    <w:p>
      <w:pPr>
        <w:spacing w:after="0" w:line="184"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In March 2016, we entered into a credit agreement, or Credit Agreement, with Visium Healthcare Partners, LP, or Visium. Under the Credit Agreement, two term loans are available to us with an aggregate principal amount of up to $40.0 million. We drew down the initial $25.0 million term loan, or Initial Term Loan, on March 30, 2016. On or prior to June 30, 2017, we may request the second term loan of up to $15.0 million, or the Second Term Loan. The Initial Term Loan and the Second Term Loan are referred to as Term Loans, which mature on March 31, 2022.</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Term Loans bear interest at a fixed rate of 12.0% per annum, payable quarterly at the end of each March, June,</w:t>
      </w:r>
    </w:p>
    <w:p>
      <w:pPr>
        <w:spacing w:after="0" w:line="2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September and December. No principal payments will be due during an interest-only period, commencing on the funding date for the Initial Term Loan, or Initial Borrowing Date, and continuing through and including March 31, 2020. We are obligated to repay the outstanding principal amounts under the Term Loans in eight equal installments during the final two years under the Credit Agreement. For any quarterly interest payment through and including the 16th interest payment date after the Initial Borrowing Date, so long as no event of default has occurred and is then continuing, we may elect to pay interest in cash on the outstanding principal amounts of the Term Loans at a fixed rate of 9.0%, with the remaining 3.0% of the 12.0% interest paid-in-kind by adding such paid-in-kind interest to the outstanding principal amounts of the Term Loans. We elected to pay interest in-kind for the quarter ended June 30, 2016 and have recorded $192,000 of paid-in-kind interest through June 30, 2016.</w:t>
      </w:r>
    </w:p>
    <w:p>
      <w:pPr>
        <w:spacing w:after="0" w:line="18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We may prepay the outstanding principal amount under the Term Loans subject to a minimum of $5.0 million of principal amount or a whole multiple of $1.0 million in excess thereof plus accrued and unpaid interest and a prepayment premium. The prepayment premium will be assessed on the principal amount repaid and will equal (i) 24.0% less the aggregate amount of all interest payments in cash, if the prepayment is made on or prior to March 31, 2018, (ii) 4.0%, if the prepayment is made after March 31, 2018 and on or prior to March 31, 2019, (iii) 2.0%, if the prepayment is made after March 31, 2019 and on or prior to March 31, 2020, and (iv) 1.0%, if the prepayment is made after March 31, 2020 and on or prior to March 31, 2021. After March 31, 2021 there is no prepayment premium.</w:t>
      </w:r>
    </w:p>
    <w:p>
      <w:pPr>
        <w:spacing w:after="0" w:line="188" w:lineRule="exact"/>
        <w:rPr>
          <w:sz w:val="20"/>
          <w:szCs w:val="20"/>
          <w:color w:val="auto"/>
        </w:rPr>
      </w:pPr>
    </w:p>
    <w:p>
      <w:pPr>
        <w:ind w:right="280" w:firstLine="648"/>
        <w:spacing w:after="0" w:line="255" w:lineRule="auto"/>
        <w:rPr>
          <w:sz w:val="20"/>
          <w:szCs w:val="20"/>
          <w:color w:val="auto"/>
        </w:rPr>
      </w:pPr>
      <w:r>
        <w:rPr>
          <w:rFonts w:ascii="Times New Roman" w:cs="Times New Roman" w:eastAsia="Times New Roman" w:hAnsi="Times New Roman"/>
          <w:sz w:val="18"/>
          <w:szCs w:val="18"/>
          <w:color w:val="auto"/>
        </w:rPr>
        <w:t>Our obligations under the Credit Agreement are secured by a security interest in substantially all of our assets. The Credit Agreement contains customary representations, warranties and events of default, as well as affirmative and negative covenants. The negative covenants include, among other provisions, covenants that limit or restrict our ability to incur liens, make investments, incur indebtedness, merge with or acquire other entities, dispose of assets, make dividends or other distributions to holders of its equity interests, engage in any material new line of business or enter into certain transactions with affiliates, in each case subject to certain exceptions. The Credit Agreement also includes financial covenants requiring minimum cash and cash equivalents balances and minimum revenues. To the extent we form or acquire certain subsidiaries domiciled in the United States, those subsidiaries are required to be guarantors of our obligations under the Credit Agreement. As of June 30, 2016, we were in compliance with the loan covenants.</w:t>
      </w:r>
    </w:p>
    <w:p>
      <w:pPr>
        <w:spacing w:after="0" w:line="189"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In June 2013, we entered into a loan and security agreement as subsequently amended (“2013 Loan Agreement”) with a financial institution that provided for borrowings of up to $10.0 million in aggregate. Borrowings under the 2013 Loan Agreement totaled $5.0 million, which was outstanding at January 1, 2015 and into 2016 until such amount was repaid upon us entering into the Credit Agreement discussed above.</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expect that our near- and longer-term liquidity requirements will continue to consist of selling and marketing expenses, research and development expenses, working capital and general corporate expenses associated with the growth of our business. However, we may also use cash to acquire or invest in complementary businesses, technologies, services or products that would change our cash requirements. If we are not able to generate revenue to finance our cash requirements, we</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118" w:right="259" w:bottom="1440" w:gutter="0" w:footer="0" w:header="0"/>
        </w:sectPr>
      </w:pPr>
    </w:p>
    <w:bookmarkStart w:id="27" w:name="page28"/>
    <w:bookmarkEnd w:id="2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will need to finance future cash needs primarily through public or private equity offerings, debt financings, borrowings or strategic collaborations or licensing arrangements. If we raise funds by issuing equity securities, dilution to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Our current credit agreement imposes restrictions on our operations, increases our fixed payment obligations and has restrictive covenants.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In addition, we may have to work with a partner on one or more of our products or development programs, which could lower the economic value of those programs to us.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six months ended June 30, 2016 and 2015 (in thousands of dollars):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(20,333)</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19,810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37,749</w:t>
            </w:r>
          </w:p>
        </w:tc>
      </w:tr>
      <w:tr>
        <w:trPr>
          <w:trHeight w:val="27"/>
        </w:trPr>
        <w:tc>
          <w:tcPr>
            <w:tcW w:w="8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Cash used in operating activities for the six months ended June 30, 2016 was $16.3 million. The net loss of $21.3 million includes non-cash charges of $0.7 million in amortization of the deferred fee received from Genzyme, offset primarily by $3.2 million of stock-based compensation expense, $1.7 million of depreciation and amortization, which includes $0.5 million of intangible asset amortization, $0.3 million in interest and prepayment penalty relating to the repayment of our borrowings under our Amended Loan and $0.2 million from conversion of accrued interest to long-term debt. Cash generated as a result of changes in operating assets and liabilities of $0.3 million is primarily due to a decrease in supplies inventory of $0.3 million.</w:t>
      </w:r>
    </w:p>
    <w:p>
      <w:pPr>
        <w:spacing w:after="0" w:line="18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Cash used in operating activities for the six months ended June 30, 2015 was $20.3 million. The net loss of $16.7 million includes non-cash charges of $0.9 million in amortization of the deferred fee received from Genzyme, offset primarily by $2.7 million of stock-based compensation expense and $1.0 million of depreciation and amortization. Cash used as a result in changes in operating assets and liabilities of $6.5 million was primarily due to a $5.2 million decrease in accounts payable and accrued liabilities resulting from the timing of payments, and increases in accounts receivable, prepaid expenses and other current assets and supplies inventory of $1.3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22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for the six months ended June 30, 2016 was $3.6 million for the acquisition of property and equipment, primarily for the build out of office space and the new laboratory for our new South San Francisco facility.</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for the six months ended June 30, 2015 was $1.4 million, of which $0.9 million was used for the acquisition of property and equipment. Additionally, we restricted additional cash of $0.5 million, consisting of $0.6 million in conjunction with collateral for an irrevocable standby letter of credit as security for our new headquarters, offset by approximately $0.1 million of cash used to pay down liabilities associated with the acquisition of Allegro.</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229"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Cash provided by financing activities for the six months ended June 30, 2016 was $19.8 million. The financing activities for the six months ended June 30, 2016 consisted of $24.5 million of net proceeds from the draw-down of the Initial Term Loan of the Credit Agreement and $0.6 million from the exercise of options to purchase our common stock, partially offset by the payment of $5.0 million for the remaining principal balance and a $0.3 million of end-of-term payment and prepayment penalty related to our previous loan and security agreement cancelled on March 30, 2016.</w:t>
      </w:r>
    </w:p>
    <w:p>
      <w:pPr>
        <w:spacing w:after="0" w:line="180"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for the six months ended June 30, 2015 of $37.7 million consisted of $37.3 million net proceeds from our sale of common stock in a private placement and $0.5 million from the exercise of options to purchase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certain contractual obligations as of June 30, 2016 (in thousands of dollars):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320" w:type="dxa"/>
            <w:vAlign w:val="bottom"/>
          </w:tcPr>
          <w:p>
            <w:pPr>
              <w:spacing w:after="0"/>
              <w:rPr>
                <w:sz w:val="12"/>
                <w:szCs w:val="12"/>
                <w:color w:val="auto"/>
              </w:rPr>
            </w:pPr>
          </w:p>
        </w:tc>
        <w:tc>
          <w:tcPr>
            <w:tcW w:w="1040" w:type="dxa"/>
            <w:vAlign w:val="bottom"/>
          </w:tcPr>
          <w:p>
            <w:pPr>
              <w:jc w:val="right"/>
              <w:ind w:right="436"/>
              <w:spacing w:after="0" w:line="149" w:lineRule="exact"/>
              <w:rPr>
                <w:sz w:val="20"/>
                <w:szCs w:val="20"/>
                <w:color w:val="auto"/>
              </w:rPr>
            </w:pPr>
            <w:r>
              <w:rPr>
                <w:rFonts w:ascii="Times New Roman" w:cs="Times New Roman" w:eastAsia="Times New Roman" w:hAnsi="Times New Roman"/>
                <w:sz w:val="14"/>
                <w:szCs w:val="14"/>
                <w:b w:val="1"/>
                <w:bCs w:val="1"/>
                <w:color w:val="auto"/>
              </w:rPr>
              <w:t>1 to 3</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3 to 5</w:t>
            </w:r>
          </w:p>
        </w:tc>
        <w:tc>
          <w:tcPr>
            <w:tcW w:w="240" w:type="dxa"/>
            <w:vAlign w:val="bottom"/>
          </w:tcPr>
          <w:p>
            <w:pPr>
              <w:spacing w:after="0"/>
              <w:rPr>
                <w:sz w:val="12"/>
                <w:szCs w:val="12"/>
                <w:color w:val="auto"/>
              </w:rPr>
            </w:pPr>
          </w:p>
        </w:tc>
        <w:tc>
          <w:tcPr>
            <w:tcW w:w="12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320" w:type="dxa"/>
            <w:vAlign w:val="bottom"/>
          </w:tcPr>
          <w:p>
            <w:pPr>
              <w:spacing w:after="0"/>
              <w:rPr>
                <w:sz w:val="12"/>
                <w:szCs w:val="12"/>
                <w:color w:val="auto"/>
              </w:rPr>
            </w:pPr>
          </w:p>
        </w:tc>
        <w:tc>
          <w:tcPr>
            <w:tcW w:w="104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4,245</w:t>
            </w:r>
          </w:p>
        </w:tc>
        <w:tc>
          <w:tcPr>
            <w:tcW w:w="4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4,108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11,956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21,356</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 obligations</w:t>
            </w:r>
          </w:p>
        </w:tc>
        <w:tc>
          <w:tcPr>
            <w:tcW w:w="2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9,447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15,745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25,192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Supplies purchase commitments</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1,130</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2,177</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4,245</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13,555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27,701</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47,678</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April 2015, we signed a non-cancelable lease agreement for approximately 59,000 square feet to serve as our new South San Francisco facility.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lease began in June 2015 and expires in March 2026, and contains extension of lease term and expansion options.</w:t>
      </w:r>
    </w:p>
    <w:p>
      <w:pPr>
        <w:spacing w:after="0" w:line="207"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In November 2012, we entered into a non-cancelable lease agreement commencing February 2013 for our laboratory and office space in Austin, Texas. The lease expires in July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not entered into any off-balance sheet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ind w:right="60" w:firstLine="648"/>
        <w:spacing w:after="0" w:line="277" w:lineRule="auto"/>
        <w:rPr>
          <w:sz w:val="20"/>
          <w:szCs w:val="20"/>
          <w:color w:val="auto"/>
        </w:rPr>
      </w:pPr>
      <w:r>
        <w:rPr>
          <w:rFonts w:ascii="Times New Roman" w:cs="Times New Roman" w:eastAsia="Times New Roman" w:hAnsi="Times New Roman"/>
          <w:sz w:val="17"/>
          <w:szCs w:val="17"/>
          <w:color w:val="auto"/>
        </w:rPr>
        <w:t xml:space="preserve">In May 2014, the Financial Accounting Standards Board, or FASB, issued Accounting Standards Update, or ASU, No. 2014-09, </w:t>
      </w:r>
      <w:r>
        <w:rPr>
          <w:rFonts w:ascii="Times New Roman" w:cs="Times New Roman" w:eastAsia="Times New Roman" w:hAnsi="Times New Roman"/>
          <w:sz w:val="17"/>
          <w:szCs w:val="17"/>
          <w:i w:val="1"/>
          <w:iCs w:val="1"/>
          <w:color w:val="auto"/>
        </w:rPr>
        <w:t>Revenue from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Contracts with Customers</w:t>
      </w:r>
      <w:r>
        <w:rPr>
          <w:rFonts w:ascii="Times New Roman" w:cs="Times New Roman" w:eastAsia="Times New Roman" w:hAnsi="Times New Roman"/>
          <w:sz w:val="17"/>
          <w:szCs w:val="17"/>
          <w:color w:val="auto"/>
        </w:rPr>
        <w:t>, requiring an entity to recognize the amount of revenue to which it expects to be entitled for the transfer of promised goods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services to customers. The updated standard will replace most existing revenue recognition guidance in GAAP when it becomes effective and permits the use of either the retrospective or cumulative effect transition method. Adoption is permitted as early as the first quarter of 2017 and is required by the first quarter of 2018. We have not yet selected a transition method and are currently evaluating the potential effect of the updated standard on our financial statements.</w:t>
      </w:r>
    </w:p>
    <w:p>
      <w:pPr>
        <w:spacing w:after="0" w:line="168"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August 2014, FASB issued Accounting Standards Update No. 2014-15, </w:t>
      </w:r>
      <w:r>
        <w:rPr>
          <w:rFonts w:ascii="Times New Roman" w:cs="Times New Roman" w:eastAsia="Times New Roman" w:hAnsi="Times New Roman"/>
          <w:sz w:val="18"/>
          <w:szCs w:val="18"/>
          <w:i w:val="1"/>
          <w:iCs w:val="1"/>
          <w:color w:val="auto"/>
        </w:rPr>
        <w:t>Presentation of Financial Statements Going Concern - Disclosure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Uncertainties about an Entity’s Ability to Continue as a Going Concern</w:t>
      </w:r>
      <w:r>
        <w:rPr>
          <w:rFonts w:ascii="Times New Roman" w:cs="Times New Roman" w:eastAsia="Times New Roman" w:hAnsi="Times New Roman"/>
          <w:sz w:val="18"/>
          <w:szCs w:val="18"/>
          <w:color w:val="auto"/>
        </w:rPr>
        <w:t>. The amendments require management to assess an entity’s ability to continue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going concern by incorporating and expanding upon certain principles that are currently in U.S. auditing standards. Specifically, the amendments: (1) provide a definition of the term substantial doubt; (2) require an evaluation every reporting period including interim periods; (3) provide principles for considering the mitigating effect of management’s plans; (4) require certain disclosures when substantial doubt is alleviated as a result of consideration of management’s plans; (5) require an express statement and other disclosures when substantial doubt is not alleviated; and (6) require an assessment for a period of one year after the date that the financial statements are issued (or available to be issued). ASU 2014-15 will be effective for annual periods ending after December 15, 2016 and interim periods within annual periods beginning after December 15, 2016 with early adoption permitted. ASU 2014-15 will be effective for us beginning with our annual report for 2016 and interim periods thereafter. We do not anticipate that the adoption of this ASU will have a significant impact on our financial statements.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April 2015, the FASB issued ASU No. 2015-03, </w:t>
      </w:r>
      <w:r>
        <w:rPr>
          <w:rFonts w:ascii="Times New Roman" w:cs="Times New Roman" w:eastAsia="Times New Roman" w:hAnsi="Times New Roman"/>
          <w:sz w:val="18"/>
          <w:szCs w:val="18"/>
          <w:i w:val="1"/>
          <w:iCs w:val="1"/>
          <w:color w:val="auto"/>
        </w:rPr>
        <w:t>Simplifying the Presentation of Debt Issuance Costs</w:t>
      </w:r>
      <w:r>
        <w:rPr>
          <w:rFonts w:ascii="Times New Roman" w:cs="Times New Roman" w:eastAsia="Times New Roman" w:hAnsi="Times New Roman"/>
          <w:sz w:val="18"/>
          <w:szCs w:val="18"/>
          <w:color w:val="auto"/>
        </w:rPr>
        <w:t>, to require debt issuance costs to be presented as an offset against debt outstanding. The update does not change current guidance on the recognition and measurement of debt issuance costs. The ASU is effective for interim and annual periods beginning after December 15, 2015. Adoption of the ASU is retrospective to each prior period presented. We have adopted this ASU and the retrospective adjustment of the prior period presentation was not material.</w:t>
      </w:r>
    </w:p>
    <w:p>
      <w:pPr>
        <w:spacing w:after="0" w:line="180"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7"/>
          <w:szCs w:val="17"/>
          <w:color w:val="auto"/>
        </w:rPr>
        <w:t xml:space="preserve">In November 2015, the FASB issued ASU 2015-17, </w:t>
      </w:r>
      <w:r>
        <w:rPr>
          <w:rFonts w:ascii="Times New Roman" w:cs="Times New Roman" w:eastAsia="Times New Roman" w:hAnsi="Times New Roman"/>
          <w:sz w:val="17"/>
          <w:szCs w:val="17"/>
          <w:i w:val="1"/>
          <w:iCs w:val="1"/>
          <w:color w:val="auto"/>
        </w:rPr>
        <w:t>Balance Sheet Classification of Deferred Taxes</w:t>
      </w:r>
      <w:r>
        <w:rPr>
          <w:rFonts w:ascii="Times New Roman" w:cs="Times New Roman" w:eastAsia="Times New Roman" w:hAnsi="Times New Roman"/>
          <w:sz w:val="17"/>
          <w:szCs w:val="17"/>
          <w:color w:val="auto"/>
        </w:rPr>
        <w:t>. The ASU requires that deferred tax assets and liabilities be classified as noncurrent in the statement of financial position, thereby simplifying the current guidance that requires an entity to separate deferred assets and liabilities into current and noncurrent amounts. This ASU will be effective for us beginning in the first quarter of 2018 though early adoption is permitted. We early-adopted this ASU as of December 31, 2015 and the impact of adoption on our statement of financial position was not material.</w:t>
      </w:r>
    </w:p>
    <w:p>
      <w:pPr>
        <w:spacing w:after="0" w:line="162" w:lineRule="exact"/>
        <w:rPr>
          <w:sz w:val="20"/>
          <w:szCs w:val="20"/>
          <w:color w:val="auto"/>
        </w:rPr>
      </w:pPr>
    </w:p>
    <w:p>
      <w:pPr>
        <w:ind w:right="2160" w:firstLine="648"/>
        <w:spacing w:after="0" w:line="277" w:lineRule="auto"/>
        <w:rPr>
          <w:sz w:val="20"/>
          <w:szCs w:val="20"/>
          <w:color w:val="auto"/>
        </w:rPr>
      </w:pPr>
      <w:r>
        <w:rPr>
          <w:rFonts w:ascii="Times New Roman" w:cs="Times New Roman" w:eastAsia="Times New Roman" w:hAnsi="Times New Roman"/>
          <w:sz w:val="17"/>
          <w:szCs w:val="17"/>
          <w:color w:val="auto"/>
        </w:rPr>
        <w:t xml:space="preserve">In February 2016, the FASB issued ASU No. 2016-2,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This ASU is aimed at making leasing activities more transparent and comparable, and requires substantially all leases be recognized by lessees on their balance sheet as a right-of-use</w:t>
      </w:r>
    </w:p>
    <w:p>
      <w:pPr>
        <w:spacing w:after="0" w:line="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asset and corresponding lease liability, including leases currently accounted for as operating leases. The ASU will be effective for interim and annual periods beginning after December 15, 2018. Early adoption is permitted. We are currently evaluating the potential effect of the updated standard on our financial statements.</w:t>
      </w:r>
    </w:p>
    <w:p>
      <w:pPr>
        <w:spacing w:after="0" w:line="184"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March 2016, the FASB issued ASU 2016-09,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related to the tax effects of share-based awards. This ASU requires that all the tax effects of share-based awards be recorded through the income statement, thereby simplifying the current guidance that requires excess tax benefits and certain excess tax deficiencies to be recorded in equity. The ASU will be effective for interim and annual periods beginning after December 15, 2016. We do not anticipate that the adoption of this ASU will have a significant impact on our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relate to interest rates. We had cash and cash equivalents of $39.0 million as of June 30, 2016 which include bank deposits and money market funds. Such interest-bearing instruments carry a degree of risk; however, a hypothetical 10% change in interest rates during any of the periods presented would not have had a material impact on our unaudited interim condensed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 13a-15(e) under the Securities Exchange Act of 1934, or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86"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Based on their evaluation as of the end of the period covered by this Quarterly Report on Form 10-Q, our Chief Executive Officer and Chief Financial Officer have concluded that, as of such date, our disclosure controls and procedures were effective at the reasonable assurance level.</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(b) Changes in Internal Control over Financial Reporting</w:t>
      </w:r>
    </w:p>
    <w:p>
      <w:pPr>
        <w:spacing w:after="0" w:line="22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 13a-15(f) under the Exchange Act) identified in connection with the evaluation identified above that occurred during the quarter ended June 30, 2016 that have materially affected, or are reasonably likely to materially affect, our internal control over financial reporting.</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early-stage company with a history of losses, and we expect to incur net losses for the foreseeable future and may never achieve or sustain profitability.</w:t>
      </w:r>
    </w:p>
    <w:p>
      <w:pPr>
        <w:spacing w:after="0" w:line="15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have incurred net losses since our inception. For the six months ended June 30, 2016, we had a net loss of $21.3 million and we expect to incur additional losses for the remainder of 2016 and in future years. As of June 30, 2016, we had an accumulated deficit of $170.0 million. We may never achieve revenue sufficient to offset our expenses. Over the next couple of years, we expect to continue to devote substantially all of our resources to increase adoption of, and reimbursement for, Afirma, as well as our lung cancer test, Percepta, which we launched in April 2015, and the development of additional tests we plan to commercialize, including our test for Idiopathic Pulmonary Fibrosis, or IPF. We may never achieve or sustain profitability, and our failure to achieve and sustain profitability in the future could cause the market price of our common stock to decline.</w:t>
      </w:r>
    </w:p>
    <w:p>
      <w:pPr>
        <w:spacing w:after="0" w:line="184"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results depend on sales of Afirma, and we will need to generate sufficient revenue from this and other diagnostic solutions to grow our business.</w:t>
      </w:r>
    </w:p>
    <w:p>
      <w:pPr>
        <w:spacing w:after="0" w:line="15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All of our revenues have been derived from the sale of Afirma, which we commercially launched in January 2011. For the foreseeable future, we expect to derive substantially all of our revenue from sales of Afirma and, to a lesser extent, from the sale of Percepta, our first product in pulmonology for lung cancer that we launched in April 2015. In addition, we are in various stages of research and development for other diagnostic solutions that we may offer, but there can be no assurance that we will be able to identify other diseases that can be effectively addressed with our molecular cytology platform or, if we are able to identify such diseases, whether or when we will be able to successfully commercialize these solutions. If we are unable to increase sales and expand reimbursement for Afirma, or secure reimbursement for Percepta and develop and commercialize other solutions, our revenue and our ability to achieve and sustain profitability would be impaired, and the market price of our common stock could decline.</w:t>
      </w:r>
    </w:p>
    <w:p>
      <w:pPr>
        <w:spacing w:after="0" w:line="18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a few payers for a significant portion of our revenue and if one or more significant payers stops providing reimbursement or decreases the amount of reimbursement for our tests, our revenue could decline.</w:t>
      </w:r>
    </w:p>
    <w:p>
      <w:pPr>
        <w:spacing w:after="0" w:line="15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Revenue for tests performed on patients covered by Medicare and UnitedHealthcare was 30% and 12%, respectively, of our revenue for the six months ended June 30, 2016, compared with 26% and 14%, respectively, in the six months ended June 30, 2015. The percentage of our revenue derived from significant payers is expected to fluctuate from period to period as our revenue increases, as additional payers provide reimbursement for our tests or if one or more payers were to stop reimbursing for our tests or change their reimbursed amounts. Effective January 2012, Palmetto GBA, the regional Medicare administrative contractor, or MAC, that handled claims processing for Medicare services with jurisdiction at that time, issued coverage and payment determinations for the Afirma Gene Expression Classifier, or GEC. On a five-year rotational basis, Medicare requests bids for its regional MAC services. Any future changes in the MAC processing or coding for Medicare claims for the Afirma GEC could result in a change in the coverage or reimbursement rates for such products, or the loss of coverage. On March 1, 2015, a separate CPT code, or Current Procedural Terminology code, for the Afirma GEC was issued. In November 2015, the Centers for Medicare &amp; Medicaid Services, or CMS, issued a final determination to establish a national limitation amount for this new CPT code under the gapfill process through the regional MACs for 2017. This maintained our 2016 rate at $3,200. On June 10, 2016, CMS released a preliminary 2017 gapfill rate for the Afirma GEC of $2,240. This preliminary rate is open to public comment for 60 days. We intend to appeal the proposed reduction. The GEC rate will be finalized later this year and be effective January 1, 2017 and remain in effect for 2017. We do not yet know whether the gapfill process for GEC will impact the 2017 Medicare payment rate. A decrease in the current Medicare payment rate for our tests may also decrease the payment rates for some of our commercial payers if they tie their allowable rates to Medicare, which may have an adverse effect on our business, financial condition and results of operations.</w:t>
      </w:r>
    </w:p>
    <w:p>
      <w:pPr>
        <w:spacing w:after="0" w:line="19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Although we have entered into contracts with certain third-party payers which establish in-network allowable rates of reimbursement for our Afirma tests, payers may suspend or discontinue reimbursement at any time, may require or increase co-payments from patients, or may reduce the reimbursement rates paid to us. Any such actions could have a negative effect on our revenue.</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118" w:right="259" w:bottom="1440" w:gutter="0" w:footer="0" w:header="0"/>
        </w:sectPr>
      </w:pPr>
    </w:p>
    <w:bookmarkStart w:id="31" w:name="page32"/>
    <w:bookmarkEnd w:id="3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payers do not provide reimbursement, rescind or modify their reimbursement policies, delay payments for our tests, recoup past payments, or if we are unable to successfully negotiate additional reimbursement contracts, our commercial success could be compromised.</w:t>
      </w:r>
    </w:p>
    <w:p>
      <w:pPr>
        <w:spacing w:after="0" w:line="15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Physicians may not order our tests unless payers reimburse a substantial portion of the test price. There is significant uncertainty concerning third-party reimbursement of any test incorporating new technology, including our tests. Reimbursement by a payer may depend on a number of factors, including a payer’s determination that these tests are:</w:t>
      </w:r>
    </w:p>
    <w:p>
      <w:pPr>
        <w:spacing w:after="0" w:line="176"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experimental or investigational;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pre-authorized and appropriate for the specific patient;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supported by peer-reviewed publications;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clinical practice guidelines.</w:t>
      </w:r>
    </w:p>
    <w:p>
      <w:pPr>
        <w:spacing w:after="0" w:line="225"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Since each payer makes its own decision as to whether to establish a coverage policy or enter into a contract to reimburse our tests, seeking these approvals is a time-consuming and costly process.</w:t>
      </w:r>
    </w:p>
    <w:p>
      <w:pPr>
        <w:spacing w:after="0" w:line="16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do not have a contracted rate of reimbursement with many payers for Afirma, and we do not have any contracted reimbursement with respect to Percepta. Without a contracted rate for reimbursement, our claims are often denied upon submission, and we must appeal the claims. The appeals process is time consuming and expensive, and may not result in payment. In cases where there is not a contracted rate for reimbursement, there is typically a greater patient co-insurance or co-payment requirement which may result in further delay or decreased likelihood of collection. Payers may attempt to recoup prior payments after review, sometimes after significant time has passed, which would impact future revenue.</w:t>
      </w:r>
    </w:p>
    <w:p>
      <w:pPr>
        <w:spacing w:after="0" w:line="184"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We expect to continue to focus substantial resources on increasing adoption, coverage and reimbursement for the Afirma GEC, Afirma Malignancy Classifiers, launched in May 2014, and Percepta, launched in 2015, as well as any other future tests we may develop. We believe it will take several years to achieve coverage and contracted reimbursement with a majority of third-party payers. However, we cannot predict whether, under what circumstances, or at what payment levels payers will reimburse for our tests. Also, payer consolidation is underway and creates uncertainty as to whether coverage and contracts with existing payers will remain in effect. Finally, commercial payers may tie their allowable rates to Medicare rates, and should Medicare reduce their rates, we may be negatively impacted. Our failure to establish broad adoption of and reimbursement for our tests, or our inability to maintain existing reimbursement from payers, will negatively impact our ability to generate revenue and achieve profitability, as well as our future prospects and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limits on our revenue if physicians decide not to order our tests.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If we are unable to create or maintain demand for our tests in sufficient volume, we may not become profitable. To generate demand, we will need to continue to educate physicians about the benefits and cost-effectiveness of our tests through published papers, presentations at scientific conferences, marketing campaigns and one-on-one education by our sales force. In addition, our ability to obtain and maintain adequate reimbursement from third-party payers will be critical to generating revenue.</w:t>
      </w:r>
    </w:p>
    <w:p>
      <w:pPr>
        <w:spacing w:after="0" w:line="18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Several existing guidelines and historical practices in the United States regarding indeterminate thyroid nodule fine needle aspiration, or FNA, results recommend a full or partial surgical thyroidectomy in most cases. Accordingly, physicians may be reluctant to order a diagnostic solution that may suggest surgery is unnecessary where some current guidelines and historical practice have typically led to such procedures. Moreover, our diagnostic services often are performed at a specialized clinical reference laboratory rather than by a pathologist in a local laboratory, so pathologists may be reluctant to support our services. In addition, guidelines for the diagnosis and treatment of thyroid nodules may subsequently be revised to recommend another type of treatment protocol, and these changes may result in medical practitioners deciding not to use Afirma. These facts may make physicians reluctant to convert to using or continuing to use Afirma, which could limit our ability to generate revenue and our ability to achieve profitability. To the extent international markets have existing practices and standards of care which are different than those in the United States, we may face challenges with the adoption of Afirma outside the United States.</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380"/>
          </w:cols>
          <w:pgMar w:left="240" w:top="118" w:right="279" w:bottom="1440" w:gutter="0" w:footer="0" w:header="0"/>
        </w:sectPr>
      </w:pPr>
    </w:p>
    <w:bookmarkStart w:id="32" w:name="page33"/>
    <w:bookmarkEnd w:id="3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Due to how we recognize revenue, our quarterly operating results are likely to fluctuate.</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For tests performed where we have an agreed upon reimbursement rate or we are able to estimate the amount that will ultimately be realized at the time delivery of a patient report is complete, such as in the case of Medicare and certain other payers, we recognize the related revenue upon delivery of a patient report to the prescribing physician based on the established billing rate less contractual and other adjustments to arrive at the amount that we expect to realize. We determine the amount we expect to realize based on a per payer, per contract or agreement basis. In the first period in which revenue is accrued for a particular payer, there generally is a one-time increase in revenue. Upon ultimate collection, the amount received from Medicare and other payers where reimbursement was estimated is compared to previous estimates and the contractual allowance is adjusted accordingly. In situations where we cannot estimate the amount that will ultimately be collected, we recognize revenue upon the earlier of receipt of third-party notification of payment or when cash is received. We have little visibility as to when we will receive payment for our diagnostic tests, and we must appeal negative payment decisions, which delays collections. We may receive a large number of past payments from a payer all at once, which might cause a one-time increase in revenue. These factors have and will likely continue to result in fluctuations in our quarterly revenue. Should we recognize revenue from payers on an accrual basis and later determine the judgments underlying estimated reimbursement change, or were incorrect at the time we accrued such revenue, our financial results could be negatively impacted in future quarters. As a result, comparing our operating results on a period-to-period basis may not be meaningful. You should not rely on our past results as an indication of our future performance. In addition, these fluctuations in revenue may make it difficult for us, research analysts and investors to accurately forecast our revenue and operating results. If our revenue or operating results fall below expectations, the price of our common stock would likely decline.</w:t>
      </w:r>
    </w:p>
    <w:p>
      <w:pPr>
        <w:spacing w:after="0" w:line="193"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sole suppliers for some of the reagents, equipment, chips and other materials used to perform our tests, and we may not be able to find replacements or transition to alternative suppliers.</w:t>
      </w:r>
    </w:p>
    <w:p>
      <w:pPr>
        <w:spacing w:after="0" w:line="15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rely on sole suppliers for critical supply of reagents, equipment, chips and other materials that we use to perform our tests. We also purchase components used in our collection kits from sole-source suppliers. Some of these items are unique to these suppliers and vendors. In addition, we utilize a sole source to assemble and distribute our sample collection kits. While we have developed alternate sourcing strategies for these materials and vendors, we cannot be certain whether these strategies will be effective or the alternative sources will be available when we need them. If these suppliers can no longer provide us with the materials we need to perform the tests and for our collection kits, if the materials do not meet our quality specifications or are otherwise unusable, if we cannot obtain acceptable substitute materials, or if we elect to change suppliers, an interruption in test processing could occur, we may not be able to deliver patient reports and we may incur higher one-time switching costs. Any such interruption may significantly affect our future revenue, cause us to incur higher costs, and harm our customer relationships and reputation. In addition, in order to mitigate these risks, we maintain inventories of these supplies at higher levels than would be the case if multiple sources of supply were available. If our test volume decreases or we switch suppliers, we may hold excess inventory with expiration dates that occur before use which would adversely affect our losses and cash flow position. As we introduce any new test, we may experience supply issues as we ramp test volume.</w:t>
      </w:r>
    </w:p>
    <w:p>
      <w:pPr>
        <w:spacing w:after="0" w:line="18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a specialized cytopathology practice to perform the cytopathology component of Afirma, and our ability to perform our diagnostic solution would be harmed if we were required to secure a replacement.</w:t>
      </w:r>
    </w:p>
    <w:p>
      <w:pPr>
        <w:spacing w:after="0" w:line="159"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We rely on Thyroid Cytopathology Partners, P.A., or TCP, to provide cytopathology professional diagnoses on thyroid FNA samples pursuant to a pathology services agreement. Pursuant to this agreement, TCP has the exclusive right to provide the cytopathology diagnoses on FNA samples at a fixed price per test. We have also agreed to allow TCP to co-locate in a portion of our facilities in Austin, Texas. Our agreement with TCP was effective through December 31, 2015 and automatically renews every year thereafter unless either party provides notice of intent not to renew at least 12 months prior to the end of the then-current term.</w:t>
      </w:r>
    </w:p>
    <w:p>
      <w:pPr>
        <w:spacing w:after="0" w:line="184" w:lineRule="exact"/>
        <w:rPr>
          <w:sz w:val="20"/>
          <w:szCs w:val="20"/>
          <w:color w:val="auto"/>
        </w:rPr>
      </w:pPr>
    </w:p>
    <w:p>
      <w:pPr>
        <w:jc w:val="both"/>
        <w:ind w:right="220" w:firstLine="648"/>
        <w:spacing w:after="0" w:line="258" w:lineRule="auto"/>
        <w:rPr>
          <w:sz w:val="20"/>
          <w:szCs w:val="20"/>
          <w:color w:val="auto"/>
        </w:rPr>
      </w:pPr>
      <w:r>
        <w:rPr>
          <w:rFonts w:ascii="Times New Roman" w:cs="Times New Roman" w:eastAsia="Times New Roman" w:hAnsi="Times New Roman"/>
          <w:sz w:val="18"/>
          <w:szCs w:val="18"/>
          <w:color w:val="auto"/>
        </w:rPr>
        <w:t>If TCP were not able to support our current test volume or future increases in test volume or to provide the quality of services we require, or if we were unable to agree on commercial terms and our relationship with TCP were to terminate, our business would be harmed until we were able to secure the services of another cytopathology provider. There can be no assurance that we would be successful in finding a replacement that would be able to conduct cytopathology diagnoses at the same volume or with the same high-quality results as TCP. Locating another suitable cytopathology provider could be time consuming and would result in delays in processing Afirma tests until a replacement was fully integrated with our test processing operations.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support demand for our commercial tests, our business could suffer.</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As demand for Afirma and Percepta grows, we will need to continue to scale our testing capacity and processing technology, expand customer service, billing and systems processes and enhance our internal quality assurance program. We will also need additional certified laboratory scientists and other scientific and technical personnel to process higher volumes of our tests. We cannot assure you that any increases in scale, related improvements and quality assurance will be successfully implemented or that appropriate personnel will be available. Failure to implement necessary procedures, transition to new processes or hire the necessary personnel could result in higher costs of processing tests, quality control issues or inability to meet demand. There can be no assurance that we will be able to perform our testing on a timely basis at a level consistent with demand, or that our efforts to scale our operations will not negatively affect the quality of test results. If we encounter difficulty meeting market demand or quality standards, our reputation could be harmed and our future prospects and our business could suffer.</w:t>
      </w:r>
    </w:p>
    <w:p>
      <w:pPr>
        <w:spacing w:after="0" w:line="18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healthcare policy, including legislation reforming the U.S. healthcare system, may have a material adverse effect on our financial condition and operations.</w:t>
      </w:r>
    </w:p>
    <w:p>
      <w:pPr>
        <w:spacing w:after="0" w:line="15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Patient Protection and Affordable Care Act, as amended by the Health Care and Education Affordability Reconciliation Act, collectively the ACA, enacted in March 2010, makes changes that are expected to significantly affect the pharmaceutical and medical device industries and clinical laboratories. Effective January 1, 2013, the ACA includes a 2.3% excise tax on the sale of certain medical devices sold outside of the retail setting. Although a moratorium has been imposed on this excise tax for 2016 and 2017, the excise tax is scheduled to be restored in 2018.</w:t>
      </w:r>
    </w:p>
    <w:p>
      <w:pPr>
        <w:spacing w:after="0" w:line="180"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Other significant measures contained in the ACA include, for example, coordination and promotion of research on comparative clinical effectiveness of different technologies and procedures, initiatives to revise Medicare payment methodologies, such as bundling of payments across the continuum of care by providers and physicians, and initiatives to promote quality indicators in payment methodologies. The ACA also includes significant new fraud and abuse measures, including required disclosures of financial arrangements with physician customers, lower thresholds for violations and increasing potential penalties for such violations. In addition, the ACA establishes an Independent Payment Advisory Board, or IPAB, to reduce the per capita rate of growth in Medicare spending. The IPAB has broad discretion to propose policies to reduce expenditures, which may have a negative effect on payment rates for services. The IPAB proposals may affect payments for clinical laboratory services beginning in 2016 and for hospital services beginning in 2020. We are monitoring the effect of the ACA to determine the trends and changes that may be necessitated by the legislation, any of which may potentially affect our business.</w:t>
      </w:r>
    </w:p>
    <w:p>
      <w:pPr>
        <w:spacing w:after="0" w:line="18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addition to the ACA, the effect of which on our business cannot presently be fully quantified, various healthcare reform proposals have also emerged from federal and state governments. For example, in February 2012, Congress passed the Middle Class Tax Relief and Job Creation Act of 2012, which in part resets the clinical laboratory payment rates on the Medicare CLFS by 2% in 2013. In addition, under the Budget Control Act of 2011, which is effective for dates of service on or after April 1, 2013, Medicare payments, including payments to clinical laboratories, are subject to a reduction of 2% due to the automatic expense reductions (sequester) until fiscal year 2024. Reductions resulting from the Congressional sequester are applied to total claims payment made; however, they do not currently result in a rebasing of the negotiated or established Medicare or Medicaid reimbursement rates.</w:t>
      </w:r>
    </w:p>
    <w:p>
      <w:pPr>
        <w:spacing w:after="0" w:line="188"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State legislation on reimbursement applies to Medicaid reimbursement and managed Medicaid reimbursement rates within that state. Some states have passed or proposed legislation that would revise reimbursement methodology for clinical laboratory payment rates under those Medicaid programs. We cannot predict whether future healthcare initiatives will be implemented at the federal or state level or in countries outside of the United States in which we may do business, or the effect any future legislation or regulation will have on us. The taxes imposed by the new federal legislation, cost reduction measures and the expansion in the role of the U.S. government in the healthcare industry may result in decreased revenue, lower reimbursement by payers for our tests or reduced medical procedure volumes, all of which may adversely affect our business, financial condition and results of operations. In addition, sales of our tests outside the United States subject our business to foreign regulatory requirements and cost-reduction measures, which may also change over time.</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Ongoing calls for deficit reduction at the Federal government level and reforms to programs such as the Medicare program to pay for such reductions may affect the pharmaceutical, medical device and clinical laboratory industries. Currently, clinical laboratory services are excluded from the Medicare Part B co-insurance and co-payment as preventative services. Any requirement for clinical laboratories to collect co-payments from patients may increase our costs and reduce the amount ultimately collected.</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CMS announced plans to bundle payments for clinical laboratory diagnostic tests together with other services performed during hospital outpatient visits under the Hospital Outpatient Prospective Payment System. For calendar year 2016, CMS maintained an exemption for molecular pathology tests from this packaging provision. It is possible that this exemption could be removed by CMS in future rule making, which might result in lower reimbursement for tests performed in this setting.</w:t>
      </w:r>
    </w:p>
    <w:p>
      <w:pPr>
        <w:spacing w:after="0" w:line="180"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Protecting Access to Medicare Act of 2014, or PAMA, includes a substantial new payment system for clinical laboratory tests under the CLFS. Under PAMA, laboratories that receive the majority of their Medicare revenues from payments made under the CLFS would report initially and then on a subsequent three year basis thereafter (or annually for advanced diagnostic laboratory tests, or ADLTs), private payer payment rates and volumes for their tests. The final PAMA ruling was issued June 17, 2016 indicating that data for reporting for the new PAMA process will begin in 2017 and the new market based rates will take effect January 1, 2018. CMS will use the rates and volumes reported by laboratories to develop Medicare payment rates for the tests equal to the volume-weighted median of the private payer payment rates for the tests. We believe that the final PAMA regulations are generally favorable for us. The private payer rate will be calculated based on claims whose adjudication is final and will be inclusive of patient deductible and co-insurance amounts. Additionally, we believe our Afirma GEC as well as our Percepta test, once covered, would be considered ADLTs and that we can determine when to seek ADLT status. We cannot assure you that reimbursement rates under the final regulations for tests like ours will not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of Medicare billing rules, we may not receive reimbursement for all tests provided to Medicare patients.</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Under current Medicare billing rules, payment for our tests performed on Medicare beneficiaries who were hospital inpatients at the time the tissue samples were obtained and whose tests were ordered less than 14 days from discharge must be bundled into the payment that the hospital receives for the inpatient services provided. Medicare billing rules also require hospitals to bill for our tests when ordered for hospital outpatients less than 14 days following the date of the hospital procedure where the tissue samples were obtained. Accordingly, we are required to bill individual hospitals for tests performed on Medicare beneficiaries during these time frames. We cannot ensure that hospitals will pay us for tests performed that fall under these rules. We cannot assure you that Medicare will not change this limitation in the future.</w:t>
      </w:r>
    </w:p>
    <w:p>
      <w:pPr>
        <w:spacing w:after="0" w:line="184"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FDA were to begin regulating our tests, we could incur substantial costs and delays associated with trying to obtain premarket clearance or approval.</w:t>
      </w:r>
    </w:p>
    <w:p>
      <w:pPr>
        <w:spacing w:after="0" w:line="15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Clinical laboratory tests have long been subject to comprehensive regulations under the Clinical Laboratory Improvement Amendments of 1988, or CLIA, as well as by applicable state laws. Most laboratory developed tests, or LDTs, are not currently subject to FDA regulation, although reagents, instruments, software or components provided by third parties and used to perform LDTs may be subject to regulation. While the FDA maintains its authority to regulate LDTs, it has chosen to exercise its enforcement discretion not to regulate LDTs as medical devices. We believe the Afirma GEC and the Percepta classifier are LDTs. In October 2014, the FDA issued draft guidance, entitled "Framework for Regulatory Oversight of LDTs," proposing the phased-in enforcement of premarket review requirements for most LDTs. The framework is similar to previously issued guidance. There is no timeframe in which the FDA must issue final guidance documents. If the guidance were enacted, our tests could be required to comply with FDA regulations applicable to medical devices.</w:t>
      </w:r>
    </w:p>
    <w:p>
      <w:pPr>
        <w:spacing w:after="0" w:line="18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If the FDA requires us to seek clearance or approval for our existing tests or any of our future products for clinical use, we may not be able to obtain such approvals on a timely basis, or at all. If premarket review is required, our business could be negatively impacted if we are required to stop selling our products pending their clearance or approval. In addition, the launch of any new products that we develop could be delayed by the implementation of the guidance. The cost of complying with premarket review requirements, including obtaining clinical data, may be significant. Further, if the FDA were to issue guidance requiring our ILD test in development to obtain FDA approval prior to commercial availability, our launch of this test could be delayed. In addition, future regulation by the FDA could subject our business to further regulatory risks and costs. Failure to comply with applicable regulatory requirements of the FDA could result in enforcement action, including receiving untitled or warning letters, fines, injunctions, or civil or criminal penalties. Any such enforcement action would have a material adverse effect on our business, financial condition and operations. In addition, our sample collection containers are listed as Class I devices with the FDA. If the FDA were to determine that they are not Class I devices, we would be required to file 510(k) applications and obtain FDA clearance to use the containers, which could be time consuming and expensive.</w:t>
      </w:r>
    </w:p>
    <w:p>
      <w:pPr>
        <w:spacing w:after="0" w:line="186"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Some of the materials we use for our tests and that we may use for future tests are labeled for research use only. In November 2013, the FDA finalized guidance regarding the sale and use of products labeled for research or investigational-use only. Among other things, the guidance advises that the FDA continues to be concerned about distribution of research or investigational-use only products intended for clinical diagnostic use and that the manufacturer’s objective intent for the product’s intended use will be determined by examining the totality of circumstances, including advertising, instructions for</w:t>
      </w: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118" w:right="259" w:bottom="1440" w:gutter="0" w:footer="0" w:header="0"/>
        </w:sectPr>
      </w:pPr>
    </w:p>
    <w:bookmarkStart w:id="35" w:name="page36"/>
    <w:bookmarkEnd w:id="3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clinical interpretation, presentations that describe clinical use, and specialized technical support, surrounding the distribution of the product in question. The FDA has advised that if evidence demonstrates that a product is inappropriately labeled for research or investigational-use only, the device would be misbranded and adulterated within the meaning of the Federal Food, Drug and Cosmetic Act. Some of the reagents, instruments, software or components obtained by us from suppliers for use in our products are currently labeled as research or investigational-use only products. If the FDA were to undertake enforcement actions, some of our suppliers might cease selling research or investigational-use only products to us, and any failure to obtain an acceptable substitute could significantly and adversely affect our business, financial condition and results of operations, including increasing the cost of testing or delaying, limiting or prohibiting the purchase of reagents, instruments, software or components necessary to perform testing.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compete successfully, we may be unable to increase or sustain our revenue or achieve profitability.</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principal competition for our tests comes from traditional methods used by physicians to diagnose and manage patient care decisions. For example, with our Afirma test, practice guidelines in the United States have historically recommended that patients with indeterminate diagnoses from cytopathology results be considered for surgery to remove all or part of the thyroid to rule out cancer. This practice has been the standard of care in the United States for many years, and we need to continue to educate physicians about the benefits of the Afirma test to change clinical practice.</w:t>
      </w:r>
    </w:p>
    <w:p>
      <w:pPr>
        <w:spacing w:after="0" w:line="18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also face competition from companies and academic institutions that use next generation sequencing technology or other methods to measure mutational markers such as BRAF and KRAS, along with numerous other mutations. These organizations include Interpace Diagnostics Group, Inc., Rosetta Genomics Ltd., and others who are developing new products or technologies that may compete with our tests. In the future, we may also face competition from companies developing new products or technologies.</w:t>
      </w:r>
    </w:p>
    <w:p>
      <w:pPr>
        <w:spacing w:after="0" w:line="180" w:lineRule="exact"/>
        <w:rPr>
          <w:sz w:val="20"/>
          <w:szCs w:val="20"/>
          <w:color w:val="auto"/>
        </w:rPr>
      </w:pPr>
    </w:p>
    <w:p>
      <w:pPr>
        <w:ind w:right="20" w:firstLine="648"/>
        <w:spacing w:after="0" w:line="281" w:lineRule="auto"/>
        <w:rPr>
          <w:sz w:val="20"/>
          <w:szCs w:val="20"/>
          <w:color w:val="auto"/>
        </w:rPr>
      </w:pPr>
      <w:r>
        <w:rPr>
          <w:rFonts w:ascii="Times New Roman" w:cs="Times New Roman" w:eastAsia="Times New Roman" w:hAnsi="Times New Roman"/>
          <w:sz w:val="17"/>
          <w:szCs w:val="17"/>
          <w:color w:val="auto"/>
        </w:rPr>
        <w:t>With the Percepta test, we believe our primary competition will similarly come from traditional methods used by physicians to diagnose lung cancer, as well as from companies such as Integrated Diagnostics, Inc. We also anticipate facing potential competition from companies offering or developing approaches for assessing malignancy risk in patients with lung nodules using alternative samples, such as blood, urine or sputum. However, such “liquid biopsies” are often used earlier in the diagnostic paradigm — for instance, to screen for cancer — or to gauge risk of recurrence or response to treatment.</w:t>
      </w:r>
    </w:p>
    <w:p>
      <w:pPr>
        <w:spacing w:after="0" w:line="165" w:lineRule="exact"/>
        <w:rPr>
          <w:sz w:val="20"/>
          <w:szCs w:val="20"/>
          <w:color w:val="auto"/>
        </w:rPr>
      </w:pPr>
    </w:p>
    <w:p>
      <w:pPr>
        <w:ind w:right="80" w:firstLine="648"/>
        <w:spacing w:after="0" w:line="281" w:lineRule="auto"/>
        <w:rPr>
          <w:sz w:val="20"/>
          <w:szCs w:val="20"/>
          <w:color w:val="auto"/>
        </w:rPr>
      </w:pPr>
      <w:r>
        <w:rPr>
          <w:rFonts w:ascii="Times New Roman" w:cs="Times New Roman" w:eastAsia="Times New Roman" w:hAnsi="Times New Roman"/>
          <w:sz w:val="17"/>
          <w:szCs w:val="17"/>
          <w:color w:val="auto"/>
        </w:rPr>
        <w:t>In general, we also face competition from commercial laboratories, such as Laboratory Corporation of America Holdings, Quest Diagnostics Incorporated and Sonic Healthcare USA with strong infrastructure to support the commercialization of diagnostic services. We face potential competition from companies such as Illumina, Inc. and Thermo Fisher Scientific Inc., both of which have entered the clinical diagnostics market. Other potential competitors include companies that develop diagnostic products, such as Roche Diagnostics, a division of Roche Holding Ltd, Siemens AG and Qiagen N.V.</w:t>
      </w:r>
    </w:p>
    <w:p>
      <w:pPr>
        <w:spacing w:after="0" w:line="16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In addition, competitors may develop their own versions of our solution in countries where we do not have patents or where our intellectual property rights are not recognized and compete with us in those countries, including encouraging the use of their solution by physicians in other countries.</w:t>
      </w:r>
    </w:p>
    <w:p>
      <w:pPr>
        <w:spacing w:after="0" w:line="16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To compete successfully, we must be able to demonstrate, among other things, that our diagnostic test results are accurate and cost effective, and we must secure a meaningful level of reimbursement for our products.</w:t>
      </w:r>
    </w:p>
    <w:p>
      <w:pPr>
        <w:spacing w:after="0" w:line="162"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physicians and payers as functionally equivalent to our solution, or offer solutions at prices designed to promote market penetration, which could force us to lower the list price of our solution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 As we add new tests and services, we will face many of these same competitive risks for these new tests.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members of our senior management team or our inability to attract and retain key personnel could adversely affect our business.</w:t>
      </w:r>
    </w:p>
    <w:p>
      <w:pPr>
        <w:spacing w:after="0" w:line="229"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Our success depends largely on the skills, experience and performance of key members of our executive management team and others in key management positions. The efforts of each of these persons together will be critical to us as we continue</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00"/>
          </w:cols>
          <w:pgMar w:left="240" w:top="118" w:right="259" w:bottom="1440" w:gutter="0" w:footer="0" w:header="0"/>
        </w:sectPr>
      </w:pPr>
    </w:p>
    <w:bookmarkStart w:id="36" w:name="page37"/>
    <w:bookmarkEnd w:id="3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to develop our technologies and test processes and focus on our growth. If we were to lose one or more of these key employees, we may experience difficulties in competing effectively, developing our technologies and implementing our business strategy.</w:t>
      </w:r>
    </w:p>
    <w:p>
      <w:pPr>
        <w:spacing w:after="0" w:line="16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addition, our research and development programs and commercial laboratory operations depend on our ability to attract and retain highly skilled scientists. We may not be able to attract or retain qualified scientists and technicians in the future due to the intense competition for qualified personnel among life science businesses, particularly in the San Francisco Bay Area. Our success in the development and commercialization of advanced diagnostics requires a significant medical and clinical staff to conduct studies and educate physicians and payers on the merits of our tests in order to achieve adoption and reimbursement. We are in a highly competitive industry to attract and retain this talent. As a public company located in the San Francisco Bay Area, we also face intense competition for highly skilled finance and accounting personnel. If we are unable to attract and retain finance and accounting personnel experienced in public company financial reporting, we risk being unable to close our books and file our public documents on a timely basis. Additionally, our success depends on our ability to attract and retain qualified sales people. We recently significantly expanded our sales force for Afirma as we transition out of our Genzyme Corporation co-promotion agreement in the United States. There can be no assurance that we will be successful in maintaining and growing the business. As we plan to further increase our sales channels for new tests we commercialize, including Percepta, we may have difficulties locating and recruiting additional sales personnel or retaining qualified salespeople, which could cause a delay or decline in the rate of adoption of our tests. Finally, our business requires specialized capabilities in reimbursement, billing, and other areas and there may be a shortage of qualified individuals. If we are not able to attract and retain the necessary personnel to accomplish our business objectives, we may experience constraints that could adversely affect our ability to support our research and development, clinical laboratory, sales and reimbursement, billing and finance efforts. All of our employees are at will, which means that either we or the employee may terminate their employment at any time. We do not carry key man insurance for any of our employees.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manage our future growth effectively, which could make it difficult to execute our business strategy.</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addition to the need to scale our testing capacity, future growth, including our transition to a multi-product company with international operations, will impose significant added responsibilities on management, including the need to identify, recruit, train and integrate additional employees with the necessary skills to support the growing complexities of our business. In addition, rapid and significant growth may place strain on our administrative, financial and operational infrastructure. Our ability to manage our business and growth will require us to continue to improve our operational, financial and management controls, reporting systems and procedures. We have implemented an internally-developed data warehouse, which is critical to our ability to track our diagnostic services and patient reports delivered to physicians, as well as to support our financial reporting systems. The time and resources required to optimize these systems is uncertain, and failure to complete optimization in a timely and efficient manner could adversely affect our operations. The move of our laboratory facility to a new location in South San Francisco required us to notify appropriate regulatory agencies, which may result in an inspection or audit of the new facility which would disrupt our business, including the provision of Afirma GEC and Percepta test reports, and require the investment of resources. If we are unable to manage our growth effectively, it may be difficult for us to execute our business strategy and our business could be harmed.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Billing for our diagnostic tests is complex, and we must dedicate substantial time and resources to the billing process to be paid.</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Billing for clinical laboratory testing services is complex, time-consuming and expensive. Depending on the billing arrangement and applicable law, we bill various payers, including Medicare, insurance companies and patients, all of which have different billing requirements. We generally bill third-party payers for our diagnostic tests and pursue reimbursement on a case-by-case basis where pricing contracts are not in place. To the extent laws or contracts require us to bill patient co-payments or co-insurance, we must also comply with these requirements. We may also face increased risk in our collection efforts, including potential write-offs of doubtful accounts and long collection cycles, which could adversely affect our business, results of operations and financial condition.</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Several factors make the billing process complex, including:</w:t>
      </w:r>
    </w:p>
    <w:p>
      <w:pPr>
        <w:spacing w:after="0" w:line="225"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the list price for our tests and the reimbursement rates of payers;</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complex federal and state regulations related to billing Medicare;</w:t>
      </w:r>
    </w:p>
    <w:p>
      <w:pPr>
        <w:spacing w:after="0" w:line="26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government audits related to billing Medicare;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among payers as to which party is responsible for payment;</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980" w:right="20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coverage and in information and billing requirements among payers, including the need for prior authorization and/or advanced notification;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patient co-payments or co-insurance;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billing codes used for our tests;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or missing billing information;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resources required to manage the billing and claims appeals process.</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Standard industry billing codes, known as CPT codes, that we use to bill for cytopathology do not generally exist for our proprietary molecular diagnostic tests. Therefore, until such time that we are awarded and are able to use a designated CPT code specific to our tests, we use “miscellaneous” codes for claim submissions. These codes can change over time. When codes change, there is a risk of an error being made in the claim adjudication process. These errors can occur with claims submission, third-party transmission or in the processing of the claim by the payer. Claim adjudication errors may result in a delay in payment processing or a reduction in the amount of the payment received. Coding changes, therefore, may have an adverse effect on our revenues. Even when we receive a designated CPT code specific to our tests, there can be no assurance that payers will recognize these codes in a timely manner or that the process of transitioning to such a code and updating their billing systems will not result in errors, delays in payments and a related increase in accounts receivable balances. The separate CPT code for the Afirma GEC test became effective January 1, 2016. There can be no assurance that we or our customers who bill will not face issues as the new code is utilized, which could have an adverse effect on our collection rates, revenue, and cost of collecting.</w:t>
      </w:r>
    </w:p>
    <w:p>
      <w:pPr>
        <w:spacing w:after="0" w:line="189"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As we introduce new tests, we will need to add new codes to our billing process as well as our financial reporting systems. Failure or delays in effecting these changes in external billing and internal systems and processes could negatively affect our revenue and cash flow.</w:t>
      </w:r>
    </w:p>
    <w:p>
      <w:pPr>
        <w:spacing w:after="0" w:line="16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Additionally, our billing activities require us to implement compliance procedures and oversight, train and monitor our employees, challenge coverage and payment denials, assist patients in appealing claims, and undertake internal audits to evaluate compliance with applicable laws and regulations as well as internal compliance policies and procedures. Payers also conduct external audits to evaluate payments, which add further complexity to the billing process. If the payer makes an overpayment determination, there is a risk that we may be required to return some portion of prior payments we have received. These billing complexities, and the related uncertainty in obtaining payment for our tests, could negatively affect our revenue and cash flow, our ability to achieve profitability, and the consistency and comparability of our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a third-party to transmit claims to payers, and any delay in transmitting claims could have an adverse effect on our revenue.</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While we manage the overall processing of claims, we rely on a third-party provider to transmit the actual claims to payers based on the specific payer billing format. We have previously experienced delays in claims processing when our third-party provider made changes to its invoicing system, and again when it did not submit claims to payers within the timeframe we require. Additionally, coding for diagnostic tests may change, and such changes may cause short-term billing errors that may take significant time to resolve. If claims are not submitted to payers on a timely basis or are erroneously submitted, or if we are required to switch to a different provider to handle claim submissions, we may experience delays in our ability to process these claims and receipt of payments from payers, or possibly denial of claims for lack of timely submission, which would have an adverse effect on our revenue and our business.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380"/>
          </w:cols>
          <w:pgMar w:left="240" w:top="118" w:right="279" w:bottom="1440" w:gutter="0" w:footer="0" w:header="0"/>
        </w:sectPr>
      </w:pPr>
    </w:p>
    <w:bookmarkStart w:id="38" w:name="page39"/>
    <w:bookmarkEnd w:id="3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will depend in part on our ability to successfully transition from our relationship with Genzyme to co-promote Afirma in the United States.</w:t>
      </w:r>
    </w:p>
    <w:p>
      <w:pPr>
        <w:spacing w:after="0" w:line="15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sell Afirma in the United States through our internal sales team and through our Amended and Restated U.S. Co-promotion Agreement with Genzyme Corporation, or the Amended Agreement. On March 9, 2016, we gave Genzyme notice of termination of the Amended Agreement effective September 9, 2016. In connection with the transition, we have hired additional sales personnel to sell our Afirma solution which we have been co-promoting with Genzyme, and we plan in the remainder of 2016 to hire additional sales personnel. If we are unsuccessful in transitioning the sales and marketing of Afirma from Genzyme solely to our internal sales and marketing personnel, we may experience declining test volumes and associated declines in revenue. We may not be able to market or sell Afirma effectively enough to maintain or increase demand for the test, or without significant additional sales and marketing efforts and expense. Our failure to do so successfully without the benefit of Genzyme’s efforts could have an adverse effect on our business, financial condition and results of operations.</w:t>
      </w:r>
    </w:p>
    <w:p>
      <w:pPr>
        <w:spacing w:after="0" w:line="18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Developing new products involves a lengthy and complex process, and we may not be able to commercialize on a timely basis, or at all, other products we are developing.</w:t>
      </w:r>
    </w:p>
    <w:p>
      <w:pPr>
        <w:spacing w:after="0" w:line="15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We continually seek to develop enhancements to our current test offerings and additional diagnostic solutions that requires us to devote considerable resources to research and development. There can be no assurance that we will be able to identify other diseases that can be effectively addressed with our molecular cytology platform. In addition, if we identify such diseases, we may not be able to develop products with the diagnostic accuracy necessary to be clinically useful and commercially successful. We may face challenges obtaining sufficient numbers of samples to validate a genomic signature for a molecular diagnostic product. We launched the Percepta test in 2015 and are in the process of developing Envisia, a test for diagnosing interstitial lung disease, specifically IPF. We still must complete studies that meet the clinical evidence required to obtain reimbursement, which studies are currently underway. Our product for interstitial lung diseases may not be fully developed and introduced as planned in 2016.</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order to develop and commercialize diagnostic tests, we need to:</w:t>
      </w:r>
    </w:p>
    <w:p>
      <w:pPr>
        <w:spacing w:after="0" w:line="225"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 significant funds to conduct substantial research and development;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successful analytical and clinical studies;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our laboratory processes to accommodate new tests;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the commercial infrastructure to market and sell new products.</w:t>
      </w:r>
    </w:p>
    <w:p>
      <w:pPr>
        <w:spacing w:after="0" w:line="225"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Our product development process involves a high degree of risk and may take several years. Our product development efforts may fail for many reasons, including:</w:t>
      </w:r>
    </w:p>
    <w:p>
      <w:pPr>
        <w:spacing w:after="0" w:line="162"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identify a genomic signature in biomarker discovery;</w:t>
      </w:r>
    </w:p>
    <w:p>
      <w:pPr>
        <w:spacing w:after="0" w:line="225"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secure sufficient numbers of samples at an acceptable cost and on an acceptable timeframe to conduct analytical and clinical studies; or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clinical validation studies to support the effectiveness of the test.</w:t>
      </w:r>
    </w:p>
    <w:p>
      <w:pPr>
        <w:spacing w:after="0" w:line="22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Typically, few research and development projects result in commercial products, and success in early clinical studies often is not replicated in later studies. At any point, we may abandon development of a product candidate or we may be required to expend considerable resources repeating clinical studies, which would adversely affect the timing for generating potential revenue from a new product and our ability to invest in other products in our pipeline. If a clinical validation study fails to demonstrate the prospectively-defined endpoints of the study or if we fail to sufficiently demonstrate analytical validity, we might choose to abandon the development of the product, which could harm our business. In addition, competitors may develop and commercialize competing products or technologies faster than us or at a lower cost.</w:t>
      </w:r>
    </w:p>
    <w:p>
      <w:pPr>
        <w:spacing w:after="0" w:line="18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products to keep pace with rapid technological, medical and scientific change, our operating results and competitive position could be harmed.</w:t>
      </w:r>
    </w:p>
    <w:p>
      <w:pPr>
        <w:spacing w:after="0" w:line="159"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In recent years, there have been numerous advances in technologies relating to diagnostics, particularly diagnostics that are based on genomic information. These advances require us to continuously develop our technology and to work to</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40" w:top="118" w:right="259" w:bottom="1440" w:gutter="0" w:footer="0" w:header="0"/>
        </w:sectPr>
      </w:pPr>
    </w:p>
    <w:bookmarkStart w:id="39" w:name="page40"/>
    <w:bookmarkEnd w:id="3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develop new solutions to keep pace with evolving standards of care. Our solutions could become obsolete unless we continually innovate and expand our product offerings to include new clinical applications. If we are unable to develop new products or to demonstrate the applicability of our products for other diseases, our sales could decline and our competitive position could be harmed.</w:t>
      </w:r>
    </w:p>
    <w:p>
      <w:pPr>
        <w:spacing w:after="0" w:line="17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businesses or assets, form joint ventures or make investments in other companies or technologies that could harm our operating results, dilute our stockholders’ ownership, increase our debt or cause us to incur significant expense.</w:t>
      </w:r>
    </w:p>
    <w:p>
      <w:pPr>
        <w:spacing w:after="0" w:line="15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We acquired Allegro Diagnostics Corp. in September 2014, and we may pursue additional acquisitions of complementary businesses or assets, as well as technology licensing arrangements as part of our business strategy. We also may pursue strategic alliances that leverage our core technology and industry experience to expand our offerings or distribution, or make investments in other companies. To date, we have limited experience with respect to acquisitions and the formation of strategic alliances and joint ventures. We may not be able to integrate acquisitions successfully into our existing business, and we could assume unknown or contingent liabilities. In addition, we may not realize the expected benefits of an acquisition or investment. Any acquisitions made by us also could result in significant write-offs or the incurrence of debt and contingent liabilities, any of which could harm our operating results. Integration of acquired companies or businesses we may acquire in the future also may require management resources that otherwise would be available for ongoing development of our existing business. We may not identify or complete these transactions in a timely manner, on a cost-effective basis, or at all, and we may not realize the anticipated benefits of any acquisition, technology license, strategic alliance, joint venture or investment.</w:t>
      </w:r>
    </w:p>
    <w:p>
      <w:pPr>
        <w:spacing w:after="0" w:line="18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To finance any acquisitions or investments, we may choose to issue shares of our stock as consideration, which would dilute the ownership of our stockholders. If the price of our common stock is low or volatile, we may not be able to acquire other companies for stock. Alternatively, it may be necessary for us to raise additional funds for these activities through public or private financings. Additional funds may not be available on terms that are favorable to us, or at all. If these funds are raised through the sale of equity or convertible debt securities, dilution to our stockholders could result.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Our current credit agreement contains covenants that could limit our ability to acquire companies or technologies, sell debt securities or obtain additional debt financing arrangements.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comply with federal and state licensing requirements, we could lose the ability to perform our tests or experience disruptions to our business.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quality standards, personnel qualifications and responsibilities, facility administration, general laboratory systems, quality assessment, quality control, pre-analytic, analytic, and post-analytic systems and proficiency testing. CLIA certification is also required for us to be eligible to bill state and federal healthcare programs, as well as many private third-party payers. To renew these certifications, we are subject to survey and inspection every two years. Moreover, CLIA inspectors may make random inspections of our clinical reference laboratories. With our recent relocation of our South San Francisco CLIA laboratory to our new building, we may be subject to additional inspections or audits by federal or state regulatory agencies to maintain our CLIA certificate. If we were ever to relocate our Texas facility, we might be subject to the same inspections or audits at our new facility.</w:t>
      </w:r>
    </w:p>
    <w:p>
      <w:pPr>
        <w:spacing w:after="0" w:line="185"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are also required to maintain state licenses to conduct testing in our laboratories. California, New York, Texas, among other states’ laws, require that we maintain a license and comply with state regulation as a clinical laboratory. Other states may have similar requirements or may adopt similar requirements in the future. In addition, both of our clinical laboratories are required to be licensed on a test-specific basis by New York State. We have received approval for the Afirma test and are actively pursuing approval for the Percepta test. We will be required to obtain approval for other tests we may offer in the future. New York law also mandates proficiency testing for laboratories licensed under New York state law, regardless of whether such laboratories are located in New York. If we were to lose our CLIA certificate or California license for our South San Francisco laboratory, whether as a result of revocation, suspension or limitation, we would no longer be able to perform the GEC, which would eliminate our primary source of revenue and harm our business. If we were to lose our CLIA certificate for our Austin laboratory, we would need to move the receipt and storage of FNAs, as well as the slide preparation for cytopathology, to South San Francisco, which could result in a delay in processing tests during that transition and increased costs. If we were to lose our licenses issued by New York or by other states where we are required to hold licenses, we would</w:t>
      </w: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00"/>
          </w:cols>
          <w:pgMar w:left="240" w:top="118" w:right="259" w:bottom="1440" w:gutter="0" w:footer="0" w:header="0"/>
        </w:sectPr>
      </w:pPr>
    </w:p>
    <w:bookmarkStart w:id="40" w:name="page41"/>
    <w:bookmarkEnd w:id="4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 be able to test specimens from those states. New tests we may develop may be subject to new approvals by regulatory bodies such as New York State, and we may not be able to offer our new tests until such approvals are received.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limits on our revenue if patients decide not to use our tests.</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Some patients may decide not to use our tests because of price, all or part of which may be payable directly by the patient if the patient’s insurer denies reimbursement in full or in part. There is a growing trend among insurers to shift more of the cost of healthcare to patients in the form of higher co-payments or premiums, and this trend is accelerating which puts patients in the position of having to pay more for our tests. Implementation of provisions of the ACA has also resulted in increases in premiums and reductions in coverage for some patients. These events may result in patients delaying or forgoing medical checkups or treatment due to their inability to pay for our tests, which could have an adverse effect on our revenue.</w:t>
      </w:r>
    </w:p>
    <w:p>
      <w:pPr>
        <w:spacing w:after="0" w:line="180"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5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Our operations are subject to other extensive federal, state, local, and foreign laws and regulations, all of which are subject to change. These laws and regulations currently include, among others:</w:t>
      </w:r>
    </w:p>
    <w:p>
      <w:pPr>
        <w:spacing w:after="0" w:line="162" w:lineRule="exact"/>
        <w:rPr>
          <w:sz w:val="20"/>
          <w:szCs w:val="20"/>
          <w:color w:val="auto"/>
        </w:rPr>
      </w:pPr>
    </w:p>
    <w:p>
      <w:pPr>
        <w:ind w:left="980" w:right="100" w:hanging="324"/>
        <w:spacing w:after="0" w:line="258"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established comprehensive federal standards with respect to the privacy and security of protected health information and requirements for the use of certain standardized electronic transactions, and amendments made in 2013 to HIPAA under the Health Information Technology for Economic and Clinical Health Act, or HITECH, which strengthen and expand HIPAA privacy and security compliance requirements, increase penalties for violators, extend enforcement authority to state attorneys general, and impose requirements for breach notification;</w:t>
      </w:r>
    </w:p>
    <w:p>
      <w:pPr>
        <w:spacing w:after="0" w:line="18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Medicare billing and payment regulations applicable to clinical laboratories;</w:t>
      </w:r>
    </w:p>
    <w:p>
      <w:pPr>
        <w:spacing w:after="0" w:line="225" w:lineRule="exact"/>
        <w:rPr>
          <w:rFonts w:ascii="Times New Roman" w:cs="Times New Roman" w:eastAsia="Times New Roman" w:hAnsi="Times New Roman"/>
          <w:sz w:val="18"/>
          <w:szCs w:val="18"/>
          <w:color w:val="auto"/>
        </w:rPr>
      </w:pPr>
    </w:p>
    <w:p>
      <w:pPr>
        <w:ind w:left="980" w:right="180" w:hanging="324"/>
        <w:spacing w:after="0" w:line="26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knowingly and willfully offering, paying, soliciting, or receiving remuneration, directly or indirectly, in exchange for or to induce either the referral of an individual, or the furnishing, arranging for, or recommending of an item or service that is reimbursable, in whole or in part, by a federal healthcare program;</w:t>
      </w:r>
    </w:p>
    <w:p>
      <w:pPr>
        <w:spacing w:after="0" w:line="176" w:lineRule="exact"/>
        <w:rPr>
          <w:rFonts w:ascii="Times New Roman" w:cs="Times New Roman" w:eastAsia="Times New Roman" w:hAnsi="Times New Roman"/>
          <w:sz w:val="18"/>
          <w:szCs w:val="18"/>
          <w:color w:val="auto"/>
        </w:rPr>
      </w:pPr>
    </w:p>
    <w:p>
      <w:pPr>
        <w:ind w:left="980" w:right="40" w:hanging="324"/>
        <w:spacing w:after="0" w:line="261"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Stark physician self-referral law (and state equivalents),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unless the financial relationship falls within an applicable exception to the prohibition;</w:t>
      </w:r>
    </w:p>
    <w:p>
      <w:pPr>
        <w:spacing w:after="0" w:line="180" w:lineRule="exact"/>
        <w:rPr>
          <w:rFonts w:ascii="Times New Roman" w:cs="Times New Roman" w:eastAsia="Times New Roman" w:hAnsi="Times New Roman"/>
          <w:sz w:val="18"/>
          <w:szCs w:val="18"/>
          <w:color w:val="auto"/>
        </w:rPr>
      </w:pPr>
    </w:p>
    <w:p>
      <w:pPr>
        <w:jc w:val="both"/>
        <w:ind w:left="980" w:right="140" w:hanging="324"/>
        <w:spacing w:after="0" w:line="26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prohibits, among other things, the offering or transfer of remuneration to a Medicare or state health care program beneficiary if the person knows or should know it is likely to influence the beneficiary’s selection of a particular provider, practitioner, or supplier of services reimbursable by Medicare or a state health care program, unless an exception applies;</w:t>
      </w:r>
    </w:p>
    <w:p>
      <w:pPr>
        <w:spacing w:after="0" w:line="176" w:lineRule="exact"/>
        <w:rPr>
          <w:rFonts w:ascii="Times New Roman" w:cs="Times New Roman" w:eastAsia="Times New Roman" w:hAnsi="Times New Roman"/>
          <w:sz w:val="18"/>
          <w:szCs w:val="18"/>
          <w:color w:val="auto"/>
        </w:rPr>
      </w:pPr>
    </w:p>
    <w:p>
      <w:pPr>
        <w:ind w:left="980" w:right="40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which imposes liability on any person or entity that, among other things, knowingly presents, or causes to be presented, a false or fraudulent claim for payment to the federal government;</w:t>
      </w:r>
    </w:p>
    <w:p>
      <w:pPr>
        <w:spacing w:after="0" w:line="161" w:lineRule="exact"/>
        <w:rPr>
          <w:rFonts w:ascii="Times New Roman" w:cs="Times New Roman" w:eastAsia="Times New Roman" w:hAnsi="Times New Roman"/>
          <w:sz w:val="18"/>
          <w:szCs w:val="18"/>
          <w:color w:val="auto"/>
        </w:rPr>
      </w:pPr>
    </w:p>
    <w:p>
      <w:pPr>
        <w:jc w:val="both"/>
        <w:ind w:left="980" w:right="160" w:hanging="324"/>
        <w:spacing w:after="0" w:line="26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federal and state fraud and abuse laws, such as anti-kickback laws, prohibitions on self-referral, fee-splitting restrictions, prohibitions on the provision of products at no or discounted cost to induce physician or patient adoption, and false claims acts, which may extend to services reimbursable by any third-party payer, including private insurers;</w:t>
      </w:r>
    </w:p>
    <w:p>
      <w:pPr>
        <w:spacing w:after="0" w:line="176"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prohibition on reassignment of Medicare claims, which, subject to certain exceptions, precludes the reassignment of Medicare claims to any other party;</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regarding billing for diagnostic tests reimbursable by the Medicare program, which prohibit a physician or other supplier from marking up the price of the technical component or professional component of a diagnostic test ordered by the physician or other supplier and supervised or performed by a physician who does not “share a practice” with the billing physician or supplier;</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380"/>
          </w:cols>
          <w:pgMar w:left="240" w:top="118" w:right="279" w:bottom="1440" w:gutter="0" w:footer="0" w:header="0"/>
        </w:sectPr>
      </w:pPr>
    </w:p>
    <w:bookmarkStart w:id="41" w:name="page42"/>
    <w:bookmarkEnd w:id="4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left="980" w:right="20" w:hanging="324"/>
        <w:spacing w:after="0" w:line="26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prohibit other specified practices related to billing such as billing physicians for testing that they order, waiving co-insurance, co-payments, deductibles, and other amounts owed by patients, and billing a state Medicaid program at a price that is higher than what is charged to other payers; and</w:t>
      </w:r>
    </w:p>
    <w:p>
      <w:pPr>
        <w:spacing w:after="0" w:line="17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Corrupt Practices Act of 1977, and other similar laws, which apply to our international activities.</w:t>
      </w:r>
    </w:p>
    <w:p>
      <w:pPr>
        <w:spacing w:after="0" w:line="22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have adopted policies and procedures designed to comply with these laws and regulations. In the ordinary course of our business, we conduct internal reviews of our compliance with these laws. Our compliance is also subject to governmental review. The growth of our business and sales organization and our expansion outside of the United States may increase the potential of violating these laws or our internal policies and procedures. We believe that we are in material compliance with all statutory and regulatory requirements, but there is a risk that one or more government agencies could take a contrary position. These laws and regulations are complex and are subject to interpretation by the courts and by government agencies. If one or more such agencies alleges that we may be in violation of any of these requirements, regardless of the outcome, it could damage our reputation and adversely affect important business relationships with third parties, including managed care organizations and other commercial third-party payers.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civil and criminal penalties, damages and fines, we could be required to refund payments received by us, and we could be required to curtail or cease our operations. Any of the foregoing consequences could seriously harm our business and our financial results.</w:t>
      </w:r>
    </w:p>
    <w:p>
      <w:pPr>
        <w:spacing w:after="0" w:line="187"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International expansion of our business exposes us to business, regulatory, political, operational, financial and economic risks associated with doing business outside of the United States.</w:t>
      </w:r>
    </w:p>
    <w:p>
      <w:pPr>
        <w:spacing w:after="0" w:line="159" w:lineRule="exact"/>
        <w:rPr>
          <w:sz w:val="20"/>
          <w:szCs w:val="20"/>
          <w:color w:val="auto"/>
        </w:rPr>
      </w:pPr>
    </w:p>
    <w:p>
      <w:pPr>
        <w:jc w:val="both"/>
        <w:ind w:right="460" w:firstLine="648"/>
        <w:spacing w:after="0" w:line="266" w:lineRule="auto"/>
        <w:rPr>
          <w:sz w:val="20"/>
          <w:szCs w:val="20"/>
          <w:color w:val="auto"/>
        </w:rPr>
      </w:pPr>
      <w:r>
        <w:rPr>
          <w:rFonts w:ascii="Times New Roman" w:cs="Times New Roman" w:eastAsia="Times New Roman" w:hAnsi="Times New Roman"/>
          <w:sz w:val="18"/>
          <w:szCs w:val="18"/>
          <w:color w:val="auto"/>
        </w:rPr>
        <w:t>Our business strategy includes international expansion in select countries, and may include developing and maintaining physician outreach and education capabilities outside of the United States, establishing agreements with laboratories, and expanding our relationships with international payers. Doing business internationally involves a number of risks, including:</w:t>
      </w:r>
    </w:p>
    <w:p>
      <w:pPr>
        <w:spacing w:after="0" w:line="176" w:lineRule="exact"/>
        <w:rPr>
          <w:sz w:val="20"/>
          <w:szCs w:val="20"/>
          <w:color w:val="auto"/>
        </w:rPr>
      </w:pPr>
    </w:p>
    <w:p>
      <w:pPr>
        <w:ind w:left="980" w:right="5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tax laws, privacy laws, export and import restrictions, employment laws, regulatory requirements and other governmental approvals, permits and licenses;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obtain regulatory approvals where required for the use of our solution in various countries;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payer reimbursement regimes, government payers or patient self-pay systems;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logistics and regulations associated with shipping tissue samples, including infrastructure conditions and transportation delays;</w:t>
      </w:r>
    </w:p>
    <w:p>
      <w:pPr>
        <w:spacing w:after="0" w:line="225"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associated with establishing laboratory partners, including proper sample collection techniques, inventory management, sample logistics, billing and promotional activities;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our ability to penetrate international markets if we are not able to process tests locally;</w:t>
      </w:r>
    </w:p>
    <w:p>
      <w:pPr>
        <w:spacing w:after="0" w:line="225"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in collecting from payers, the effect of local and regional financial crises, and exposure to foreign currency exchange rate fluctuations;</w:t>
      </w:r>
    </w:p>
    <w:p>
      <w:pPr>
        <w:spacing w:after="0" w:line="161"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terrorism, and political unrest, outbreak of disease, boycotts, curtailment of trade and other business restrictions;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activities that may fall within the purview of the Foreign Corrupt Practices Act of 1977, including both its books and records provisions and its anti-bribery provisions.</w:t>
      </w:r>
    </w:p>
    <w:p>
      <w:pPr>
        <w:spacing w:after="0" w:line="162"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Any of these factors could significantly harm our future international expansion and operations and, consequently, our revenue and results of operations.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18" w:right="239" w:bottom="1440" w:gutter="0" w:footer="0" w:header="0"/>
        </w:sectPr>
      </w:pPr>
    </w:p>
    <w:bookmarkStart w:id="42" w:name="page43"/>
    <w:bookmarkEnd w:id="4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sued for product liability or errors and omissions liability, we could face substantial liabilities that exceed our resources.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marketing, sale and use of our current or future tests could lead to product liability claims if someone were to allege that the tests failed to perform as they were designed. We may also be subject to liability for errors in the results we provide to physicians or for a misunderstanding of, or inappropriate reliance upon, the information we provide. Our Afirma GEC is performed on FNA samples that are diagnosed as indeterminate by standard cytopathology review. We report results as benign or suspicious to the prescribing physician. Under certain circumstances, we might report a result as benign that later proves to have been malignant. This could be the result of the physician having poor nodule sampling in collecting the FNA, performing the FNA on a different nodule than the one that is malignant or failure of the GEC to perform as intended. We may also be subject to similar types of claims related to our Afirma Malignancy Classifiers and our Percepta test, as well as tests we may develop in the future. A product liability or errors and omissions liability claim could result in substantial damages and be costly and time consuming for us to defend. Although we maintain product liability and errors and omissions insurance, we cannot assure you that our insurance would fully protect us from the financial impact of defending against these types of claims or any judgments, fines or settlement costs arising out of any such claims. Any product liability or errors and omissions liability claim brought against us, with or without merit, could increase our insurance rates or prevent us from securing insurance coverage in the future. Additionally, any product liability lawsuit could cause injury to our reputation or cause us to suspend sales of our products and solutions. The occurrence of any of these events could have an adverse effect on our business and results of operations.</w:t>
      </w:r>
    </w:p>
    <w:p>
      <w:pPr>
        <w:spacing w:after="0" w:line="185"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laboratory in South San Francisco becomes inoperable due to an earthquake or either of our laboratories becomes inoperable for any other reason, we will be unable to perform our testing services and our business will be harmed.</w:t>
      </w:r>
    </w:p>
    <w:p>
      <w:pPr>
        <w:spacing w:after="0" w:line="15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perform all of the Afirma GEC and Percepta testing at our laboratory in South San Francisco, California. Our laboratory in Austin, Texas accepts and stores substantially all FNA samples pending transfer to our California laboratory for Afirma GEC processing. The laboratories and equipment we use to perform our tests would be costly to replace and could require substantial lead time to replace and qualify for use if they became inoperable. Either of our facilities may be harmed or rendered inoperable by natural or man-made disasters, including earthquakes, flooding and power outages, which may render it difficult or impossible for us to perform our testing services for some period of time or to receive and store samples. The inability to perform our tests for even a short period of time may result in the loss of customers or harm our reputation, and we may be unable to regain those customers in the future. Although we maintain insurance for damage to our property and the disruption of our business, this insurance may not be sufficient to cover all of our potential losses and may not continue to be available to us on acceptable terms, if at all.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enter into new clinical study collaborations, our product development and subsequent commercialization could be delayed.</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In the past, we have entered into clinical study collaborations, and our success in the future depends in part on our ability to enter into additional collaborations with highly regarded institutions. This can be difficult due to internal and external constraints placed on these organizations. Some organizations may limit the number of collaborations they have with any one company so as to not be perceived as biased or conflicted. Organizations may also have insufficient administrative and related infrastructure to enable collaboration with many companies at once, which can extend the time it takes to develop, negotiate and implement a collaboration. Moreover, it may take longer to obtain the samples we need which could delay our trials, publications, and product launch and reimbursement. Additionally, organizations often insist on retaining the rights to publish the clinical data resulting from the collaboration. The publication of clinical data in peer-reviewed journals is a crucial step in commercializing and obtaining reimbursement for our diagnostic tests, and our inability to control when and if results are published may delay or limit our ability to derive sufficient revenue from them.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use hazardous materials in a manner that causes contamination or injury, we could be liable for resulting damages.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and either could negatively affect our operating results.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18" w:right="239" w:bottom="1440" w:gutter="0" w:footer="0" w:header="0"/>
        </w:sectPr>
      </w:pPr>
    </w:p>
    <w:bookmarkStart w:id="43" w:name="page44"/>
    <w:bookmarkEnd w:id="4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ind w:right="8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to raise additional capital on acceptable terms in the future may limit our ability to develop and commercialize new solutions and technologies and expand our operations.</w:t>
      </w:r>
    </w:p>
    <w:p>
      <w:pPr>
        <w:spacing w:after="0" w:line="159" w:lineRule="exact"/>
        <w:rPr>
          <w:sz w:val="20"/>
          <w:szCs w:val="20"/>
          <w:color w:val="auto"/>
        </w:rPr>
      </w:pPr>
    </w:p>
    <w:p>
      <w:pPr>
        <w:ind w:right="120" w:firstLine="648"/>
        <w:spacing w:after="0" w:line="252" w:lineRule="auto"/>
        <w:rPr>
          <w:sz w:val="20"/>
          <w:szCs w:val="20"/>
          <w:color w:val="auto"/>
        </w:rPr>
      </w:pPr>
      <w:r>
        <w:rPr>
          <w:rFonts w:ascii="Times New Roman" w:cs="Times New Roman" w:eastAsia="Times New Roman" w:hAnsi="Times New Roman"/>
          <w:sz w:val="18"/>
          <w:szCs w:val="18"/>
          <w:color w:val="auto"/>
        </w:rPr>
        <w:t>We expect continued capital expenditures and operating losses over the next several years as we expand our infrastructure, commercial operations and research and development activities. We may seek to raise additional capital through equity offerings, debt financings, collaborations or licensing arrangements. Additional funding may not be available to us on acceptable terms, or at all. If we raise funds by issuing equity securities, dilution to our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Our current credit agreement imposes restrictions on our operations, increases our fixed payment obligations, and has restrictive covenants.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In addition, we may have to work with a partner on one or more of our products or development programs, which could lower the economic value of those programs to our company.</w:t>
      </w:r>
    </w:p>
    <w:p>
      <w:pPr>
        <w:spacing w:after="0" w:line="193" w:lineRule="exact"/>
        <w:rPr>
          <w:sz w:val="20"/>
          <w:szCs w:val="20"/>
          <w:color w:val="auto"/>
        </w:rPr>
      </w:pPr>
    </w:p>
    <w:p>
      <w:pPr>
        <w:ind w:right="4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spacing w:after="0" w:line="136"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In the ordinary course of our business, we and our third-party service providers collect and store sensitive data, including legally protected health information, personally identifiable information about our patients, credit card information, intellectual property, and our proprietary business and financial information. We manage and maintain our applications and data utilizing a combination of on-site systems, managed data center systems and cloud-based data center systems. We face a number of risks relative to our protection of, and our service providers’ protection of, this critical information, including loss of access, inappropriate disclosure and inappropriate access, as well as risks associated with our ability to identify and audit such events.</w:t>
      </w:r>
    </w:p>
    <w:p>
      <w:pPr>
        <w:spacing w:after="0" w:line="184"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or viruses or otherwise breached due to employee error, malfeasance or other activities. While we are not aware of any such attack or breach, if such event would occur and cause interruptions in our operations, our networks would be compromised and the information we store on those networks could be accessed by unauthorized parties, publicly disclosed, lost or stolen. Any such access, disclosure or other loss of information could result in legal claims or proceedings, liability under laws that protect the privacy of personal information, such as HIPAA, and regulatory penalties. Unauthorized access, loss or dissemination could also disrupt our operations, including our ability to process tests, provide test results, bill payers or patients, process claims and appeals, provide customer assistance services, conduct research and development activities, collect, process and prepare company financial information, provide information about our tests and other patient and physician education and outreach efforts through our website, manage the administrative aspects of our business and damage our reputation, any of which could adversely affect our business.</w:t>
      </w:r>
    </w:p>
    <w:p>
      <w:pPr>
        <w:spacing w:after="0" w:line="19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addition, the interpretation and application of consumer, health-related and data protection laws in the United States, Europe and elsewhere are often uncertain, contradictory and in flux. It is possible that these laws may be interpreted and applied in a manner that is inconsistent with our practices. If so, this could result in government-imposed fines or orders requiring that we change our practices, which could adversely affect our business. In addition, in October 2015, the European Court of Justice invalidated a safe-harbor agreement between the United States and European Union member-states, which addressed how U.S. companies handle personal information of European customers, as a result, we may need to modify the way we treat such information. Complying with these various laws could cause us to incur substantial costs or require us to change our business practices, systems and compliance procedures in a manner adverse to our business.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18" w:right="239" w:bottom="1440" w:gutter="0" w:footer="0" w:header="0"/>
        </w:sectPr>
      </w:pPr>
    </w:p>
    <w:bookmarkStart w:id="44" w:name="page45"/>
    <w:bookmarkEnd w:id="4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license rights to use technologies on reasonable terms, we may not be able to commercialize new products in the future.</w:t>
      </w:r>
    </w:p>
    <w:p>
      <w:pPr>
        <w:spacing w:after="0" w:line="229" w:lineRule="exact"/>
        <w:rPr>
          <w:sz w:val="20"/>
          <w:szCs w:val="20"/>
          <w:color w:val="auto"/>
        </w:rPr>
      </w:pPr>
    </w:p>
    <w:p>
      <w:pPr>
        <w:ind w:right="40" w:firstLine="648"/>
        <w:spacing w:after="0" w:line="277" w:lineRule="auto"/>
        <w:rPr>
          <w:sz w:val="20"/>
          <w:szCs w:val="20"/>
          <w:color w:val="auto"/>
        </w:rPr>
      </w:pPr>
      <w:r>
        <w:rPr>
          <w:rFonts w:ascii="Times New Roman" w:cs="Times New Roman" w:eastAsia="Times New Roman" w:hAnsi="Times New Roman"/>
          <w:sz w:val="17"/>
          <w:szCs w:val="17"/>
          <w:color w:val="auto"/>
        </w:rPr>
        <w:t>In the future, we may license third-party technology to develop or commercialize new products. In return for the use of a third-party’s technology, we may agree to pay the licensor royalties based on sales of our solutions. Royalties are a component of cost of revenue and affect the margins on our solutions. We may also need to negotiate licenses to patents and patent applications after introducing a commercial product. Our business may suffer if we are unable to enter into the necessary licenses on acceptable terms, or at all, if any necessary licenses are subsequently terminated, if the licensors fail to abide by the terms of the license or fail to prevent infringement by third parties, or if the licensed patents or other rights are found to be invalid or unenforceable.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our intellectual property effectively, our business would be harmed.</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If we fail to protect our intellectual property, third parties may be able to compete more effectively against us and we may incur substantial litigation costs in our attempts to recover or restrict use of our intellectual property.</w:t>
      </w:r>
    </w:p>
    <w:p>
      <w:pPr>
        <w:spacing w:after="0" w:line="18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We apply for and in-license patents covering our products and technologies and uses thereof, as we deem appropriate, however we may fail to apply for patents on important products and technologies in a timely fashion or at all, or we may fail to apply for patents in potentially relevant jurisdictions. We have eight issued patents that expire between 2029 and 2032 related to methods used in the Afirma diagnostic platform, in addition to eight pending U.S. utility patent applications and six U.S. provisional applications. Some of these U.S. utility patent applications have pending foreign counterparts. We also exclusively licensed intellectual property, including rights to two issued patents that will expire between 2030 and 2032, and three pending U.S. utility patent applications in the thyroid space that would expire between 2030 and 2033 once issued, related to methods that are used in the Afirma diagnostic test, some of which have foreign counterparts. In the lung diagnostic space, we exclusively license intellectual property rights to seven pending patent applications and one issued patent in the United States and abroad. Patents issuing from the licensed portfolio will expire between 2024 and 2028. In addition, we own a PCT application and a pending U.S. application related to our Percepta test. We also own two applications related to other lung diseases, and a PCT application, a pending U.S. application, and two ex-U.S. applications related to our interstitial lung disease test under development. Any patents granted from the current lung cancer patent applications will expire no earlier than 2035 and those from the interstitial lung disease patent applications will expire no earlier than from 2034 to 2035. It is possible that none of our pending patent applications will result in issued patents in a timely fashion or at all, and even if patents are granted, they may not provide a basis for intellectual property protection of commercially viable products, may not provide us with any competitive advantages, or may be challenged and invalidated by third parties. It is possible that others will design around our current or future patented technologies. We may not be successful in defending any challenges made against our patents or patent applications. Any successful third-party challenge to our patents could result in the unenforceability or invalidity of such patents and increased competition to our business. The outcome of patent litigation can be uncertain and any attempt by us to enforce our patent rights against others may not be successful, or, if successful, may take substantial time and result in substantial cost, and may divert our efforts and attention from other aspects of our business.</w:t>
      </w:r>
    </w:p>
    <w:p>
      <w:pPr>
        <w:spacing w:after="0" w:line="194"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The patent positions of life sciences companies can be highly uncertain and involve complex legal and factual questions for which important legal principles remain unresolved.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nucleic acids.</w:t>
      </w:r>
    </w:p>
    <w:p>
      <w:pPr>
        <w:spacing w:after="0" w:line="180"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In particular, the patent positions of companies engaged in the development and commercialization of genomic diagnostic tests are particularly uncertain. Various courts, including the U.S. Supreme Court, have rendered decisions that affect the scope of patentability of certain inventions or discoveries relating to certain diagnostic tests and related methods. These decisions state, among other things, that patent claims that recite laws of nature (for example, the relationship between blood levels of certain metabolites and the likelihood that a dosage of a specific drug will be ineffective or cause harm) are not themselves patentable. What constitutes a law of nature is uncertain, and it is possible that certain aspects of genomic diagnostics tests would be considered natural laws. Accordingly, the evolving case law in the United States may adversely affect our ability to obtain patents and may facilitate third-party challenges to any owned and licensed patents.</w:t>
      </w:r>
    </w:p>
    <w:p>
      <w:pPr>
        <w:spacing w:after="0" w:line="189"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the laws of the United States, and we may encounter difficulties protecting and defending such rights in foreign jurisdictions. The legal</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18" w:right="239" w:bottom="1440" w:gutter="0" w:footer="0" w:header="0"/>
        </w:sectPr>
      </w:pPr>
    </w:p>
    <w:bookmarkStart w:id="45" w:name="page46"/>
    <w:bookmarkEnd w:id="4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systems of many 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17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Changes in either the patent laws or in interpretations of patent laws in the United States or other countries may diminish the value of our intellectual property. We cannot predict the breadth of claims that may be allowed or enforced in our patents or in third-party patents. We may not develop additional proprietary products, methods and technologies that are patentable.</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If we are required to assert our rights against such party, it could result in significant cost and distraction.</w:t>
      </w:r>
    </w:p>
    <w:p>
      <w:pPr>
        <w:spacing w:after="0" w:line="188"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Monitoring unauthorized disclosure is difficult, and we do not know whether the steps we have taken to prevent such disclosure are, or will be, adequate. If we were to enforce a claim that a third-party had illegally obtained and was using our trade secrets, it would be expensive and time consuming, and the outcome would be unpredictable. In addition, courts outside the United States may be less willing to protect trade secrets.</w:t>
      </w:r>
    </w:p>
    <w:p>
      <w:pPr>
        <w:spacing w:after="0" w:line="17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may also be subject to claims that our employees have inadvertently or otherwise used or disclosed trade secrets or other proprietary information of their former employers,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w:t>
      </w:r>
    </w:p>
    <w:p>
      <w:pPr>
        <w:spacing w:after="0" w:line="18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Further, competitors could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Others may independently develop similar or alternative products and technologies or replicate any of our products and technologies. If our intellectual property does not adequately protect us against competitors’ products and methods, our competitive position could be adversely affected, as could our business.</w:t>
      </w:r>
    </w:p>
    <w:p>
      <w:pPr>
        <w:spacing w:after="0" w:line="18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have not registered certain of our trademarks in all of our potential markets. If we apply to register these trademarks, our applications may not be allowed for registration in a timely fashion or at all, and our registered trademarks may not be maintained or enforced.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w:t>
      </w:r>
    </w:p>
    <w:p>
      <w:pPr>
        <w:spacing w:after="0" w:line="18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Both the patent application process and the process of managing patent disputes can be time consuming and expensive.</w:t>
      </w:r>
    </w:p>
    <w:p>
      <w:pPr>
        <w:spacing w:after="0" w:line="17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litigation related to intellectual property, which could be time-intensive and costly and may adversely affect our business, operating results or financial condition.</w:t>
      </w:r>
    </w:p>
    <w:p>
      <w:pPr>
        <w:spacing w:after="0" w:line="15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may receive notices of claims of direct or indirect infringement or misappropriation or misuse of other parties’ proprietary rights from time to time. Some of these claims may lead to litigation. We cannot assure you that we will prevail in such actions, or that other actions alleging misappropriation or misuse by us of third-party trade secrets, infringement by us of third-party patents and trademarks or other rights, or the validity of our patents, trademarks or other rights, will not be asserted or prosecuted against us.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18" w:right="239" w:bottom="1440" w:gutter="0" w:footer="0" w:header="0"/>
        </w:sectPr>
      </w:pPr>
    </w:p>
    <w:bookmarkStart w:id="46" w:name="page47"/>
    <w:bookmarkEnd w:id="4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 Patent and Trademark Office that could result in substantial cost to us. No assurance can be given that other patent applications will not have priority over our patent applications. In addition, recent changes to the patent laws of the United States allow for various post-grant opposition proceedings that have not been extensively tested, and their outcome is therefore uncertain. Furthermore, if third parties bring these proceedings against our patents, we could experience significant costs and management distraction.</w:t>
      </w:r>
    </w:p>
    <w:p>
      <w:pPr>
        <w:spacing w:after="0" w:line="18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Litigation may be necessary for us to enforce our patent and proprietary rights or to determine the scope, coverage and validity of the proprietary rights of others. The outcome of any litigation or other proceeding is inherently uncertain and might not be favorable to us, and we might not be able to obtain licenses to technology that we require on acceptable terms or at all. Further, we could encounter delays in product introductions, or interruptions in product sales, as we develop alternative methods or products.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Any litigation that may be necessary in the future could result in substantial costs and diversion of resources and could have a material adverse effect on our business, operating results or financial condition.</w:t>
      </w:r>
    </w:p>
    <w:p>
      <w:pPr>
        <w:spacing w:after="0" w:line="18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revenue and against whom our own patents may provide little or no deterrence or protection. Therefore,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and competitors may assert that our products infringe their intellectual property rights as part of a business strategy to impede our successful entry into or growth in those markets. Third parties may assert that we are employing their proprietary technology without authorization. In addition, our competitors and others may have patents or may in the future obtain patents and claim that making, having made, using, selling, offering to sell or importing our products infringes these patents. We could incur substantial costs and divert the attention of our management and technical personnel in defending against any of these claims. 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and ongoing royalties, and obtain one or more licenses from third parties, or be prohibited from selling certain products. We may not be able to obtain these licenses on acceptable terms, if at all. We could incur substantial costs related to royalty payments for licenses obtained from third parties, which could negatively affect our financial results. In addition, we could encounter delays in product introductions while we attempt to develop alternative methods or products to avoid infringing third-party patents or proprietary rights. Defense of any lawsuit or failure to obtain any of these licenses could prevent us from commercializing products, and the prohibition of sale of any of our products could materially affect our business and our ability to gain market acceptance for our products.</w:t>
      </w:r>
    </w:p>
    <w:p>
      <w:pPr>
        <w:spacing w:after="0" w:line="194" w:lineRule="exact"/>
        <w:rPr>
          <w:sz w:val="20"/>
          <w:szCs w:val="20"/>
          <w:color w:val="auto"/>
        </w:rPr>
      </w:pPr>
    </w:p>
    <w:p>
      <w:pPr>
        <w:jc w:val="both"/>
        <w:ind w:right="200" w:firstLine="648"/>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18" w:right="239" w:bottom="1440" w:gutter="0" w:footer="0" w:header="0"/>
        </w:sectPr>
      </w:pPr>
    </w:p>
    <w:bookmarkStart w:id="47" w:name="page48"/>
    <w:bookmarkEnd w:id="4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Being a Public Company</w:t>
      </w:r>
    </w:p>
    <w:p>
      <w:pPr>
        <w:spacing w:after="0" w:line="225"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increased costs and demands on management as a result of compliance with laws and regulations applicable to public companies, which could harm our operating results.</w:t>
      </w:r>
    </w:p>
    <w:p>
      <w:pPr>
        <w:spacing w:after="0" w:line="15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As a public company, we will continue to incur significant legal, accounting, consulting and other expenses that we did not incur as a private company, including costs associated with public company reporting requirements. In addition, the Sarbanes-Oxley Act of 2002 and the Dodd-Frank Act of 2010, as well as rules implemented by the Securities and Exchange Commission, or the SEC, and The NASDAQ Stock Market, impose a number of requirements on public companies, including with respect to corporate governance practices. Our management and other personnel will need to devote a substantial amount of time to these compliance and disclosure obligations. Moreover, these rules and regulations have and will continue to increase our legal, accounting and financial compliance costs and make some activities more complex, time-consuming and costly. We also expect that it will continue to be expensive for us to maintain director and officer liability insurance.</w:t>
      </w:r>
    </w:p>
    <w:p>
      <w:pPr>
        <w:spacing w:after="0" w:line="185"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spacing w:after="0" w:line="159"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As a public company, we are required to maintain internal control over financial reporting and to report any material weaknesses in such internal control. Section 404 of the Sarbanes-Oxley Act of 2002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financial statements may be materially misstated. We have only recently compiled the systems, processes and documentation necessary to comply with Section 404 of the Sarbanes-Oxley Act. We will need to maintain and enhance these processes and controls as we grow, and we will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Moreover, when we are no longer an emerging growth company, our independent registered public accounting firm will be required to issue an attestation report on the effectiveness of our internal control over financial reporting.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w:t>
      </w:r>
    </w:p>
    <w:p>
      <w:pPr>
        <w:spacing w:after="0" w:line="191"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If we are unable to conclude that our internal control over financial reporting is effective, or when we are no longer an emerging growth company, if our auditors were to express an adverse opinion on the effectiveness of our internal control over financial reporting because we had one or more material weaknesses, investors could lose confidence in the accuracy and completeness of our financial disclosures, which could cause the price of our common stock to decline. Irrespective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spacing w:after="0" w:line="180"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may elect to comply with reduced public company reporting requirements applicable to emerging growth companies, which could make our common stock less attractive to investors.</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under the Securities Act of 1933, or the Securities Act. We will remain an emerging growth company until December 31, 2018, although if our revenue exceeds $1 billion in any fiscal year before that time, we would cease to be an emerging growth company as of the end of that fiscal year. In addition, if the market value of our common stock that is held by non-affiliates exceeds $700 million as of the last business day of our second fiscal quarter of any fiscal year before the end of that five-year period, we would cease to be an emerging growth company as of December 31 of that year. As an emerging growth company, we may choose to take advantage of exemptions from various reporting requirements applicable to certain other public companies, including not being required to comply with the auditor attestation requirements of Section 404 of the Sarbanes-Oxley Act of 2002, reduced financial statement and financial-related disclosures, reduced disclosure obligations regarding executive compensation in our periodic reports and proxy statements, and exemptions from the requirement of holding a nonbinding advisory vote on executive compensation and obtaining stockholder approval of any golden parachute payments not previously approved by our stockholders. If some investors find our common stock less attractive as a result of any choices to reduce future disclosure we may make, there may be a less active trading market for our common stock and our stock price may be more volatile.</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18" w:right="239" w:bottom="1440" w:gutter="0" w:footer="0" w:header="0"/>
        </w:sectPr>
      </w:pPr>
    </w:p>
    <w:bookmarkStart w:id="48" w:name="page49"/>
    <w:bookmarkEnd w:id="4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you may not be able to sell shares of our common stock at or above the price you paid.</w:t>
      </w:r>
    </w:p>
    <w:p>
      <w:pPr>
        <w:spacing w:after="0" w:line="22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is likely to continue to be highly volatile and could be subject to wide fluctuations in response to various factors, some of which are beyond our control. These factors include:</w:t>
      </w:r>
    </w:p>
    <w:p>
      <w:pPr>
        <w:spacing w:after="0" w:line="162"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and our competitors’ results of operations;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 commercial relationships or capital commitments;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reimbursement by current or potential payers, including governmental payers;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securities analysts’ reports or changed recommendations for our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revenue, due in part to the way in which we recognize revenue;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regulatory oversight of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our involvement in, litigation;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or technologies by us or our competitors;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management;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slow or negative growth of our markets.</w:t>
      </w:r>
    </w:p>
    <w:p>
      <w:pPr>
        <w:spacing w:after="0" w:line="22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stock of life sciences companies and other emerging growth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These fluctuations may be even more pronounced if the trading volume of our stock remains low.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8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issue an adverse opinion regarding our stock or do not publish research or reports about our company, our stock price and trading volume could decline.</w:t>
      </w:r>
    </w:p>
    <w:p>
      <w:pPr>
        <w:spacing w:after="0" w:line="15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equity research analysts publish about us, our business and our competitors. We do not control these analysts or the content and opinions or financial models included in their reports. Securities analysts may elect not to provide research coverage of our company, and such lack of research coverage may adversely affect the market price of our common stock. The price of our common stock could also decline if one or more equity research analysts downgrade our common stock or if those analysts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Insiders have substantial control over us and will be able to influence corporate matters.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As of July 29, 2016, directors and executive officers and their affiliates beneficially owned, in the aggregate, 41% of our outstanding capital stock. As a result, these stockholders will be able to exercise significant influence over all matters requiring stockholder approval, including the election of directors and approval of significant corporate transactions, such as a merger or other sale of our company or its assets. This concentration of ownership could limit stockholders’ ability to influence corporate matters and may have the effect of delaying or preventing a third-party from acquiring control over us.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18" w:right="239" w:bottom="1440" w:gutter="0" w:footer="0" w:header="0"/>
        </w:sectPr>
      </w:pPr>
    </w:p>
    <w:bookmarkStart w:id="49" w:name="page50"/>
    <w:bookmarkEnd w:id="4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discourage, delay or prevent a change in control and may affect the trading price of our common stock.</w:t>
      </w:r>
    </w:p>
    <w:p>
      <w:pPr>
        <w:spacing w:after="0" w:line="15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Provisions in our restated certificate of incorporation and our amended and restated bylaws may have the effect of delaying or preventing a change of control or changes in our management. Our restated certificate of incorporation and amended and restated bylaws include provisions that:</w:t>
      </w:r>
    </w:p>
    <w:p>
      <w:pPr>
        <w:spacing w:after="0" w:line="162"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up to 5.0 million shares of undesignated preferred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w:t>
      </w:r>
    </w:p>
    <w:p>
      <w:pPr>
        <w:spacing w:after="0" w:line="225"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our chairman of the board, or our chief executive officer;</w:t>
      </w:r>
    </w:p>
    <w:p>
      <w:pPr>
        <w:spacing w:after="0" w:line="161"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our board of directors is divided into three classes, Class I, Class II and Class III, with each class serving staggered terms;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only for cause;</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except as otherwise required by law, be filled only by a majority of directors then in office, even if less than a quorum;</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no stockholder is permitted to cumulate votes at any election of directors;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of votes to amend certain of the above-mentioned provisions.</w:t>
      </w:r>
    </w:p>
    <w:p>
      <w:pPr>
        <w:spacing w:after="0" w:line="225"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In addition, we are subject to the provisions of Section 203 of the Delaware General Corporation Law regulating corporate takeovers. Section 203 generally prohibits us from engaging in a business combination with an interested stockholder subject to certain exceptions.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paid dividends on our capital stock, and we do not anticipate paying dividends in the foreseeable future.</w:t>
      </w:r>
    </w:p>
    <w:p>
      <w:pPr>
        <w:spacing w:after="0" w:line="22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We have never paid dividends on any of our capital stock and currently intend to retain any future earnings to fund the growth of our business. In addition, our credit agreement restricts our ability to pay cash dividends on our common stock and we may also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18" w:right="239" w:bottom="1440" w:gutter="0" w:footer="0" w:header="0"/>
        </w:sectPr>
      </w:pPr>
    </w:p>
    <w:bookmarkStart w:id="50" w:name="page51"/>
    <w:bookmarkEnd w:id="5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920" w:type="dxa"/>
            <w:vAlign w:val="bottom"/>
            <w:vMerge w:val="restart"/>
          </w:tcPr>
          <w:p>
            <w:pPr>
              <w:ind w:left="46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13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1"/>
                <w:szCs w:val="21"/>
                <w:color w:val="auto"/>
              </w:rPr>
            </w:pPr>
          </w:p>
        </w:tc>
        <w:tc>
          <w:tcPr>
            <w:tcW w:w="9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Principal Executive Officer’s Certification Pursuant to Section 302 of the Sarbanes-Oxley Act of 2002</w:t>
            </w:r>
          </w:p>
        </w:tc>
        <w:tc>
          <w:tcPr>
            <w:tcW w:w="0" w:type="dxa"/>
            <w:vAlign w:val="bottom"/>
          </w:tcPr>
          <w:p>
            <w:pPr>
              <w:spacing w:after="0"/>
              <w:rPr>
                <w:sz w:val="1"/>
                <w:szCs w:val="1"/>
                <w:color w:val="auto"/>
              </w:rPr>
            </w:pPr>
          </w:p>
        </w:tc>
      </w:tr>
      <w:tr>
        <w:trPr>
          <w:trHeight w:val="270"/>
        </w:trPr>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3"/>
                <w:szCs w:val="23"/>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Officer’s Certification Pursuant to Section 302 of the Sarbanes-Oxley Act of 2002</w:t>
            </w:r>
          </w:p>
        </w:tc>
        <w:tc>
          <w:tcPr>
            <w:tcW w:w="0" w:type="dxa"/>
            <w:vAlign w:val="bottom"/>
          </w:tcPr>
          <w:p>
            <w:pPr>
              <w:spacing w:after="0"/>
              <w:rPr>
                <w:sz w:val="1"/>
                <w:szCs w:val="1"/>
                <w:color w:val="auto"/>
              </w:rPr>
            </w:pPr>
          </w:p>
        </w:tc>
      </w:tr>
      <w:tr>
        <w:trPr>
          <w:trHeight w:val="270"/>
        </w:trPr>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3"/>
                <w:szCs w:val="23"/>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Pursuant to 18 U.S.C. § 1350 (Section 906 of the Sarbanes-Oxley Act of 2002)</w:t>
            </w:r>
          </w:p>
        </w:tc>
        <w:tc>
          <w:tcPr>
            <w:tcW w:w="0" w:type="dxa"/>
            <w:vAlign w:val="bottom"/>
          </w:tcPr>
          <w:p>
            <w:pPr>
              <w:spacing w:after="0"/>
              <w:rPr>
                <w:sz w:val="1"/>
                <w:szCs w:val="1"/>
                <w:color w:val="auto"/>
              </w:rPr>
            </w:pPr>
          </w:p>
        </w:tc>
      </w:tr>
      <w:tr>
        <w:trPr>
          <w:trHeight w:val="270"/>
        </w:trPr>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3"/>
                <w:szCs w:val="23"/>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Pursuant to 18 U.S.C. § 1350 (Section 906 of the Sarbanes-Oxley Act of 2002)</w:t>
            </w:r>
          </w:p>
        </w:tc>
        <w:tc>
          <w:tcPr>
            <w:tcW w:w="0" w:type="dxa"/>
            <w:vAlign w:val="bottom"/>
          </w:tcPr>
          <w:p>
            <w:pPr>
              <w:spacing w:after="0"/>
              <w:rPr>
                <w:sz w:val="1"/>
                <w:szCs w:val="1"/>
                <w:color w:val="auto"/>
              </w:rPr>
            </w:pPr>
          </w:p>
        </w:tc>
      </w:tr>
      <w:tr>
        <w:trPr>
          <w:trHeight w:val="270"/>
        </w:trPr>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101.INS</w:t>
            </w: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270"/>
        </w:trPr>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101.SCH</w:t>
            </w: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Schema</w:t>
            </w:r>
          </w:p>
        </w:tc>
        <w:tc>
          <w:tcPr>
            <w:tcW w:w="0" w:type="dxa"/>
            <w:vAlign w:val="bottom"/>
          </w:tcPr>
          <w:p>
            <w:pPr>
              <w:spacing w:after="0"/>
              <w:rPr>
                <w:sz w:val="1"/>
                <w:szCs w:val="1"/>
                <w:color w:val="auto"/>
              </w:rPr>
            </w:pPr>
          </w:p>
        </w:tc>
      </w:tr>
      <w:tr>
        <w:trPr>
          <w:trHeight w:val="270"/>
        </w:trPr>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101.CAL</w:t>
            </w: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0" w:type="dxa"/>
            <w:vAlign w:val="bottom"/>
          </w:tcPr>
          <w:p>
            <w:pPr>
              <w:spacing w:after="0"/>
              <w:rPr>
                <w:sz w:val="1"/>
                <w:szCs w:val="1"/>
                <w:color w:val="auto"/>
              </w:rPr>
            </w:pPr>
          </w:p>
        </w:tc>
      </w:tr>
      <w:tr>
        <w:trPr>
          <w:trHeight w:val="270"/>
        </w:trPr>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101.DEF</w:t>
            </w: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c>
          <w:tcPr>
            <w:tcW w:w="0" w:type="dxa"/>
            <w:vAlign w:val="bottom"/>
          </w:tcPr>
          <w:p>
            <w:pPr>
              <w:spacing w:after="0"/>
              <w:rPr>
                <w:sz w:val="1"/>
                <w:szCs w:val="1"/>
                <w:color w:val="auto"/>
              </w:rPr>
            </w:pPr>
          </w:p>
        </w:tc>
      </w:tr>
      <w:tr>
        <w:trPr>
          <w:trHeight w:val="270"/>
        </w:trPr>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101.LAB</w:t>
            </w: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0" w:type="dxa"/>
            <w:vAlign w:val="bottom"/>
          </w:tcPr>
          <w:p>
            <w:pPr>
              <w:spacing w:after="0"/>
              <w:rPr>
                <w:sz w:val="1"/>
                <w:szCs w:val="1"/>
                <w:color w:val="auto"/>
              </w:rPr>
            </w:pPr>
          </w:p>
        </w:tc>
      </w:tr>
      <w:tr>
        <w:trPr>
          <w:trHeight w:val="270"/>
        </w:trPr>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101.PRE</w:t>
            </w: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9436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340" w:lineRule="exact"/>
        <w:rPr>
          <w:sz w:val="20"/>
          <w:szCs w:val="20"/>
          <w:color w:val="auto"/>
        </w:rPr>
      </w:pPr>
    </w:p>
    <w:p>
      <w:pPr>
        <w:ind w:left="1520" w:right="200" w:hanging="1485"/>
        <w:spacing w:after="0" w:line="261" w:lineRule="auto"/>
        <w:tabs>
          <w:tab w:leader="none" w:pos="1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Regulation S-K and SEC Release No. 34-47986, the certifications furnished in Exhibits 32.1 and 32.2 hereto are deemed to accompany this Form 10-Q and will not be deemed “filed” for purposes of Section 18 of the Securities Exchange Act of 1934 (the “Exchange Act”) or deemed to be incorporated by reference into any filing under the Exchange Act or the Securities Act of 1933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118" w:right="239" w:bottom="1440" w:gutter="0" w:footer="0" w:header="0"/>
        </w:sectPr>
      </w:pPr>
    </w:p>
    <w:bookmarkStart w:id="51" w:name="page52"/>
    <w:bookmarkEnd w:id="5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3, 2016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VERACYTE, INC.</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SHELLY D. GUYER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34290</wp:posOffset>
            </wp:positionV>
            <wp:extent cx="3258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Shelly D. Guyer</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7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40"/>
          </w:cols>
          <w:pgMar w:left="240" w:top="118" w:right="719" w:bottom="1440" w:gutter="0" w:footer="0" w:header="0"/>
        </w:sectPr>
      </w:pPr>
    </w:p>
    <w:bookmarkStart w:id="52" w:name="page53"/>
    <w:bookmarkEnd w:id="5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35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502"/>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920" w:type="dxa"/>
            <w:vAlign w:val="bottom"/>
            <w:vMerge w:val="restart"/>
          </w:tcPr>
          <w:p>
            <w:pPr>
              <w:ind w:left="46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13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1"/>
                <w:szCs w:val="21"/>
                <w:color w:val="auto"/>
              </w:rPr>
            </w:pPr>
          </w:p>
        </w:tc>
        <w:tc>
          <w:tcPr>
            <w:tcW w:w="9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Principal Executive Officer’s Certification Pursuant to Section 302 of the Sarbanes-Oxley Act of 2002</w:t>
            </w:r>
          </w:p>
        </w:tc>
        <w:tc>
          <w:tcPr>
            <w:tcW w:w="0" w:type="dxa"/>
            <w:vAlign w:val="bottom"/>
          </w:tcPr>
          <w:p>
            <w:pPr>
              <w:spacing w:after="0"/>
              <w:rPr>
                <w:sz w:val="1"/>
                <w:szCs w:val="1"/>
                <w:color w:val="auto"/>
              </w:rPr>
            </w:pPr>
          </w:p>
        </w:tc>
      </w:tr>
      <w:tr>
        <w:trPr>
          <w:trHeight w:val="270"/>
        </w:trPr>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3"/>
                <w:szCs w:val="23"/>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Officer’s Certification Pursuant to Section 302 of the Sarbanes-Oxley Act of 2002</w:t>
            </w:r>
          </w:p>
        </w:tc>
        <w:tc>
          <w:tcPr>
            <w:tcW w:w="0" w:type="dxa"/>
            <w:vAlign w:val="bottom"/>
          </w:tcPr>
          <w:p>
            <w:pPr>
              <w:spacing w:after="0"/>
              <w:rPr>
                <w:sz w:val="1"/>
                <w:szCs w:val="1"/>
                <w:color w:val="auto"/>
              </w:rPr>
            </w:pPr>
          </w:p>
        </w:tc>
      </w:tr>
      <w:tr>
        <w:trPr>
          <w:trHeight w:val="270"/>
        </w:trPr>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3"/>
                <w:szCs w:val="23"/>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Pursuant to 18 U.S.C. § 1350 (Section 906 of the Sarbanes-Oxley Act of 2002)</w:t>
            </w:r>
          </w:p>
        </w:tc>
        <w:tc>
          <w:tcPr>
            <w:tcW w:w="0" w:type="dxa"/>
            <w:vAlign w:val="bottom"/>
          </w:tcPr>
          <w:p>
            <w:pPr>
              <w:spacing w:after="0"/>
              <w:rPr>
                <w:sz w:val="1"/>
                <w:szCs w:val="1"/>
                <w:color w:val="auto"/>
              </w:rPr>
            </w:pPr>
          </w:p>
        </w:tc>
      </w:tr>
      <w:tr>
        <w:trPr>
          <w:trHeight w:val="270"/>
        </w:trPr>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3"/>
                <w:szCs w:val="23"/>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Pursuant to 18 U.S.C. § 1350 (Section 906 of the Sarbanes-Oxley Act of 2002)</w:t>
            </w:r>
          </w:p>
        </w:tc>
        <w:tc>
          <w:tcPr>
            <w:tcW w:w="0" w:type="dxa"/>
            <w:vAlign w:val="bottom"/>
          </w:tcPr>
          <w:p>
            <w:pPr>
              <w:spacing w:after="0"/>
              <w:rPr>
                <w:sz w:val="1"/>
                <w:szCs w:val="1"/>
                <w:color w:val="auto"/>
              </w:rPr>
            </w:pPr>
          </w:p>
        </w:tc>
      </w:tr>
      <w:tr>
        <w:trPr>
          <w:trHeight w:val="270"/>
        </w:trPr>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101.INS</w:t>
            </w: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270"/>
        </w:trPr>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101.SCH</w:t>
            </w: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Schema</w:t>
            </w:r>
          </w:p>
        </w:tc>
        <w:tc>
          <w:tcPr>
            <w:tcW w:w="0" w:type="dxa"/>
            <w:vAlign w:val="bottom"/>
          </w:tcPr>
          <w:p>
            <w:pPr>
              <w:spacing w:after="0"/>
              <w:rPr>
                <w:sz w:val="1"/>
                <w:szCs w:val="1"/>
                <w:color w:val="auto"/>
              </w:rPr>
            </w:pPr>
          </w:p>
        </w:tc>
      </w:tr>
      <w:tr>
        <w:trPr>
          <w:trHeight w:val="270"/>
        </w:trPr>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101.CAL</w:t>
            </w: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0" w:type="dxa"/>
            <w:vAlign w:val="bottom"/>
          </w:tcPr>
          <w:p>
            <w:pPr>
              <w:spacing w:after="0"/>
              <w:rPr>
                <w:sz w:val="1"/>
                <w:szCs w:val="1"/>
                <w:color w:val="auto"/>
              </w:rPr>
            </w:pPr>
          </w:p>
        </w:tc>
      </w:tr>
      <w:tr>
        <w:trPr>
          <w:trHeight w:val="270"/>
        </w:trPr>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101.DEF</w:t>
            </w: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c>
          <w:tcPr>
            <w:tcW w:w="0" w:type="dxa"/>
            <w:vAlign w:val="bottom"/>
          </w:tcPr>
          <w:p>
            <w:pPr>
              <w:spacing w:after="0"/>
              <w:rPr>
                <w:sz w:val="1"/>
                <w:szCs w:val="1"/>
                <w:color w:val="auto"/>
              </w:rPr>
            </w:pPr>
          </w:p>
        </w:tc>
      </w:tr>
      <w:tr>
        <w:trPr>
          <w:trHeight w:val="270"/>
        </w:trPr>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101.LAB</w:t>
            </w: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0" w:type="dxa"/>
            <w:vAlign w:val="bottom"/>
          </w:tcPr>
          <w:p>
            <w:pPr>
              <w:spacing w:after="0"/>
              <w:rPr>
                <w:sz w:val="1"/>
                <w:szCs w:val="1"/>
                <w:color w:val="auto"/>
              </w:rPr>
            </w:pPr>
          </w:p>
        </w:tc>
      </w:tr>
      <w:tr>
        <w:trPr>
          <w:trHeight w:val="270"/>
        </w:trPr>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101.PRE</w:t>
            </w: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9436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340" w:lineRule="exact"/>
        <w:rPr>
          <w:sz w:val="20"/>
          <w:szCs w:val="20"/>
          <w:color w:val="auto"/>
        </w:rPr>
      </w:pPr>
    </w:p>
    <w:p>
      <w:pPr>
        <w:ind w:left="1520" w:right="200" w:hanging="1485"/>
        <w:spacing w:after="0" w:line="261" w:lineRule="auto"/>
        <w:tabs>
          <w:tab w:leader="none" w:pos="1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Regulation S-K and SEC Release No. 34-47986, the certifications furnished in Exhibits 32.1 and 32.2 hereto are deemed to accompany this Form 10-Q and will not be deemed “filed” for purposes of Section 18 of the Securities Exchange Act of 1934 (the “Exchange Act”) or deemed to be incorporated by reference into any filing under the Exchange Act or the Securities Act of 1933 except to the extent that the registrant specifically incorporates it by reference.</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118" w:right="2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OFFICER’S 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Bonnie H. Anderson, certify that:</w:t>
      </w:r>
    </w:p>
    <w:p>
      <w:pPr>
        <w:spacing w:after="0" w:line="225" w:lineRule="exact"/>
        <w:rPr>
          <w:sz w:val="20"/>
          <w:szCs w:val="20"/>
          <w:color w:val="auto"/>
        </w:rPr>
      </w:pPr>
    </w:p>
    <w:p>
      <w:pPr>
        <w:ind w:left="1340" w:hanging="684"/>
        <w:spacing w:after="0"/>
        <w:tabs>
          <w:tab w:leader="none" w:pos="1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Veracyte, Inc. for the quarter ended June 30, 2016;</w:t>
      </w:r>
    </w:p>
    <w:p>
      <w:pPr>
        <w:spacing w:after="0" w:line="265"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w:t>
      </w:r>
    </w:p>
    <w:p>
      <w:pPr>
        <w:spacing w:after="0" w:line="5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make the statements made, in light of the circumstances under which such statements were made, not misleading with respect to the period covered by this report;</w:t>
      </w:r>
    </w:p>
    <w:p>
      <w:pPr>
        <w:spacing w:after="0" w:line="162" w:lineRule="exact"/>
        <w:rPr>
          <w:sz w:val="20"/>
          <w:szCs w:val="20"/>
          <w:color w:val="auto"/>
        </w:rPr>
      </w:pPr>
    </w:p>
    <w:p>
      <w:pPr>
        <w:ind w:right="460" w:firstLine="656"/>
        <w:spacing w:after="0" w:line="329" w:lineRule="auto"/>
        <w:tabs>
          <w:tab w:leader="none" w:pos="132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w:t>
      </w:r>
    </w:p>
    <w:p>
      <w:pPr>
        <w:spacing w:after="0" w:line="5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defined in Exchange Act Rules 13a-15(e) and 15d-15(e)) and internal control over financial reporting (as defined in Exchange Act Rules 13a-15(f) and 15d-15(f)) for the registrant and have:</w:t>
      </w:r>
    </w:p>
    <w:p>
      <w:pPr>
        <w:spacing w:after="0" w:line="162" w:lineRule="exact"/>
        <w:rPr>
          <w:sz w:val="20"/>
          <w:szCs w:val="20"/>
          <w:color w:val="auto"/>
        </w:rPr>
      </w:pPr>
    </w:p>
    <w:p>
      <w:pPr>
        <w:ind w:left="1980" w:hanging="675"/>
        <w:spacing w:after="0"/>
        <w:tabs>
          <w:tab w:leader="none" w:pos="1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w:t>
      </w:r>
    </w:p>
    <w:p>
      <w:pPr>
        <w:spacing w:after="0" w:line="50" w:lineRule="exact"/>
        <w:rPr>
          <w:sz w:val="20"/>
          <w:szCs w:val="20"/>
          <w:color w:val="auto"/>
        </w:rPr>
      </w:pPr>
    </w:p>
    <w:p>
      <w:pPr>
        <w:ind w:left="660" w:right="460"/>
        <w:spacing w:after="0" w:line="282" w:lineRule="auto"/>
        <w:rPr>
          <w:sz w:val="20"/>
          <w:szCs w:val="20"/>
          <w:color w:val="auto"/>
        </w:rPr>
      </w:pPr>
      <w:r>
        <w:rPr>
          <w:rFonts w:ascii="Times New Roman" w:cs="Times New Roman" w:eastAsia="Times New Roman" w:hAnsi="Times New Roman"/>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sz w:val="20"/>
          <w:szCs w:val="20"/>
          <w:color w:val="auto"/>
        </w:rPr>
      </w:pPr>
    </w:p>
    <w:p>
      <w:pPr>
        <w:ind w:left="1980" w:hanging="675"/>
        <w:spacing w:after="0"/>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w:t>
      </w:r>
    </w:p>
    <w:p>
      <w:pPr>
        <w:spacing w:after="0" w:line="50" w:lineRule="exact"/>
        <w:rPr>
          <w:sz w:val="20"/>
          <w:szCs w:val="20"/>
          <w:color w:val="auto"/>
        </w:rPr>
      </w:pPr>
    </w:p>
    <w:p>
      <w:pPr>
        <w:ind w:left="660" w:right="120"/>
        <w:spacing w:after="0" w:line="282" w:lineRule="auto"/>
        <w:rPr>
          <w:sz w:val="20"/>
          <w:szCs w:val="20"/>
          <w:color w:val="auto"/>
        </w:rPr>
      </w:pPr>
      <w:r>
        <w:rPr>
          <w:rFonts w:ascii="Times New Roman" w:cs="Times New Roman" w:eastAsia="Times New Roman" w:hAnsi="Times New Roman"/>
          <w:sz w:val="18"/>
          <w:szCs w:val="18"/>
          <w:color w:val="auto"/>
        </w:rPr>
        <w:t>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sz w:val="20"/>
          <w:szCs w:val="20"/>
          <w:color w:val="auto"/>
        </w:rPr>
      </w:pPr>
    </w:p>
    <w:p>
      <w:pPr>
        <w:ind w:left="660" w:right="320" w:firstLine="645"/>
        <w:spacing w:after="0" w:line="362" w:lineRule="auto"/>
        <w:tabs>
          <w:tab w:leader="none" w:pos="1993"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1980" w:hanging="675"/>
        <w:spacing w:after="0"/>
        <w:tabs>
          <w:tab w:leader="none" w:pos="1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w:t>
      </w:r>
    </w:p>
    <w:p>
      <w:pPr>
        <w:spacing w:after="0" w:line="50" w:lineRule="exact"/>
        <w:rPr>
          <w:sz w:val="20"/>
          <w:szCs w:val="20"/>
          <w:color w:val="auto"/>
        </w:rPr>
      </w:pPr>
    </w:p>
    <w:p>
      <w:pPr>
        <w:ind w:left="660" w:right="160"/>
        <w:spacing w:after="0" w:line="282" w:lineRule="auto"/>
        <w:rPr>
          <w:sz w:val="20"/>
          <w:szCs w:val="20"/>
          <w:color w:val="auto"/>
        </w:rPr>
      </w:pPr>
      <w:r>
        <w:rPr>
          <w:rFonts w:ascii="Times New Roman" w:cs="Times New Roman" w:eastAsia="Times New Roman" w:hAnsi="Times New Roman"/>
          <w:sz w:val="18"/>
          <w:szCs w:val="18"/>
          <w:color w:val="auto"/>
        </w:rPr>
        <w:t>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sz w:val="20"/>
          <w:szCs w:val="20"/>
          <w:color w:val="auto"/>
        </w:rPr>
      </w:pPr>
    </w:p>
    <w:p>
      <w:pPr>
        <w:ind w:right="520" w:firstLine="656"/>
        <w:spacing w:after="0" w:line="362" w:lineRule="auto"/>
        <w:tabs>
          <w:tab w:leader="none" w:pos="1328"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660" w:right="220" w:firstLine="645"/>
        <w:spacing w:after="0" w:line="329" w:lineRule="auto"/>
        <w:tabs>
          <w:tab w:leader="none" w:pos="197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660" w:right="240" w:firstLine="645"/>
        <w:spacing w:after="0" w:line="329" w:lineRule="auto"/>
        <w:tabs>
          <w:tab w:leader="none" w:pos="198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83"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August 3, 2016</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Bonnie H. Anderson</w:t>
      </w:r>
    </w:p>
    <w:p>
      <w:pPr>
        <w:spacing w:after="0" w:line="6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576" w:right="2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OFFICER’S 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Shelly D. Guyer, certify that:</w:t>
      </w:r>
    </w:p>
    <w:p>
      <w:pPr>
        <w:spacing w:after="0" w:line="225" w:lineRule="exact"/>
        <w:rPr>
          <w:sz w:val="20"/>
          <w:szCs w:val="20"/>
          <w:color w:val="auto"/>
        </w:rPr>
      </w:pPr>
    </w:p>
    <w:p>
      <w:pPr>
        <w:ind w:left="1340" w:hanging="684"/>
        <w:spacing w:after="0"/>
        <w:tabs>
          <w:tab w:leader="none" w:pos="1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Veracyte, Inc. for the quarter ended June 30, 2016;</w:t>
      </w:r>
    </w:p>
    <w:p>
      <w:pPr>
        <w:spacing w:after="0" w:line="265"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w:t>
      </w:r>
    </w:p>
    <w:p>
      <w:pPr>
        <w:spacing w:after="0" w:line="5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make the statements made, in light of the circumstances under which such statements were made, not misleading with respect to the period covered by this report;</w:t>
      </w:r>
    </w:p>
    <w:p>
      <w:pPr>
        <w:spacing w:after="0" w:line="162" w:lineRule="exact"/>
        <w:rPr>
          <w:sz w:val="20"/>
          <w:szCs w:val="20"/>
          <w:color w:val="auto"/>
        </w:rPr>
      </w:pPr>
    </w:p>
    <w:p>
      <w:pPr>
        <w:ind w:right="460" w:firstLine="656"/>
        <w:spacing w:after="0" w:line="329" w:lineRule="auto"/>
        <w:tabs>
          <w:tab w:leader="none" w:pos="13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w:t>
      </w:r>
    </w:p>
    <w:p>
      <w:pPr>
        <w:spacing w:after="0" w:line="5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defined in Exchange Act Rules 13a-15(e) and 15d-15(e)) and internal control over financial reporting (as defined in Exchange Act Rules 13a-15(f) and 15d-15(f)) for the registrant and have:</w:t>
      </w:r>
    </w:p>
    <w:p>
      <w:pPr>
        <w:spacing w:after="0" w:line="162" w:lineRule="exact"/>
        <w:rPr>
          <w:sz w:val="20"/>
          <w:szCs w:val="20"/>
          <w:color w:val="auto"/>
        </w:rPr>
      </w:pPr>
    </w:p>
    <w:p>
      <w:pPr>
        <w:ind w:left="1980" w:hanging="675"/>
        <w:spacing w:after="0"/>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w:t>
      </w:r>
    </w:p>
    <w:p>
      <w:pPr>
        <w:spacing w:after="0" w:line="50" w:lineRule="exact"/>
        <w:rPr>
          <w:sz w:val="20"/>
          <w:szCs w:val="20"/>
          <w:color w:val="auto"/>
        </w:rPr>
      </w:pPr>
    </w:p>
    <w:p>
      <w:pPr>
        <w:ind w:left="660" w:right="460"/>
        <w:spacing w:after="0" w:line="282" w:lineRule="auto"/>
        <w:rPr>
          <w:sz w:val="20"/>
          <w:szCs w:val="20"/>
          <w:color w:val="auto"/>
        </w:rPr>
      </w:pPr>
      <w:r>
        <w:rPr>
          <w:rFonts w:ascii="Times New Roman" w:cs="Times New Roman" w:eastAsia="Times New Roman" w:hAnsi="Times New Roman"/>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sz w:val="20"/>
          <w:szCs w:val="20"/>
          <w:color w:val="auto"/>
        </w:rPr>
      </w:pPr>
    </w:p>
    <w:p>
      <w:pPr>
        <w:ind w:left="1980" w:hanging="675"/>
        <w:spacing w:after="0"/>
        <w:tabs>
          <w:tab w:leader="none" w:pos="1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w:t>
      </w:r>
    </w:p>
    <w:p>
      <w:pPr>
        <w:spacing w:after="0" w:line="50" w:lineRule="exact"/>
        <w:rPr>
          <w:sz w:val="20"/>
          <w:szCs w:val="20"/>
          <w:color w:val="auto"/>
        </w:rPr>
      </w:pPr>
    </w:p>
    <w:p>
      <w:pPr>
        <w:ind w:left="660" w:right="120"/>
        <w:spacing w:after="0" w:line="282" w:lineRule="auto"/>
        <w:rPr>
          <w:sz w:val="20"/>
          <w:szCs w:val="20"/>
          <w:color w:val="auto"/>
        </w:rPr>
      </w:pPr>
      <w:r>
        <w:rPr>
          <w:rFonts w:ascii="Times New Roman" w:cs="Times New Roman" w:eastAsia="Times New Roman" w:hAnsi="Times New Roman"/>
          <w:sz w:val="18"/>
          <w:szCs w:val="18"/>
          <w:color w:val="auto"/>
        </w:rPr>
        <w:t>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sz w:val="20"/>
          <w:szCs w:val="20"/>
          <w:color w:val="auto"/>
        </w:rPr>
      </w:pPr>
    </w:p>
    <w:p>
      <w:pPr>
        <w:ind w:left="660" w:right="320" w:firstLine="645"/>
        <w:spacing w:after="0" w:line="362" w:lineRule="auto"/>
        <w:tabs>
          <w:tab w:leader="none" w:pos="1993"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1980" w:hanging="675"/>
        <w:spacing w:after="0"/>
        <w:tabs>
          <w:tab w:leader="none" w:pos="1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w:t>
      </w:r>
    </w:p>
    <w:p>
      <w:pPr>
        <w:spacing w:after="0" w:line="50" w:lineRule="exact"/>
        <w:rPr>
          <w:sz w:val="20"/>
          <w:szCs w:val="20"/>
          <w:color w:val="auto"/>
        </w:rPr>
      </w:pPr>
    </w:p>
    <w:p>
      <w:pPr>
        <w:ind w:left="660" w:right="160"/>
        <w:spacing w:after="0" w:line="282" w:lineRule="auto"/>
        <w:rPr>
          <w:sz w:val="20"/>
          <w:szCs w:val="20"/>
          <w:color w:val="auto"/>
        </w:rPr>
      </w:pPr>
      <w:r>
        <w:rPr>
          <w:rFonts w:ascii="Times New Roman" w:cs="Times New Roman" w:eastAsia="Times New Roman" w:hAnsi="Times New Roman"/>
          <w:sz w:val="18"/>
          <w:szCs w:val="18"/>
          <w:color w:val="auto"/>
        </w:rPr>
        <w:t>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sz w:val="20"/>
          <w:szCs w:val="20"/>
          <w:color w:val="auto"/>
        </w:rPr>
      </w:pPr>
    </w:p>
    <w:p>
      <w:pPr>
        <w:ind w:right="520" w:firstLine="656"/>
        <w:spacing w:after="0" w:line="362" w:lineRule="auto"/>
        <w:tabs>
          <w:tab w:leader="none" w:pos="1328"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660" w:right="220" w:firstLine="645"/>
        <w:spacing w:after="0" w:line="329" w:lineRule="auto"/>
        <w:tabs>
          <w:tab w:leader="none" w:pos="197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660" w:right="240" w:firstLine="645"/>
        <w:spacing w:after="0" w:line="329" w:lineRule="auto"/>
        <w:tabs>
          <w:tab w:leader="none" w:pos="198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83"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August 3, 2016</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Shelly D. Guyer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Shelly D. Guyer</w:t>
      </w:r>
    </w:p>
    <w:p>
      <w:pPr>
        <w:spacing w:after="0" w:line="6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576" w:right="2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54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Veracyte, Inc. (the “Company”) on Form 10-Q for the quarter ended June 30, 2016,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76" w:lineRule="exact"/>
        <w:rPr>
          <w:sz w:val="20"/>
          <w:szCs w:val="20"/>
          <w:color w:val="auto"/>
        </w:rPr>
      </w:pPr>
    </w:p>
    <w:p>
      <w:pPr>
        <w:ind w:left="2000" w:hanging="695"/>
        <w:spacing w:after="0"/>
        <w:tabs>
          <w:tab w:leader="none" w:pos="2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65"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w:t>
      </w:r>
    </w:p>
    <w:p>
      <w:pPr>
        <w:spacing w:after="0" w:line="4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w:t>
      </w:r>
    </w:p>
    <w:p>
      <w:pPr>
        <w:spacing w:after="0" w:line="387"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August 3, 2016</w:t>
      </w:r>
    </w:p>
    <w:p>
      <w:pPr>
        <w:spacing w:after="0" w:line="33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Bonnie H. Anderson</w:t>
      </w:r>
    </w:p>
    <w:p>
      <w:pPr>
        <w:spacing w:after="0" w:line="6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576" w:right="2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54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Veracyte, Inc. (the “Company”) on Form 10-Q for the quarter ended June 30, 2016,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76" w:lineRule="exact"/>
        <w:rPr>
          <w:sz w:val="20"/>
          <w:szCs w:val="20"/>
          <w:color w:val="auto"/>
        </w:rPr>
      </w:pPr>
    </w:p>
    <w:p>
      <w:pPr>
        <w:ind w:left="2000" w:hanging="695"/>
        <w:spacing w:after="0"/>
        <w:tabs>
          <w:tab w:leader="none" w:pos="2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65"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w:t>
      </w:r>
    </w:p>
    <w:p>
      <w:pPr>
        <w:spacing w:after="0" w:line="4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w:t>
      </w:r>
    </w:p>
    <w:p>
      <w:pPr>
        <w:spacing w:after="0" w:line="387"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August 3, 2016</w:t>
      </w:r>
    </w:p>
    <w:p>
      <w:pPr>
        <w:spacing w:after="0" w:line="33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Shelly D. Guyer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Shelly D. Guyer</w:t>
      </w:r>
    </w:p>
    <w:p>
      <w:pPr>
        <w:spacing w:after="0" w:line="6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3"/>
    </w:lvl>
  </w:abstractNum>
  <w:abstractNum w:abstractNumId="16">
    <w:nsid w:val="2443A858"/>
    <w:multiLevelType w:val="hybridMultilevel"/>
    <w:lvl w:ilvl="0">
      <w:lvlJc w:val="left"/>
      <w:lvlText w:val="%1)"/>
      <w:numFmt w:val="lowerLetter"/>
      <w:start w:val="1"/>
    </w:lvl>
  </w:abstractNum>
  <w:abstractNum w:abstractNumId="17">
    <w:nsid w:val="2D1D5AE9"/>
    <w:multiLevelType w:val="hybridMultilevel"/>
    <w:lvl w:ilvl="0">
      <w:lvlJc w:val="left"/>
      <w:lvlText w:val="%1)"/>
      <w:numFmt w:val="lowerLetter"/>
      <w:start w:val="2"/>
    </w:lvl>
  </w:abstractNum>
  <w:abstractNum w:abstractNumId="18">
    <w:nsid w:val="6763845E"/>
    <w:multiLevelType w:val="hybridMultilevel"/>
    <w:lvl w:ilvl="0">
      <w:lvlJc w:val="left"/>
      <w:lvlText w:val="%1)"/>
      <w:numFmt w:val="lowerLetter"/>
      <w:start w:val="3"/>
    </w:lvl>
  </w:abstractNum>
  <w:abstractNum w:abstractNumId="19">
    <w:nsid w:val="75A2A8D4"/>
    <w:multiLevelType w:val="hybridMultilevel"/>
    <w:lvl w:ilvl="0">
      <w:lvlJc w:val="left"/>
      <w:lvlText w:val="%1."/>
      <w:numFmt w:val="decimal"/>
      <w:start w:val="5"/>
    </w:lvl>
    <w:lvl w:ilvl="1">
      <w:lvlJc w:val="left"/>
      <w:lvlText w:val="%2)"/>
      <w:numFmt w:val="lowerLetter"/>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decimal"/>
      <w:start w:val="3"/>
    </w:lvl>
  </w:abstractNum>
  <w:abstractNum w:abstractNumId="22">
    <w:nsid w:val="4353D0CD"/>
    <w:multiLevelType w:val="hybridMultilevel"/>
    <w:lvl w:ilvl="0">
      <w:lvlJc w:val="left"/>
      <w:lvlText w:val="%1)"/>
      <w:numFmt w:val="lowerLetter"/>
      <w:start w:val="1"/>
    </w:lvl>
  </w:abstractNum>
  <w:abstractNum w:abstractNumId="23">
    <w:nsid w:val="B03E0C6"/>
    <w:multiLevelType w:val="hybridMultilevel"/>
    <w:lvl w:ilvl="0">
      <w:lvlJc w:val="left"/>
      <w:lvlText w:val="%1)"/>
      <w:numFmt w:val="lowerLetter"/>
      <w:start w:val="2"/>
    </w:lvl>
  </w:abstractNum>
  <w:abstractNum w:abstractNumId="24">
    <w:nsid w:val="189A769B"/>
    <w:multiLevelType w:val="hybridMultilevel"/>
    <w:lvl w:ilvl="0">
      <w:lvlJc w:val="left"/>
      <w:lvlText w:val="%1)"/>
      <w:numFmt w:val="lowerLetter"/>
      <w:start w:val="3"/>
    </w:lvl>
  </w:abstractNum>
  <w:abstractNum w:abstractNumId="25">
    <w:nsid w:val="54E49EB4"/>
    <w:multiLevelType w:val="hybridMultilevel"/>
    <w:lvl w:ilvl="0">
      <w:lvlJc w:val="left"/>
      <w:lvlText w:val="%1."/>
      <w:numFmt w:val="decimal"/>
      <w:start w:val="5"/>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2019-12-29T10:47:19Z</dcterms:created>
  <dcterms:modified xsi:type="dcterms:W3CDTF">2019-12-29T10:47:19Z</dcterms:modified>
</cp:coreProperties>
</file>