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95"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-7620</wp:posOffset>
            </wp:positionV>
            <wp:extent cx="1614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4805" cy="8890"/>
                    </a:xfrm>
                    <a:prstGeom prst="rect">
                      <a:avLst/>
                    </a:prstGeom>
                    <a:noFill/>
                  </pic:spPr>
                </pic:pic>
              </a:graphicData>
            </a:graphic>
          </wp:anchor>
        </w:drawing>
      </w:r>
    </w:p>
    <w:p>
      <w:pPr>
        <w:spacing w:after="0" w:line="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2141855</wp:posOffset>
            </wp:positionH>
            <wp:positionV relativeFrom="paragraph">
              <wp:posOffset>-7620</wp:posOffset>
            </wp:positionV>
            <wp:extent cx="3385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85185" cy="8890"/>
                    </a:xfrm>
                    <a:prstGeom prst="rect">
                      <a:avLst/>
                    </a:prstGeom>
                    <a:noFill/>
                  </pic:spPr>
                </pic:pic>
              </a:graphicData>
            </a:graphic>
          </wp:anchor>
        </w:drawing>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(Titles of Class of Securities)</w:t>
      </w:r>
    </w:p>
    <w:p>
      <w:pPr>
        <w:spacing w:after="0" w:line="207"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-7620</wp:posOffset>
            </wp:positionV>
            <wp:extent cx="2298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8700" cy="8890"/>
                    </a:xfrm>
                    <a:prstGeom prst="rect">
                      <a:avLst/>
                    </a:prstGeom>
                    <a:noFill/>
                  </pic:spPr>
                </pic:pic>
              </a:graphicData>
            </a:graphic>
          </wp:anchor>
        </w:drawing>
      </w:r>
    </w:p>
    <w:p>
      <w:pPr>
        <w:spacing w:after="0" w:line="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2586990</wp:posOffset>
            </wp:positionH>
            <wp:positionV relativeFrom="paragraph">
              <wp:posOffset>-7620</wp:posOffset>
            </wp:positionV>
            <wp:extent cx="2466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6340" cy="8890"/>
                    </a:xfrm>
                    <a:prstGeom prst="rect">
                      <a:avLst/>
                    </a:prstGeom>
                    <a:noFill/>
                  </pic:spPr>
                </pic:pic>
              </a:graphicData>
            </a:graphic>
          </wp:anchor>
        </w:drawing>
      </w:r>
    </w:p>
    <w:p>
      <w:pPr>
        <w:spacing w:after="0" w:line="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51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4" w:lineRule="exact"/>
        <w:rPr>
          <w:sz w:val="24"/>
          <w:szCs w:val="24"/>
          <w:color w:val="auto"/>
        </w:rPr>
      </w:pPr>
    </w:p>
    <w:p>
      <w:pPr>
        <w:ind w:left="51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13d-1(c)</w:t>
      </w:r>
    </w:p>
    <w:p>
      <w:pPr>
        <w:spacing w:after="0" w:line="24" w:lineRule="exact"/>
        <w:rPr>
          <w:sz w:val="24"/>
          <w:szCs w:val="24"/>
          <w:color w:val="auto"/>
        </w:rPr>
      </w:pPr>
    </w:p>
    <w:p>
      <w:pPr>
        <w:ind w:left="5320" w:hanging="230"/>
        <w:spacing w:after="0"/>
        <w:tabs>
          <w:tab w:leader="none" w:pos="5320" w:val="left"/>
        </w:tabs>
        <w:numPr>
          <w:ilvl w:val="1"/>
          <w:numId w:val="1"/>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204" w:lineRule="exact"/>
        <w:rPr>
          <w:rFonts w:ascii="MS PGothic" w:cs="MS PGothic" w:eastAsia="MS PGothic" w:hAnsi="MS PGothic"/>
          <w:sz w:val="22"/>
          <w:szCs w:val="22"/>
          <w:color w:val="auto"/>
        </w:rPr>
      </w:pPr>
    </w:p>
    <w:p>
      <w:pPr>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11"/>
        </w:trPr>
        <w:tc>
          <w:tcPr>
            <w:tcW w:w="39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b w:val="1"/>
                <w:bCs w:val="1"/>
                <w:color w:val="auto"/>
              </w:rPr>
              <w:t>Page 2 of 9</w:t>
            </w: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659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9755"/>
                    </a:xfrm>
                    <a:prstGeom prst="rect">
                      <a:avLst/>
                    </a:prstGeom>
                    <a:noFill/>
                  </pic:spPr>
                </pic:pic>
              </a:graphicData>
            </a:graphic>
          </wp:anchor>
        </w:drawing>
      </w:r>
    </w:p>
    <w:p>
      <w:pPr>
        <w:ind w:left="940" w:hanging="91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right="5100"/>
        <w:spacing w:after="0" w:line="308"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TPG Group Holdings (SBS) Advisors, Inc.</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40" w:type="dxa"/>
            <w:vAlign w:val="bottom"/>
            <w:tcBorders>
              <w:top w:val="single" w:sz="8" w:color="auto"/>
              <w:left w:val="single" w:sz="8" w:color="808080"/>
              <w:right w:val="single" w:sz="8" w:color="808080"/>
            </w:tcBorders>
            <w:vMerge w:val="restart"/>
          </w:tcPr>
          <w:p>
            <w:pPr>
              <w:jc w:val="right"/>
              <w:ind w:right="630"/>
              <w:spacing w:after="0"/>
              <w:rPr>
                <w:sz w:val="20"/>
                <w:szCs w:val="20"/>
                <w:color w:val="auto"/>
              </w:rPr>
            </w:pPr>
            <w:r>
              <w:rPr>
                <w:rFonts w:ascii="Arial" w:cs="Arial" w:eastAsia="Arial" w:hAnsi="Arial"/>
                <w:sz w:val="18"/>
                <w:szCs w:val="18"/>
                <w:color w:val="auto"/>
                <w:w w:val="99"/>
              </w:rPr>
              <w:t>2</w:t>
            </w:r>
          </w:p>
        </w:tc>
        <w:tc>
          <w:tcPr>
            <w:tcW w:w="10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95"/>
        </w:trPr>
        <w:tc>
          <w:tcPr>
            <w:tcW w:w="840" w:type="dxa"/>
            <w:vAlign w:val="bottom"/>
            <w:tcBorders>
              <w:left w:val="single" w:sz="8" w:color="808080"/>
              <w:right w:val="single" w:sz="8" w:color="808080"/>
            </w:tcBorders>
            <w:vMerge w:val="continue"/>
          </w:tcPr>
          <w:p>
            <w:pPr>
              <w:spacing w:after="0"/>
              <w:rPr>
                <w:sz w:val="8"/>
                <w:szCs w:val="8"/>
                <w:color w:val="auto"/>
              </w:rPr>
            </w:pPr>
          </w:p>
        </w:tc>
        <w:tc>
          <w:tcPr>
            <w:tcW w:w="10580" w:type="dxa"/>
            <w:vAlign w:val="bottom"/>
            <w:vMerge w:val="restart"/>
          </w:tcPr>
          <w:p>
            <w:pPr>
              <w:ind w:left="82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121"/>
        </w:trPr>
        <w:tc>
          <w:tcPr>
            <w:tcW w:w="840" w:type="dxa"/>
            <w:vAlign w:val="bottom"/>
            <w:tcBorders>
              <w:left w:val="single" w:sz="8" w:color="808080"/>
              <w:right w:val="single" w:sz="8" w:color="808080"/>
            </w:tcBorders>
          </w:tcPr>
          <w:p>
            <w:pPr>
              <w:spacing w:after="0"/>
              <w:rPr>
                <w:sz w:val="10"/>
                <w:szCs w:val="10"/>
                <w:color w:val="auto"/>
              </w:rPr>
            </w:pPr>
          </w:p>
        </w:tc>
        <w:tc>
          <w:tcPr>
            <w:tcW w:w="10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right w:val="single" w:sz="8" w:color="808080"/>
            </w:tcBorders>
          </w:tcPr>
          <w:p>
            <w:pPr>
              <w:spacing w:after="0"/>
              <w:rPr>
                <w:sz w:val="20"/>
                <w:szCs w:val="20"/>
                <w:color w:val="auto"/>
              </w:rPr>
            </w:pPr>
          </w:p>
        </w:tc>
        <w:tc>
          <w:tcPr>
            <w:tcW w:w="10580" w:type="dxa"/>
            <w:vAlign w:val="bottom"/>
          </w:tcPr>
          <w:p>
            <w:pPr>
              <w:ind w:left="8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right w:val="single" w:sz="8" w:color="808080"/>
            </w:tcBorders>
          </w:tcPr>
          <w:p>
            <w:pPr>
              <w:spacing w:after="0"/>
              <w:rPr>
                <w:sz w:val="18"/>
                <w:szCs w:val="18"/>
                <w:color w:val="auto"/>
              </w:rPr>
            </w:pPr>
          </w:p>
        </w:tc>
        <w:tc>
          <w:tcPr>
            <w:tcW w:w="10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40" w:hanging="818"/>
        <w:spacing w:after="0" w:line="180" w:lineRule="auto"/>
        <w:tabs>
          <w:tab w:leader="none" w:pos="84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SEC USE ONLY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105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81"/>
        </w:trPr>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405"/>
              <w:spacing w:after="0"/>
              <w:rPr>
                <w:sz w:val="20"/>
                <w:szCs w:val="20"/>
                <w:color w:val="auto"/>
              </w:rPr>
            </w:pPr>
            <w:r>
              <w:rPr>
                <w:rFonts w:ascii="Arial" w:cs="Arial" w:eastAsia="Arial" w:hAnsi="Arial"/>
                <w:sz w:val="15"/>
                <w:szCs w:val="15"/>
                <w:color w:val="auto"/>
                <w:w w:val="71"/>
              </w:rPr>
              <w:t>5</w:t>
            </w:r>
          </w:p>
        </w:tc>
        <w:tc>
          <w:tcPr>
            <w:tcW w:w="83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140" w:type="dxa"/>
            <w:vAlign w:val="bottom"/>
            <w:tcBorders>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6</w:t>
            </w:r>
          </w:p>
        </w:tc>
        <w:tc>
          <w:tcPr>
            <w:tcW w:w="83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3,551,929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7</w:t>
            </w:r>
          </w:p>
        </w:tc>
        <w:tc>
          <w:tcPr>
            <w:tcW w:w="8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20"/>
                <w:szCs w:val="20"/>
                <w:color w:val="auto"/>
              </w:rPr>
            </w:pPr>
          </w:p>
        </w:tc>
        <w:tc>
          <w:tcPr>
            <w:tcW w:w="8300" w:type="dxa"/>
            <w:vAlign w:val="bottom"/>
            <w:vMerge w:val="restart"/>
          </w:tcPr>
          <w:p>
            <w:pPr>
              <w:ind w:left="10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Borders>
              <w:right w:val="single" w:sz="8" w:color="auto"/>
            </w:tcBorders>
            <w:vMerge w:val="restart"/>
          </w:tcPr>
          <w:p>
            <w:pPr>
              <w:jc w:val="center"/>
              <w:ind w:right="750"/>
              <w:spacing w:after="0" w:line="170" w:lineRule="exact"/>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2"/>
                <w:szCs w:val="12"/>
                <w:color w:val="auto"/>
              </w:rPr>
            </w:pPr>
          </w:p>
        </w:tc>
        <w:tc>
          <w:tcPr>
            <w:tcW w:w="8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Borders>
              <w:right w:val="single" w:sz="8" w:color="auto"/>
            </w:tcBorders>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8</w:t>
            </w:r>
          </w:p>
        </w:tc>
        <w:tc>
          <w:tcPr>
            <w:tcW w:w="83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3,551,929</w:t>
            </w: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spacing w:after="0"/>
              <w:rPr>
                <w:sz w:val="19"/>
                <w:szCs w:val="19"/>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AGGREGATE AMOUNT</w:t>
            </w:r>
          </w:p>
        </w:tc>
        <w:tc>
          <w:tcPr>
            <w:tcW w:w="830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720" w:type="dxa"/>
            <w:vAlign w:val="bottom"/>
          </w:tcPr>
          <w:p>
            <w:pPr>
              <w:jc w:val="center"/>
              <w:ind w:right="710"/>
              <w:spacing w:after="0"/>
              <w:rPr>
                <w:sz w:val="20"/>
                <w:szCs w:val="20"/>
                <w:color w:val="auto"/>
              </w:rPr>
            </w:pPr>
            <w:r>
              <w:rPr>
                <w:rFonts w:ascii="Arial" w:cs="Arial" w:eastAsia="Arial" w:hAnsi="Arial"/>
                <w:sz w:val="18"/>
                <w:szCs w:val="18"/>
                <w:color w:val="auto"/>
                <w:w w:val="89"/>
              </w:rPr>
              <w:t>3,551,929</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CHECK BOX IF THE AGGREGATE AMOUNT IN ROW (9) EXCLUDES CERTAIN SHARES </w:t>
            </w: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63"/>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2"/>
              </w:rPr>
              <w:t>16.9% (1)</w:t>
            </w:r>
          </w:p>
        </w:tc>
        <w:tc>
          <w:tcPr>
            <w:tcW w:w="5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8"/>
        <w:spacing w:after="0" w:line="34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a total of 21,035,046 shares of Common Stock (as defined below) of the Issuer (as defined below) outstanding as of November 15, 2013, as reported on the Issuer’s Quarterly Report on Form 10-Q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11"/>
        </w:trPr>
        <w:tc>
          <w:tcPr>
            <w:tcW w:w="39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b w:val="1"/>
                <w:bCs w:val="1"/>
                <w:color w:val="auto"/>
              </w:rPr>
              <w:t>Page 3 of 9</w:t>
            </w: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80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ind w:left="940" w:hanging="91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right="5100"/>
        <w:spacing w:after="0" w:line="289"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David Bonderman</w:t>
      </w:r>
    </w:p>
    <w:tbl>
      <w:tblPr>
        <w:tblLayout w:type="fixed"/>
        <w:tblInd w:w="10" w:type="dxa"/>
        <w:tblCellMar>
          <w:top w:w="0" w:type="dxa"/>
          <w:left w:w="0" w:type="dxa"/>
          <w:bottom w:w="0" w:type="dxa"/>
          <w:right w:w="0" w:type="dxa"/>
        </w:tblCellMar>
      </w:tblPr>
      <w:tr>
        <w:trPr>
          <w:trHeight w:val="196"/>
        </w:trPr>
        <w:tc>
          <w:tcPr>
            <w:tcW w:w="840" w:type="dxa"/>
            <w:vAlign w:val="bottom"/>
            <w:tcBorders>
              <w:top w:val="single" w:sz="8" w:color="auto"/>
              <w:left w:val="single" w:sz="8" w:color="808080"/>
              <w:right w:val="single" w:sz="8" w:color="808080"/>
            </w:tcBorders>
            <w:vMerge w:val="restart"/>
          </w:tcPr>
          <w:p>
            <w:pPr>
              <w:jc w:val="right"/>
              <w:ind w:right="630"/>
              <w:spacing w:after="0"/>
              <w:rPr>
                <w:sz w:val="20"/>
                <w:szCs w:val="20"/>
                <w:color w:val="auto"/>
              </w:rPr>
            </w:pPr>
            <w:r>
              <w:rPr>
                <w:rFonts w:ascii="Arial" w:cs="Arial" w:eastAsia="Arial" w:hAnsi="Arial"/>
                <w:sz w:val="18"/>
                <w:szCs w:val="18"/>
                <w:color w:val="auto"/>
                <w:w w:val="99"/>
              </w:rPr>
              <w:t>2</w:t>
            </w:r>
          </w:p>
        </w:tc>
        <w:tc>
          <w:tcPr>
            <w:tcW w:w="10580" w:type="dxa"/>
            <w:vAlign w:val="bottom"/>
            <w:tcBorders>
              <w:top w:val="single" w:sz="8" w:color="auto"/>
            </w:tcBorders>
          </w:tcPr>
          <w:p>
            <w:pPr>
              <w:ind w:left="10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95"/>
        </w:trPr>
        <w:tc>
          <w:tcPr>
            <w:tcW w:w="840" w:type="dxa"/>
            <w:vAlign w:val="bottom"/>
            <w:tcBorders>
              <w:left w:val="single" w:sz="8" w:color="808080"/>
              <w:right w:val="single" w:sz="8" w:color="808080"/>
            </w:tcBorders>
            <w:vMerge w:val="continue"/>
          </w:tcPr>
          <w:p>
            <w:pPr>
              <w:spacing w:after="0"/>
              <w:rPr>
                <w:sz w:val="8"/>
                <w:szCs w:val="8"/>
                <w:color w:val="auto"/>
              </w:rPr>
            </w:pPr>
          </w:p>
        </w:tc>
        <w:tc>
          <w:tcPr>
            <w:tcW w:w="10580" w:type="dxa"/>
            <w:vAlign w:val="bottom"/>
            <w:vMerge w:val="restart"/>
          </w:tcPr>
          <w:p>
            <w:pPr>
              <w:ind w:left="82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121"/>
        </w:trPr>
        <w:tc>
          <w:tcPr>
            <w:tcW w:w="840" w:type="dxa"/>
            <w:vAlign w:val="bottom"/>
            <w:tcBorders>
              <w:left w:val="single" w:sz="8" w:color="808080"/>
              <w:right w:val="single" w:sz="8" w:color="808080"/>
            </w:tcBorders>
          </w:tcPr>
          <w:p>
            <w:pPr>
              <w:spacing w:after="0"/>
              <w:rPr>
                <w:sz w:val="10"/>
                <w:szCs w:val="10"/>
                <w:color w:val="auto"/>
              </w:rPr>
            </w:pPr>
          </w:p>
        </w:tc>
        <w:tc>
          <w:tcPr>
            <w:tcW w:w="10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right w:val="single" w:sz="8" w:color="808080"/>
            </w:tcBorders>
          </w:tcPr>
          <w:p>
            <w:pPr>
              <w:spacing w:after="0"/>
              <w:rPr>
                <w:sz w:val="20"/>
                <w:szCs w:val="20"/>
                <w:color w:val="auto"/>
              </w:rPr>
            </w:pPr>
          </w:p>
        </w:tc>
        <w:tc>
          <w:tcPr>
            <w:tcW w:w="10580" w:type="dxa"/>
            <w:vAlign w:val="bottom"/>
          </w:tcPr>
          <w:p>
            <w:pPr>
              <w:ind w:left="8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right w:val="single" w:sz="8" w:color="808080"/>
            </w:tcBorders>
          </w:tcPr>
          <w:p>
            <w:pPr>
              <w:spacing w:after="0"/>
              <w:rPr>
                <w:sz w:val="18"/>
                <w:szCs w:val="18"/>
                <w:color w:val="auto"/>
              </w:rPr>
            </w:pPr>
          </w:p>
        </w:tc>
        <w:tc>
          <w:tcPr>
            <w:tcW w:w="10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40" w:hanging="818"/>
        <w:spacing w:after="0" w:line="180" w:lineRule="auto"/>
        <w:tabs>
          <w:tab w:leader="none" w:pos="840" w:val="left"/>
        </w:tabs>
        <w:numPr>
          <w:ilvl w:val="0"/>
          <w:numId w:val="6"/>
        </w:numPr>
        <w:rPr>
          <w:rFonts w:ascii="Arial" w:cs="Arial" w:eastAsia="Arial" w:hAnsi="Arial"/>
          <w:sz w:val="25"/>
          <w:szCs w:val="25"/>
          <w:color w:val="auto"/>
          <w:vertAlign w:val="subscript"/>
        </w:rPr>
      </w:pPr>
      <w:r>
        <w:rPr>
          <w:rFonts w:ascii="Arial" w:cs="Arial" w:eastAsia="Arial" w:hAnsi="Arial"/>
          <w:sz w:val="14"/>
          <w:szCs w:val="14"/>
          <w:color w:val="auto"/>
        </w:rPr>
        <w:t>SEC USE ONLY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105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81"/>
        </w:trPr>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405"/>
              <w:spacing w:after="0"/>
              <w:rPr>
                <w:sz w:val="20"/>
                <w:szCs w:val="20"/>
                <w:color w:val="auto"/>
              </w:rPr>
            </w:pPr>
            <w:r>
              <w:rPr>
                <w:rFonts w:ascii="Arial" w:cs="Arial" w:eastAsia="Arial" w:hAnsi="Arial"/>
                <w:sz w:val="15"/>
                <w:szCs w:val="15"/>
                <w:color w:val="auto"/>
                <w:w w:val="71"/>
              </w:rPr>
              <w:t>5</w:t>
            </w:r>
          </w:p>
        </w:tc>
        <w:tc>
          <w:tcPr>
            <w:tcW w:w="83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140" w:type="dxa"/>
            <w:vAlign w:val="bottom"/>
            <w:tcBorders>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6</w:t>
            </w:r>
          </w:p>
        </w:tc>
        <w:tc>
          <w:tcPr>
            <w:tcW w:w="83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3,551,929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7</w:t>
            </w:r>
          </w:p>
        </w:tc>
        <w:tc>
          <w:tcPr>
            <w:tcW w:w="8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20"/>
                <w:szCs w:val="20"/>
                <w:color w:val="auto"/>
              </w:rPr>
            </w:pPr>
          </w:p>
        </w:tc>
        <w:tc>
          <w:tcPr>
            <w:tcW w:w="8300" w:type="dxa"/>
            <w:vAlign w:val="bottom"/>
            <w:vMerge w:val="restart"/>
          </w:tcPr>
          <w:p>
            <w:pPr>
              <w:ind w:left="10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Borders>
              <w:right w:val="single" w:sz="8" w:color="auto"/>
            </w:tcBorders>
            <w:vMerge w:val="restart"/>
          </w:tcPr>
          <w:p>
            <w:pPr>
              <w:jc w:val="center"/>
              <w:ind w:right="750"/>
              <w:spacing w:after="0" w:line="170" w:lineRule="exact"/>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2"/>
                <w:szCs w:val="12"/>
                <w:color w:val="auto"/>
              </w:rPr>
            </w:pPr>
          </w:p>
        </w:tc>
        <w:tc>
          <w:tcPr>
            <w:tcW w:w="8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Borders>
              <w:right w:val="single" w:sz="8" w:color="auto"/>
            </w:tcBorders>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8</w:t>
            </w:r>
          </w:p>
        </w:tc>
        <w:tc>
          <w:tcPr>
            <w:tcW w:w="83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3,551,929</w:t>
            </w: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spacing w:after="0"/>
              <w:rPr>
                <w:sz w:val="19"/>
                <w:szCs w:val="19"/>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AGGREGATE AMOUNT</w:t>
            </w:r>
          </w:p>
        </w:tc>
        <w:tc>
          <w:tcPr>
            <w:tcW w:w="830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720" w:type="dxa"/>
            <w:vAlign w:val="bottom"/>
          </w:tcPr>
          <w:p>
            <w:pPr>
              <w:jc w:val="center"/>
              <w:ind w:right="710"/>
              <w:spacing w:after="0"/>
              <w:rPr>
                <w:sz w:val="20"/>
                <w:szCs w:val="20"/>
                <w:color w:val="auto"/>
              </w:rPr>
            </w:pPr>
            <w:r>
              <w:rPr>
                <w:rFonts w:ascii="Arial" w:cs="Arial" w:eastAsia="Arial" w:hAnsi="Arial"/>
                <w:sz w:val="18"/>
                <w:szCs w:val="18"/>
                <w:color w:val="auto"/>
                <w:w w:val="89"/>
              </w:rPr>
              <w:t>3,551,929</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CHECK BOX IF THE AGGREGATE AMOUNT IN ROW (9) EXCLUDES CERTAIN SHARES </w:t>
            </w: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63"/>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2"/>
              </w:rPr>
              <w:t>16.9% (2)</w:t>
            </w:r>
          </w:p>
        </w:tc>
        <w:tc>
          <w:tcPr>
            <w:tcW w:w="5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total of 21,035,046 shares of Common Stock of the Issuer outstanding as of November 15, 2013, as reported on the Issuer’s Quarterly Report on Form 10-Q filed with the Commission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1214755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11"/>
        </w:trPr>
        <w:tc>
          <w:tcPr>
            <w:tcW w:w="392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6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b w:val="1"/>
                <w:bCs w:val="1"/>
                <w:color w:val="auto"/>
              </w:rPr>
              <w:t>Page 4 of 9</w:t>
            </w: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80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ind w:left="940" w:hanging="91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right="5100"/>
        <w:spacing w:after="0" w:line="289"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James G. Coulter</w:t>
      </w:r>
    </w:p>
    <w:tbl>
      <w:tblPr>
        <w:tblLayout w:type="fixed"/>
        <w:tblInd w:w="10" w:type="dxa"/>
        <w:tblCellMar>
          <w:top w:w="0" w:type="dxa"/>
          <w:left w:w="0" w:type="dxa"/>
          <w:bottom w:w="0" w:type="dxa"/>
          <w:right w:w="0" w:type="dxa"/>
        </w:tblCellMar>
      </w:tblPr>
      <w:tr>
        <w:trPr>
          <w:trHeight w:val="196"/>
        </w:trPr>
        <w:tc>
          <w:tcPr>
            <w:tcW w:w="840" w:type="dxa"/>
            <w:vAlign w:val="bottom"/>
            <w:tcBorders>
              <w:top w:val="single" w:sz="8" w:color="auto"/>
              <w:left w:val="single" w:sz="8" w:color="808080"/>
              <w:right w:val="single" w:sz="8" w:color="808080"/>
            </w:tcBorders>
            <w:vMerge w:val="restart"/>
          </w:tcPr>
          <w:p>
            <w:pPr>
              <w:jc w:val="right"/>
              <w:ind w:right="630"/>
              <w:spacing w:after="0"/>
              <w:rPr>
                <w:sz w:val="20"/>
                <w:szCs w:val="20"/>
                <w:color w:val="auto"/>
              </w:rPr>
            </w:pPr>
            <w:r>
              <w:rPr>
                <w:rFonts w:ascii="Arial" w:cs="Arial" w:eastAsia="Arial" w:hAnsi="Arial"/>
                <w:sz w:val="18"/>
                <w:szCs w:val="18"/>
                <w:color w:val="auto"/>
                <w:w w:val="99"/>
              </w:rPr>
              <w:t>2</w:t>
            </w:r>
          </w:p>
        </w:tc>
        <w:tc>
          <w:tcPr>
            <w:tcW w:w="10580" w:type="dxa"/>
            <w:vAlign w:val="bottom"/>
            <w:tcBorders>
              <w:top w:val="single" w:sz="8" w:color="auto"/>
            </w:tcBorders>
          </w:tcPr>
          <w:p>
            <w:pPr>
              <w:ind w:left="10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95"/>
        </w:trPr>
        <w:tc>
          <w:tcPr>
            <w:tcW w:w="840" w:type="dxa"/>
            <w:vAlign w:val="bottom"/>
            <w:tcBorders>
              <w:left w:val="single" w:sz="8" w:color="808080"/>
              <w:right w:val="single" w:sz="8" w:color="808080"/>
            </w:tcBorders>
            <w:vMerge w:val="continue"/>
          </w:tcPr>
          <w:p>
            <w:pPr>
              <w:spacing w:after="0"/>
              <w:rPr>
                <w:sz w:val="8"/>
                <w:szCs w:val="8"/>
                <w:color w:val="auto"/>
              </w:rPr>
            </w:pPr>
          </w:p>
        </w:tc>
        <w:tc>
          <w:tcPr>
            <w:tcW w:w="10580" w:type="dxa"/>
            <w:vAlign w:val="bottom"/>
            <w:vMerge w:val="restart"/>
          </w:tcPr>
          <w:p>
            <w:pPr>
              <w:ind w:left="820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121"/>
        </w:trPr>
        <w:tc>
          <w:tcPr>
            <w:tcW w:w="840" w:type="dxa"/>
            <w:vAlign w:val="bottom"/>
            <w:tcBorders>
              <w:left w:val="single" w:sz="8" w:color="808080"/>
              <w:right w:val="single" w:sz="8" w:color="808080"/>
            </w:tcBorders>
          </w:tcPr>
          <w:p>
            <w:pPr>
              <w:spacing w:after="0"/>
              <w:rPr>
                <w:sz w:val="10"/>
                <w:szCs w:val="10"/>
                <w:color w:val="auto"/>
              </w:rPr>
            </w:pPr>
          </w:p>
        </w:tc>
        <w:tc>
          <w:tcPr>
            <w:tcW w:w="10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808080"/>
              <w:right w:val="single" w:sz="8" w:color="808080"/>
            </w:tcBorders>
          </w:tcPr>
          <w:p>
            <w:pPr>
              <w:spacing w:after="0"/>
              <w:rPr>
                <w:sz w:val="20"/>
                <w:szCs w:val="20"/>
                <w:color w:val="auto"/>
              </w:rPr>
            </w:pPr>
          </w:p>
        </w:tc>
        <w:tc>
          <w:tcPr>
            <w:tcW w:w="10580" w:type="dxa"/>
            <w:vAlign w:val="bottom"/>
          </w:tcPr>
          <w:p>
            <w:pPr>
              <w:ind w:left="82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840" w:type="dxa"/>
            <w:vAlign w:val="bottom"/>
            <w:tcBorders>
              <w:left w:val="single" w:sz="8" w:color="808080"/>
              <w:bottom w:val="single" w:sz="8" w:color="808080"/>
              <w:right w:val="single" w:sz="8" w:color="808080"/>
            </w:tcBorders>
          </w:tcPr>
          <w:p>
            <w:pPr>
              <w:spacing w:after="0"/>
              <w:rPr>
                <w:sz w:val="18"/>
                <w:szCs w:val="18"/>
                <w:color w:val="auto"/>
              </w:rPr>
            </w:pPr>
          </w:p>
        </w:tc>
        <w:tc>
          <w:tcPr>
            <w:tcW w:w="10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40" w:hanging="818"/>
        <w:spacing w:after="0" w:line="180" w:lineRule="auto"/>
        <w:tabs>
          <w:tab w:leader="none" w:pos="840" w:val="left"/>
        </w:tabs>
        <w:numPr>
          <w:ilvl w:val="0"/>
          <w:numId w:val="9"/>
        </w:numPr>
        <w:rPr>
          <w:rFonts w:ascii="Arial" w:cs="Arial" w:eastAsia="Arial" w:hAnsi="Arial"/>
          <w:sz w:val="25"/>
          <w:szCs w:val="25"/>
          <w:color w:val="auto"/>
          <w:vertAlign w:val="subscript"/>
        </w:rPr>
      </w:pPr>
      <w:r>
        <w:rPr>
          <w:rFonts w:ascii="Arial" w:cs="Arial" w:eastAsia="Arial" w:hAnsi="Arial"/>
          <w:sz w:val="14"/>
          <w:szCs w:val="14"/>
          <w:color w:val="auto"/>
        </w:rPr>
        <w:t>SEC USE ONLY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105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81"/>
        </w:trPr>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right"/>
              <w:ind w:right="405"/>
              <w:spacing w:after="0"/>
              <w:rPr>
                <w:sz w:val="20"/>
                <w:szCs w:val="20"/>
                <w:color w:val="auto"/>
              </w:rPr>
            </w:pPr>
            <w:r>
              <w:rPr>
                <w:rFonts w:ascii="Arial" w:cs="Arial" w:eastAsia="Arial" w:hAnsi="Arial"/>
                <w:sz w:val="15"/>
                <w:szCs w:val="15"/>
                <w:color w:val="auto"/>
                <w:w w:val="71"/>
              </w:rPr>
              <w:t>5</w:t>
            </w:r>
          </w:p>
        </w:tc>
        <w:tc>
          <w:tcPr>
            <w:tcW w:w="83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140" w:type="dxa"/>
            <w:vAlign w:val="bottom"/>
            <w:tcBorders>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6</w:t>
            </w:r>
          </w:p>
        </w:tc>
        <w:tc>
          <w:tcPr>
            <w:tcW w:w="83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3,551,929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7</w:t>
            </w:r>
          </w:p>
        </w:tc>
        <w:tc>
          <w:tcPr>
            <w:tcW w:w="83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20"/>
                <w:szCs w:val="20"/>
                <w:color w:val="auto"/>
              </w:rPr>
            </w:pPr>
          </w:p>
        </w:tc>
        <w:tc>
          <w:tcPr>
            <w:tcW w:w="8300" w:type="dxa"/>
            <w:vAlign w:val="bottom"/>
            <w:vMerge w:val="restart"/>
          </w:tcPr>
          <w:p>
            <w:pPr>
              <w:ind w:left="10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Borders>
              <w:right w:val="single" w:sz="8" w:color="auto"/>
            </w:tcBorders>
            <w:vMerge w:val="restart"/>
          </w:tcPr>
          <w:p>
            <w:pPr>
              <w:jc w:val="center"/>
              <w:ind w:right="750"/>
              <w:spacing w:after="0" w:line="170" w:lineRule="exact"/>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2"/>
                <w:szCs w:val="12"/>
                <w:color w:val="auto"/>
              </w:rPr>
            </w:pPr>
          </w:p>
        </w:tc>
        <w:tc>
          <w:tcPr>
            <w:tcW w:w="8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Borders>
              <w:right w:val="single" w:sz="8" w:color="auto"/>
            </w:tcBorders>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jc w:val="right"/>
              <w:ind w:right="405"/>
              <w:spacing w:after="0"/>
              <w:rPr>
                <w:sz w:val="20"/>
                <w:szCs w:val="20"/>
                <w:color w:val="auto"/>
              </w:rPr>
            </w:pPr>
            <w:r>
              <w:rPr>
                <w:rFonts w:ascii="Arial" w:cs="Arial" w:eastAsia="Arial" w:hAnsi="Arial"/>
                <w:sz w:val="15"/>
                <w:szCs w:val="15"/>
                <w:color w:val="auto"/>
                <w:w w:val="71"/>
              </w:rPr>
              <w:t>8</w:t>
            </w:r>
          </w:p>
        </w:tc>
        <w:tc>
          <w:tcPr>
            <w:tcW w:w="83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3,551,929</w:t>
            </w: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spacing w:after="0"/>
              <w:rPr>
                <w:sz w:val="19"/>
                <w:szCs w:val="19"/>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AGGREGATE AMOUNT</w:t>
            </w:r>
          </w:p>
        </w:tc>
        <w:tc>
          <w:tcPr>
            <w:tcW w:w="830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720" w:type="dxa"/>
            <w:vAlign w:val="bottom"/>
          </w:tcPr>
          <w:p>
            <w:pPr>
              <w:jc w:val="center"/>
              <w:ind w:right="710"/>
              <w:spacing w:after="0"/>
              <w:rPr>
                <w:sz w:val="20"/>
                <w:szCs w:val="20"/>
                <w:color w:val="auto"/>
              </w:rPr>
            </w:pPr>
            <w:r>
              <w:rPr>
                <w:rFonts w:ascii="Arial" w:cs="Arial" w:eastAsia="Arial" w:hAnsi="Arial"/>
                <w:sz w:val="18"/>
                <w:szCs w:val="18"/>
                <w:color w:val="auto"/>
                <w:w w:val="89"/>
              </w:rPr>
              <w:t>3,551,929</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spacing w:after="0"/>
              <w:rPr>
                <w:sz w:val="20"/>
                <w:szCs w:val="20"/>
                <w:color w:val="auto"/>
              </w:rPr>
            </w:pPr>
            <w:r>
              <w:rPr>
                <w:rFonts w:ascii="Arial" w:cs="Arial" w:eastAsia="Arial" w:hAnsi="Arial"/>
                <w:sz w:val="18"/>
                <w:szCs w:val="18"/>
                <w:color w:val="auto"/>
              </w:rPr>
              <w:t xml:space="preserve">CHECK BOX IF THE AGGREGATE AMOUNT IN ROW (9) EXCLUDES CERTAIN SHARES </w:t>
            </w: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63"/>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2"/>
              </w:rPr>
              <w:t>16.9% (3)</w:t>
            </w:r>
          </w:p>
        </w:tc>
        <w:tc>
          <w:tcPr>
            <w:tcW w:w="5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spacing w:after="0"/>
              <w:rPr>
                <w:sz w:val="19"/>
                <w:szCs w:val="19"/>
                <w:color w:val="auto"/>
              </w:rPr>
            </w:pPr>
          </w:p>
        </w:tc>
        <w:tc>
          <w:tcPr>
            <w:tcW w:w="105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67"/>
        </w:trPr>
        <w:tc>
          <w:tcPr>
            <w:tcW w:w="42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a total of 21,035,046 shares of Common Stock of the Issuer outstanding as of November 15, 2013, as reported on the Issuer’s Quarterly Report on Form 10-Q filed with the Commission on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Veracyte, Inc.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7000 Shoreline Court, Suite 250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This Schedule 13G is being filed jointly by TPG Group Holdings (SBS) Advisors, Inc., a</w:t>
      </w:r>
    </w:p>
    <w:p>
      <w:pPr>
        <w:spacing w:after="0" w:line="23" w:lineRule="exact"/>
        <w:rPr>
          <w:sz w:val="20"/>
          <w:szCs w:val="20"/>
          <w:color w:val="auto"/>
        </w:rPr>
      </w:pPr>
    </w:p>
    <w:p>
      <w:pPr>
        <w:ind w:left="1140"/>
        <w:spacing w:after="0" w:line="323" w:lineRule="auto"/>
        <w:rPr>
          <w:sz w:val="20"/>
          <w:szCs w:val="20"/>
          <w:color w:val="auto"/>
        </w:rPr>
      </w:pPr>
      <w:r>
        <w:rPr>
          <w:rFonts w:ascii="Arial" w:cs="Arial" w:eastAsia="Arial" w:hAnsi="Arial"/>
          <w:sz w:val="16"/>
          <w:szCs w:val="16"/>
          <w:color w:val="auto"/>
        </w:rPr>
        <w:t>Delaware corporation (“</w:t>
      </w:r>
      <w:r>
        <w:rPr>
          <w:rFonts w:ascii="Arial" w:cs="Arial" w:eastAsia="Arial" w:hAnsi="Arial"/>
          <w:sz w:val="16"/>
          <w:szCs w:val="16"/>
          <w:u w:val="single" w:color="auto"/>
          <w:color w:val="auto"/>
        </w:rPr>
        <w:t>Group Advisors</w:t>
      </w:r>
      <w:r>
        <w:rPr>
          <w:rFonts w:ascii="Arial" w:cs="Arial" w:eastAsia="Arial" w:hAnsi="Arial"/>
          <w:sz w:val="16"/>
          <w:szCs w:val="16"/>
          <w:color w:val="auto"/>
        </w:rPr>
        <w:t>”), David Bonderman and James G. Coulter (each, a “</w:t>
      </w:r>
      <w:r>
        <w:rPr>
          <w:rFonts w:ascii="Arial" w:cs="Arial" w:eastAsia="Arial" w:hAnsi="Arial"/>
          <w:sz w:val="16"/>
          <w:szCs w:val="16"/>
          <w:u w:val="single" w:color="auto"/>
          <w:color w:val="auto"/>
        </w:rPr>
        <w:t>Reporting Person</w:t>
      </w:r>
      <w:r>
        <w:rPr>
          <w:rFonts w:ascii="Arial" w:cs="Arial" w:eastAsia="Arial" w:hAnsi="Arial"/>
          <w:sz w:val="16"/>
          <w:szCs w:val="16"/>
          <w:color w:val="auto"/>
        </w:rPr>
        <w:t>” and, together, the “</w:t>
      </w:r>
      <w:r>
        <w:rPr>
          <w:rFonts w:ascii="Arial" w:cs="Arial" w:eastAsia="Arial" w:hAnsi="Arial"/>
          <w:sz w:val="16"/>
          <w:szCs w:val="16"/>
          <w:u w:val="single" w:color="auto"/>
          <w:color w:val="auto"/>
        </w:rPr>
        <w:t>Reporting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Persons</w:t>
      </w:r>
      <w:r>
        <w:rPr>
          <w:rFonts w:ascii="Arial" w:cs="Arial" w:eastAsia="Arial" w:hAnsi="Arial"/>
          <w:sz w:val="16"/>
          <w:szCs w:val="16"/>
          <w:color w:val="auto"/>
        </w:rPr>
        <w:t>”), pursuant to an Agreement of Joint Filing incorporated by reference herein in accordance with Rule 13d-1(k)(1) under the Act.</w:t>
      </w:r>
    </w:p>
    <w:p>
      <w:pPr>
        <w:spacing w:after="0" w:line="139" w:lineRule="exact"/>
        <w:rPr>
          <w:sz w:val="20"/>
          <w:szCs w:val="20"/>
          <w:color w:val="auto"/>
        </w:rPr>
      </w:pPr>
    </w:p>
    <w:p>
      <w:pPr>
        <w:ind w:left="1140" w:right="80"/>
        <w:spacing w:after="0" w:line="255" w:lineRule="auto"/>
        <w:rPr>
          <w:sz w:val="20"/>
          <w:szCs w:val="20"/>
          <w:color w:val="auto"/>
        </w:rPr>
      </w:pPr>
      <w:r>
        <w:rPr>
          <w:rFonts w:ascii="Arial" w:cs="Arial" w:eastAsia="Arial" w:hAnsi="Arial"/>
          <w:sz w:val="18"/>
          <w:szCs w:val="18"/>
          <w:color w:val="auto"/>
        </w:rPr>
        <w:t>Group Advisors is the general partner of TPG Group Holdings (SBS), L.P., a Delaware limited partnership, which is the sole member of TPG Holdings I-A, LLC, a Delaware limited liability company, which is the general partner of TPG Holdings I, L.P., a Delaware limited partnership, which is the sole member of TPG Biotechnology GenPar II Advisors, LLC, a Delaware limited liability company, which is the general partner of TPG Biotechnology GenPar II, L.P., a Delaware limited partnership, which is the general partner of TPG Biotechnology Partners II, L.P., a Delaware limited partnership (“</w:t>
      </w:r>
      <w:r>
        <w:rPr>
          <w:rFonts w:ascii="Arial" w:cs="Arial" w:eastAsia="Arial" w:hAnsi="Arial"/>
          <w:sz w:val="18"/>
          <w:szCs w:val="18"/>
          <w:u w:val="single" w:color="auto"/>
          <w:color w:val="auto"/>
        </w:rPr>
        <w:t>TPG Biotech II</w:t>
      </w:r>
      <w:r>
        <w:rPr>
          <w:rFonts w:ascii="Arial" w:cs="Arial" w:eastAsia="Arial" w:hAnsi="Arial"/>
          <w:sz w:val="18"/>
          <w:szCs w:val="18"/>
          <w:color w:val="auto"/>
        </w:rPr>
        <w:t>”), which directly holds 3,551,929 shares of Common Stock of the Issuer (the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Because of Group Advisors’ relationship to TPG Biotech II, Group Advisors may be deemed to beneficially own the Shares directly held by TPG Biotech II.</w:t>
      </w:r>
    </w:p>
    <w:p>
      <w:pPr>
        <w:spacing w:after="0" w:line="189" w:lineRule="exact"/>
        <w:rPr>
          <w:sz w:val="20"/>
          <w:szCs w:val="20"/>
          <w:color w:val="auto"/>
        </w:rPr>
      </w:pPr>
    </w:p>
    <w:p>
      <w:pPr>
        <w:jc w:val="both"/>
        <w:ind w:left="1140" w:right="160"/>
        <w:spacing w:after="0" w:line="264" w:lineRule="auto"/>
        <w:rPr>
          <w:sz w:val="20"/>
          <w:szCs w:val="20"/>
          <w:color w:val="auto"/>
        </w:rPr>
      </w:pPr>
      <w:r>
        <w:rPr>
          <w:rFonts w:ascii="Arial" w:cs="Arial" w:eastAsia="Arial" w:hAnsi="Arial"/>
          <w:sz w:val="18"/>
          <w:szCs w:val="18"/>
          <w:color w:val="auto"/>
        </w:rPr>
        <w:t>David Bonderman and James G. Coulter are officers and sole shareholders of Group Advisors, and may therefore be deemed to beneficially own the Shares held by TPG Biotech II. Messrs. Bonderman and Coulter disclaim beneficial ownership of the Shares except to the extent of their pecuniary interest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principal business address of each of the Reporting Persons is as follows: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TPG Global, LLC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Fort Worth, Texas 76102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response to Item 4 of each of the cover pages.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Titles of Classes of Securities: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$0.001 par value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92337F107</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a(n):</w:t>
      </w:r>
    </w:p>
    <w:p>
      <w:pPr>
        <w:spacing w:after="0" w:line="256" w:lineRule="exact"/>
        <w:rPr>
          <w:sz w:val="20"/>
          <w:szCs w:val="20"/>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 (15 U.S.C. 78o).</w:t>
      </w:r>
    </w:p>
    <w:p>
      <w:pPr>
        <w:spacing w:after="0" w:line="279"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Parent holding company or control person in accordance with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Savings association as defined in Section 3(b) of the Federal Deposit Insurance Act (13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right="440" w:hanging="558"/>
        <w:spacing w:after="0" w:line="266" w:lineRule="auto"/>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Church plan that is excluded from the definition of an investment company under Section 3(c)(14) of the Investment Company Act (15 U.S.C. 80a-3).</w:t>
      </w: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Non-U.S. institution in accordance with §240. 13d-1(b)(1)(ii)(J).</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60" w:hanging="558"/>
        <w:spacing w:after="0"/>
        <w:tabs>
          <w:tab w:leader="none" w:pos="2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 Group in accordance with §240.13d-1(b)(1)(ii)(K).</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If filing as a non-U.S. institution in accordance with §240. 13d-1(b)(1)(ii)(J), please specify the type of institution: ______________</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ectPr>
          <w:pgSz w:w="11900" w:h="16838" w:orient="portrait"/>
          <w:cols w:equalWidth="0" w:num="1">
            <w:col w:w="11140"/>
          </w:cols>
          <w:pgMar w:left="240" w:top="904" w:right="519" w:bottom="1440" w:gutter="0" w:footer="0" w:header="0"/>
        </w:sectPr>
      </w:pP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04" w:lineRule="exact"/>
        <w:rPr>
          <w:sz w:val="20"/>
          <w:szCs w:val="20"/>
          <w:color w:val="auto"/>
        </w:rPr>
      </w:pPr>
    </w:p>
    <w:p>
      <w:pPr>
        <w:sectPr>
          <w:pgSz w:w="11900" w:h="16838" w:orient="portrait"/>
          <w:cols w:equalWidth="0" w:num="2">
            <w:col w:w="3640" w:space="720"/>
            <w:col w:w="6780"/>
          </w:cols>
          <w:pgMar w:left="240" w:top="904" w:right="519" w:bottom="1440" w:gutter="0" w:footer="0" w:header="0"/>
          <w:type w:val="continuous"/>
        </w:sectPr>
      </w:pPr>
    </w:p>
    <w:p>
      <w:pPr>
        <w:spacing w:after="0" w:line="4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See responses to Item 9 on each cover page.</w:t>
      </w:r>
    </w:p>
    <w:p>
      <w:pPr>
        <w:sectPr>
          <w:pgSz w:w="11900" w:h="16838" w:orient="portrait"/>
          <w:cols w:equalWidth="0" w:num="1">
            <w:col w:w="11140"/>
          </w:cols>
          <w:pgMar w:left="240" w:top="904" w:right="519" w:bottom="1440" w:gutter="0" w:footer="0" w:header="0"/>
          <w:type w:val="continuous"/>
        </w:sectPr>
      </w:pPr>
    </w:p>
    <w:p>
      <w:pPr>
        <w:spacing w:after="0" w:line="26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Percent of Class:</w:t>
      </w:r>
    </w:p>
    <w:p>
      <w:pPr>
        <w:spacing w:after="0" w:line="215" w:lineRule="exact"/>
        <w:rPr>
          <w:sz w:val="20"/>
          <w:szCs w:val="20"/>
          <w:color w:val="auto"/>
        </w:rPr>
      </w:pPr>
    </w:p>
    <w:p>
      <w:pPr>
        <w:sectPr>
          <w:pgSz w:w="11900" w:h="16838" w:orient="portrait"/>
          <w:cols w:equalWidth="0" w:num="2">
            <w:col w:w="3640" w:space="720"/>
            <w:col w:w="6780"/>
          </w:cols>
          <w:pgMar w:left="240" w:top="904" w:right="51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See responses to Item 11 on each cover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as to which such person has:</w:t>
      </w:r>
    </w:p>
    <w:p>
      <w:pPr>
        <w:spacing w:after="0" w:line="181" w:lineRule="exact"/>
        <w:rPr>
          <w:sz w:val="20"/>
          <w:szCs w:val="20"/>
          <w:color w:val="auto"/>
        </w:rPr>
      </w:pPr>
    </w:p>
    <w:p>
      <w:pPr>
        <w:spacing w:after="0"/>
        <w:tabs>
          <w:tab w:leader="none" w:pos="2820" w:val="left"/>
        </w:tabs>
        <w:rPr>
          <w:sz w:val="20"/>
          <w:szCs w:val="20"/>
          <w:color w:val="auto"/>
        </w:rPr>
      </w:pPr>
      <w:r>
        <w:rPr>
          <w:rFonts w:ascii="Arial" w:cs="Arial" w:eastAsia="Arial" w:hAnsi="Arial"/>
          <w:sz w:val="15"/>
          <w:szCs w:val="15"/>
          <w:color w:val="auto"/>
        </w:rPr>
        <w:t>(i)</w:t>
      </w:r>
      <w:r>
        <w:rPr>
          <w:sz w:val="20"/>
          <w:szCs w:val="20"/>
          <w:color w:val="auto"/>
        </w:rPr>
        <w:tab/>
      </w:r>
      <w:r>
        <w:rPr>
          <w:rFonts w:ascii="Arial" w:cs="Arial" w:eastAsia="Arial" w:hAnsi="Arial"/>
          <w:sz w:val="15"/>
          <w:szCs w:val="15"/>
          <w:b w:val="1"/>
          <w:bCs w:val="1"/>
          <w:color w:val="auto"/>
        </w:rPr>
        <w:t>Sole power to vote or to direct the vote:</w:t>
      </w:r>
    </w:p>
    <w:p>
      <w:pPr>
        <w:spacing w:after="0" w:line="200" w:lineRule="exact"/>
        <w:rPr>
          <w:sz w:val="20"/>
          <w:szCs w:val="20"/>
          <w:color w:val="auto"/>
        </w:rPr>
      </w:pPr>
    </w:p>
    <w:p>
      <w:pPr>
        <w:sectPr>
          <w:pgSz w:w="11900" w:h="16838" w:orient="portrait"/>
          <w:cols w:equalWidth="0" w:num="2">
            <w:col w:w="3640" w:space="720"/>
            <w:col w:w="6780"/>
          </w:cols>
          <w:pgMar w:left="240" w:top="904" w:right="519" w:bottom="1440" w:gutter="0" w:footer="0" w:header="0"/>
          <w:type w:val="continuous"/>
        </w:sectPr>
      </w:pPr>
    </w:p>
    <w:p>
      <w:pPr>
        <w:spacing w:after="0" w:line="23"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See responses to Item 5 on each cover page.</w:t>
      </w:r>
    </w:p>
    <w:p>
      <w:pPr>
        <w:sectPr>
          <w:pgSz w:w="11900" w:h="16838" w:orient="portrait"/>
          <w:cols w:equalWidth="0" w:num="1">
            <w:col w:w="11140"/>
          </w:cols>
          <w:pgMar w:left="240" w:top="90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4" w:right="519" w:bottom="1440" w:gutter="0" w:footer="0" w:header="0"/>
          <w:type w:val="continuous"/>
        </w:sectPr>
      </w:pPr>
    </w:p>
    <w:bookmarkStart w:id="6" w:name="page7"/>
    <w:bookmarkEnd w:id="6"/>
    <w:p>
      <w:pPr>
        <w:ind w:left="1820" w:right="6120" w:hanging="340"/>
        <w:spacing w:after="0" w:line="510" w:lineRule="auto"/>
        <w:tabs>
          <w:tab w:leader="none" w:pos="18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responses to Item 6 on each cover page.</w:t>
      </w:r>
    </w:p>
    <w:p>
      <w:pPr>
        <w:spacing w:after="0" w:line="1" w:lineRule="exact"/>
        <w:rPr>
          <w:rFonts w:ascii="Arial" w:cs="Arial" w:eastAsia="Arial" w:hAnsi="Arial"/>
          <w:sz w:val="16"/>
          <w:szCs w:val="16"/>
          <w:color w:val="auto"/>
        </w:rPr>
      </w:pPr>
    </w:p>
    <w:p>
      <w:pPr>
        <w:ind w:left="1820" w:right="5400" w:hanging="340"/>
        <w:spacing w:after="0" w:line="510" w:lineRule="auto"/>
        <w:tabs>
          <w:tab w:leader="none" w:pos="18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responses to Item 7 on each cover page.</w:t>
      </w:r>
    </w:p>
    <w:p>
      <w:pPr>
        <w:spacing w:after="0" w:line="1" w:lineRule="exact"/>
        <w:rPr>
          <w:rFonts w:ascii="Arial" w:cs="Arial" w:eastAsia="Arial" w:hAnsi="Arial"/>
          <w:sz w:val="16"/>
          <w:szCs w:val="16"/>
          <w:color w:val="auto"/>
        </w:rPr>
      </w:pPr>
    </w:p>
    <w:p>
      <w:pPr>
        <w:ind w:left="1820" w:right="5180" w:hanging="340"/>
        <w:spacing w:after="0" w:line="576" w:lineRule="auto"/>
        <w:tabs>
          <w:tab w:leader="none" w:pos="18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responses to Item 8 on each cover page.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1140"/>
        <w:spacing w:after="0" w:line="274"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1"/>
          <w:szCs w:val="21"/>
          <w:color w:val="auto"/>
        </w:rPr>
        <w:t>£</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response to Item 2(a)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7" w:name="page8"/>
    <w:bookmarkEnd w:id="7"/>
    <w:p>
      <w:pPr>
        <w:jc w:val="center"/>
        <w:ind w:right="-3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2014</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TPG Group Holdings (SBS) Advisors, Inc.</w:t>
      </w:r>
    </w:p>
    <w:p>
      <w:pPr>
        <w:spacing w:after="0" w:line="200" w:lineRule="exact"/>
        <w:rPr>
          <w:sz w:val="20"/>
          <w:szCs w:val="20"/>
          <w:color w:val="auto"/>
        </w:rPr>
      </w:pPr>
    </w:p>
    <w:p>
      <w:pPr>
        <w:spacing w:after="0" w:line="26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-10160</wp:posOffset>
            </wp:positionV>
            <wp:extent cx="825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00" cy="889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Ronald Cami</w:t>
      </w:r>
    </w:p>
    <w:p>
      <w:pPr>
        <w:spacing w:after="0" w:line="2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2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David Bonderman</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-10160</wp:posOffset>
            </wp:positionV>
            <wp:extent cx="857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Ronald Cami, on behalf of David Bonderman (4)</w:t>
      </w:r>
    </w:p>
    <w:p>
      <w:pPr>
        <w:spacing w:after="0" w:line="200" w:lineRule="exact"/>
        <w:rPr>
          <w:sz w:val="20"/>
          <w:szCs w:val="20"/>
          <w:color w:val="auto"/>
        </w:rPr>
      </w:pPr>
    </w:p>
    <w:p>
      <w:pPr>
        <w:spacing w:after="0" w:line="30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James G. Coulter</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-10160</wp:posOffset>
            </wp:positionV>
            <wp:extent cx="8572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Ronald Cami, on behalf of James G. Coulter (5)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8"/>
          <w:szCs w:val="18"/>
          <w:color w:val="auto"/>
        </w:rPr>
        <w:t>4</w:t>
      </w:r>
      <w:r>
        <w:rPr>
          <w:rFonts w:ascii="Arial" w:cs="Arial" w:eastAsia="Arial" w:hAnsi="Arial"/>
          <w:sz w:val="14"/>
          <w:szCs w:val="14"/>
          <w:color w:val="auto"/>
        </w:rPr>
        <w:t>) Ronald Cami is signing on behalf of Mr. Bonderman pursuant to an authorization and designation letter dated July 1, 2013, which was previously filed with the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as an exhibit to a Schedule 13D filed by Mr. Bonderman on August 14, 2013 (SEC File No. 005-83906).</w:t>
      </w:r>
    </w:p>
    <w:p>
      <w:pPr>
        <w:spacing w:after="0" w:line="87"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8"/>
          <w:szCs w:val="18"/>
          <w:color w:val="auto"/>
        </w:rPr>
        <w:t>5</w:t>
      </w:r>
      <w:r>
        <w:rPr>
          <w:rFonts w:ascii="Arial" w:cs="Arial" w:eastAsia="Arial" w:hAnsi="Arial"/>
          <w:sz w:val="14"/>
          <w:szCs w:val="14"/>
          <w:color w:val="auto"/>
        </w:rPr>
        <w:t>) Ronald Cami is signing on behalf of Mr. Coulter pursuant to an authorization and designation letter dated July 1, 2013, which was previously filed with the Commission as an exhibit to a Schedule 13D filed by Mr. Coulter on August 14, 2013 (SEC File No. 005-83906).</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1391"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53"/>
        </w:trPr>
        <w:tc>
          <w:tcPr>
            <w:tcW w:w="1480" w:type="dxa"/>
            <w:vAlign w:val="bottom"/>
          </w:tcPr>
          <w:p>
            <w:pPr>
              <w:spacing w:after="0"/>
              <w:rPr>
                <w:sz w:val="20"/>
                <w:szCs w:val="20"/>
                <w:color w:val="auto"/>
              </w:rPr>
            </w:pPr>
            <w:r>
              <w:rPr>
                <w:rFonts w:ascii="Arial" w:cs="Arial" w:eastAsia="Arial" w:hAnsi="Arial"/>
                <w:sz w:val="18"/>
                <w:szCs w:val="18"/>
                <w:color w:val="auto"/>
              </w:rPr>
              <w:t>Exhibit 1</w:t>
            </w: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w w:val="92"/>
              </w:rPr>
              <w:t>Agreement of Joint Filing as required by Rule 13d-1(k)(1) under the Act.*</w:t>
            </w:r>
          </w:p>
        </w:tc>
      </w:tr>
      <w:tr>
        <w:trPr>
          <w:trHeight w:val="635"/>
        </w:trPr>
        <w:tc>
          <w:tcPr>
            <w:tcW w:w="1480" w:type="dxa"/>
            <w:vAlign w:val="bottom"/>
          </w:tcPr>
          <w:p>
            <w:pPr>
              <w:spacing w:after="0"/>
              <w:rPr>
                <w:sz w:val="20"/>
                <w:szCs w:val="20"/>
                <w:color w:val="auto"/>
              </w:rPr>
            </w:pPr>
            <w:r>
              <w:rPr>
                <w:rFonts w:ascii="Arial" w:cs="Arial" w:eastAsia="Arial" w:hAnsi="Arial"/>
                <w:sz w:val="18"/>
                <w:szCs w:val="18"/>
                <w:color w:val="auto"/>
                <w:w w:val="97"/>
              </w:rPr>
              <w:t>_______________</w:t>
            </w:r>
          </w:p>
        </w:tc>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75" w:lineRule="exact"/>
        <w:rPr>
          <w:sz w:val="20"/>
          <w:szCs w:val="20"/>
          <w:color w:val="auto"/>
        </w:rPr>
      </w:pPr>
    </w:p>
    <w:p>
      <w:pPr>
        <w:jc w:val="both"/>
        <w:ind w:firstLine="8"/>
        <w:spacing w:after="0" w:line="259"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herein by reference to the Agreement of Joint Filing by TPG Advisors II, Inc., TPG Advisors III, Inc., TPG Advisors V, Inc., TPG Advisors VI, Inc., T3 Advisors, Inc., T3 Advisors II, Inc., TPG Group Holdings (SBS) Advisors, Inc., David Bonderman and James G. Coulter, dated as of February 14, 2011, which was previously filed with the Commission as Exhibit 1 to Schedule 13G filed by TPG Group Holdings (SBS) Advisors, Inc., David Bonderman and James G. Coulter on February 14,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134" w:right="4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2019-12-07T15:27:59Z</dcterms:created>
  <dcterms:modified xsi:type="dcterms:W3CDTF">2019-12-07T15:27:59Z</dcterms:modified>
</cp:coreProperties>
</file>