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TREU JESSE I</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vMerge w:val="restart"/>
          </w:tcPr>
          <w:p>
            <w:pPr>
              <w:spacing w:after="0"/>
              <w:rPr>
                <w:sz w:val="20"/>
                <w:szCs w:val="20"/>
                <w:color w:val="auto"/>
              </w:rPr>
            </w:pPr>
            <w:r>
              <w:rPr>
                <w:rFonts w:ascii="Arial" w:cs="Arial" w:eastAsia="Arial" w:hAnsi="Arial"/>
                <w:sz w:val="17"/>
                <w:szCs w:val="17"/>
                <w:color w:val="0000FF"/>
                <w:w w:val="98"/>
              </w:rPr>
              <w:t>C/O DOMAIN ASSOCIATES, LLC</w:t>
            </w:r>
          </w:p>
        </w:tc>
        <w:tc>
          <w:tcPr>
            <w:tcW w:w="112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06/07/2017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5"/>
            <w:vMerge w:val="restart"/>
          </w:tcPr>
          <w:p>
            <w:pPr>
              <w:spacing w:after="0"/>
              <w:rPr>
                <w:sz w:val="20"/>
                <w:szCs w:val="20"/>
                <w:color w:val="auto"/>
              </w:rPr>
            </w:pPr>
            <w:r>
              <w:rPr>
                <w:rFonts w:ascii="Arial" w:cs="Arial" w:eastAsia="Arial" w:hAnsi="Arial"/>
                <w:sz w:val="17"/>
                <w:szCs w:val="17"/>
                <w:color w:val="0000FF"/>
              </w:rPr>
              <w:t>ONE PALMER SQUARE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PRINCETON</w:t>
            </w:r>
          </w:p>
        </w:tc>
        <w:tc>
          <w:tcPr>
            <w:tcW w:w="200" w:type="dxa"/>
            <w:vAlign w:val="bottom"/>
            <w:gridSpan w:val="2"/>
          </w:tcPr>
          <w:p>
            <w:pPr>
              <w:spacing w:after="0"/>
              <w:rPr>
                <w:sz w:val="20"/>
                <w:szCs w:val="20"/>
                <w:color w:val="auto"/>
              </w:rPr>
            </w:pPr>
            <w:r>
              <w:rPr>
                <w:rFonts w:ascii="Arial" w:cs="Arial" w:eastAsia="Arial" w:hAnsi="Arial"/>
                <w:sz w:val="17"/>
                <w:szCs w:val="17"/>
                <w:color w:val="0000FF"/>
                <w:w w:val="86"/>
              </w:rPr>
              <w:t>NJ</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08542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0000FF"/>
              </w:rPr>
              <w:t>06/07/2017</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Issuer's next annual meeting of stockholders, if earlier. In addition, the option vests in full in the event of a change in control of the Issuer.</w:t>
      </w:r>
    </w:p>
    <w:p>
      <w:pPr>
        <w:sectPr>
          <w:pgSz w:w="11900" w:h="16838" w:orient="portrait"/>
          <w:cols w:equalWidth="0" w:num="1">
            <w:col w:w="11520"/>
          </w:cols>
          <w:pgMar w:left="240" w:top="225" w:right="139" w:bottom="144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Lisa A. Kraeutler,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42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2019-12-23T16:11:41Z</dcterms:created>
  <dcterms:modified xsi:type="dcterms:W3CDTF">2019-12-23T16:11:41Z</dcterms:modified>
</cp:coreProperties>
</file>