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Invesco Ltd.</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98-0557567</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 ]</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Bermuda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3,110,897</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3,337,889</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3,337,889</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6.8%</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HC, 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520" w:right="8340" w:hanging="593"/>
        <w:spacing w:after="0" w:line="335" w:lineRule="auto"/>
        <w:tabs>
          <w:tab w:leader="none" w:pos="15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Veracyte Inc</w:t>
      </w:r>
    </w:p>
    <w:p>
      <w:pPr>
        <w:spacing w:after="0" w:line="11" w:lineRule="exact"/>
        <w:rPr>
          <w:rFonts w:ascii="Arial" w:cs="Arial" w:eastAsia="Arial" w:hAnsi="Arial"/>
          <w:sz w:val="19"/>
          <w:szCs w:val="19"/>
          <w:b w:val="1"/>
          <w:bCs w:val="1"/>
          <w:color w:val="auto"/>
        </w:rPr>
      </w:pPr>
    </w:p>
    <w:p>
      <w:pPr>
        <w:ind w:left="1520" w:hanging="593"/>
        <w:spacing w:after="0"/>
        <w:tabs>
          <w:tab w:leader="none" w:pos="1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20"/>
        <w:spacing w:after="0"/>
        <w:rPr>
          <w:rFonts w:ascii="Arial" w:cs="Arial" w:eastAsia="Arial" w:hAnsi="Arial"/>
          <w:sz w:val="22"/>
          <w:szCs w:val="22"/>
          <w:b w:val="1"/>
          <w:bCs w:val="1"/>
          <w:color w:val="auto"/>
        </w:rPr>
      </w:pPr>
      <w:r>
        <w:rPr>
          <w:rFonts w:ascii="Arial" w:cs="Arial" w:eastAsia="Arial" w:hAnsi="Arial"/>
          <w:sz w:val="22"/>
          <w:szCs w:val="22"/>
          <w:color w:val="auto"/>
        </w:rPr>
        <w:t>6000 Shoreline Court, Suite 300, South San Francisco, CA 94080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20" w:right="720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520" w:right="434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520" w:right="870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520" w:right="734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520" w:right="826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92337F107</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7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1813);</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340"/>
            <w:col w:w="892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20" w:right="8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3,337,889 shares of the Issuer which are held of record by clients of Invesco Ltd. ..</w:t>
      </w:r>
    </w:p>
    <w:p>
      <w:pPr>
        <w:spacing w:after="0" w:line="24" w:lineRule="exact"/>
        <w:rPr>
          <w:rFonts w:ascii="Arial" w:cs="Arial" w:eastAsia="Arial" w:hAnsi="Arial"/>
          <w:sz w:val="22"/>
          <w:szCs w:val="22"/>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20"/>
        <w:spacing w:after="0"/>
        <w:rPr>
          <w:rFonts w:ascii="Arial" w:cs="Arial" w:eastAsia="Arial" w:hAnsi="Arial"/>
          <w:sz w:val="22"/>
          <w:szCs w:val="22"/>
          <w:color w:val="auto"/>
        </w:rPr>
      </w:pPr>
      <w:r>
        <w:rPr>
          <w:rFonts w:ascii="Arial" w:cs="Arial" w:eastAsia="Arial" w:hAnsi="Arial"/>
          <w:sz w:val="22"/>
          <w:szCs w:val="22"/>
          <w:color w:val="auto"/>
        </w:rPr>
        <w:t>6.8%</w:t>
      </w:r>
    </w:p>
    <w:p>
      <w:pPr>
        <w:spacing w:after="0" w:line="125" w:lineRule="exact"/>
        <w:rPr>
          <w:rFonts w:ascii="Arial" w:cs="Arial" w:eastAsia="Arial" w:hAnsi="Arial"/>
          <w:sz w:val="22"/>
          <w:szCs w:val="22"/>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ectPr>
          <w:pgSz w:w="11900" w:h="16838" w:orient="portrait"/>
          <w:cols w:equalWidth="0" w:num="1">
            <w:col w:w="11260"/>
          </w:cols>
          <w:pgMar w:left="320" w:top="423" w:right="319" w:bottom="0" w:gutter="0" w:footer="0" w:header="0"/>
          <w:type w:val="continuous"/>
        </w:sectPr>
      </w:pPr>
    </w:p>
    <w:p>
      <w:pPr>
        <w:spacing w:after="0" w:line="125" w:lineRule="exact"/>
        <w:rPr>
          <w:sz w:val="20"/>
          <w:szCs w:val="20"/>
          <w:color w:val="auto"/>
        </w:rPr>
      </w:pPr>
    </w:p>
    <w:p>
      <w:pPr>
        <w:ind w:left="2340" w:hanging="818"/>
        <w:spacing w:after="0"/>
        <w:tabs>
          <w:tab w:leader="none" w:pos="2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40" w:hanging="818"/>
        <w:spacing w:after="0"/>
        <w:tabs>
          <w:tab w:leader="none" w:pos="2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40" w:hanging="818"/>
        <w:spacing w:after="0" w:line="183" w:lineRule="auto"/>
        <w:tabs>
          <w:tab w:leader="none" w:pos="2340" w:val="left"/>
        </w:tabs>
        <w:numPr>
          <w:ilvl w:val="0"/>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40" w:right="800" w:hanging="818"/>
        <w:spacing w:after="0" w:line="183" w:lineRule="auto"/>
        <w:tabs>
          <w:tab w:leader="none" w:pos="2340" w:val="left"/>
        </w:tabs>
        <w:numPr>
          <w:ilvl w:val="0"/>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3,110,897</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3,337,889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40" w:space="320"/>
            <w:col w:w="4400"/>
          </w:cols>
          <w:pgMar w:left="320" w:top="423" w:right="319" w:bottom="0" w:gutter="0" w:footer="0" w:header="0"/>
          <w:type w:val="continuous"/>
        </w:sectPr>
      </w:pPr>
    </w:p>
    <w:p>
      <w:pPr>
        <w:ind w:left="920" w:right="5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60"/>
          </w:cols>
          <w:pgMar w:left="320" w:top="423" w:right="31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right="10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48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40"/>
          </w:cols>
          <w:pgMar w:left="320" w:top="112"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L. Tomassone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Date: February 13, 2020</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Name: Nancy L. Tomassone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Title: Global Assurance Officer</w:t>
      </w:r>
    </w:p>
    <w:p>
      <w:pPr>
        <w:sectPr>
          <w:pgSz w:w="11900" w:h="16838" w:orient="portrait"/>
          <w:cols w:equalWidth="0" w:num="1">
            <w:col w:w="9019"/>
          </w:cols>
          <w:pgMar w:left="1440" w:top="409" w:right="1440" w:bottom="1440" w:gutter="0" w:footer="0" w:header="0"/>
        </w:sectPr>
      </w:pPr>
    </w:p>
    <w:bookmarkStart w:id="5" w:name="page6"/>
    <w:bookmarkEnd w:id="5"/>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4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 02/10/2020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Nancy Tomassone</w:t>
      </w:r>
    </w:p>
    <w:p>
      <w:pPr>
        <w:spacing w:after="0" w:line="230" w:lineRule="auto"/>
        <w:rPr>
          <w:sz w:val="20"/>
          <w:szCs w:val="20"/>
          <w:color w:val="auto"/>
        </w:rPr>
      </w:pPr>
      <w:r>
        <w:rPr>
          <w:rFonts w:ascii="Arial" w:cs="Arial" w:eastAsia="Arial" w:hAnsi="Arial"/>
          <w:sz w:val="22"/>
          <w:szCs w:val="22"/>
          <w:color w:val="auto"/>
        </w:rPr>
        <w:t>Name: Nancy Tomassone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Global Assurance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Advisers,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Robert R. Leveille</w:t>
      </w:r>
    </w:p>
    <w:p>
      <w:pPr>
        <w:spacing w:after="0" w:line="230" w:lineRule="auto"/>
        <w:rPr>
          <w:sz w:val="20"/>
          <w:szCs w:val="20"/>
          <w:color w:val="auto"/>
        </w:rPr>
      </w:pPr>
      <w:r>
        <w:rPr>
          <w:rFonts w:ascii="Arial" w:cs="Arial" w:eastAsia="Arial" w:hAnsi="Arial"/>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Canada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Kate Archibald</w:t>
      </w:r>
    </w:p>
    <w:p>
      <w:pPr>
        <w:spacing w:after="0" w:line="230" w:lineRule="auto"/>
        <w:rPr>
          <w:sz w:val="20"/>
          <w:szCs w:val="20"/>
          <w:color w:val="auto"/>
        </w:rPr>
      </w:pPr>
      <w:r>
        <w:rPr>
          <w:rFonts w:ascii="Arial" w:cs="Arial" w:eastAsia="Arial" w:hAnsi="Arial"/>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SVP, Head of Compliance, and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Trust Company</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Odeh Stevens</w:t>
      </w:r>
    </w:p>
    <w:p>
      <w:pPr>
        <w:spacing w:after="0" w:line="230" w:lineRule="auto"/>
        <w:rPr>
          <w:sz w:val="20"/>
          <w:szCs w:val="20"/>
          <w:color w:val="auto"/>
        </w:rPr>
      </w:pPr>
      <w:r>
        <w:rPr>
          <w:rFonts w:ascii="Arial" w:cs="Arial" w:eastAsia="Arial" w:hAnsi="Arial"/>
          <w:sz w:val="22"/>
          <w:szCs w:val="22"/>
          <w:color w:val="auto"/>
        </w:rPr>
        <w:t>Name: Odeh Stevens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Deutschland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Stephanie Ehrenfried</w:t>
      </w:r>
    </w:p>
    <w:p>
      <w:pPr>
        <w:spacing w:after="0" w:line="230" w:lineRule="auto"/>
        <w:rPr>
          <w:sz w:val="20"/>
          <w:szCs w:val="20"/>
          <w:color w:val="auto"/>
        </w:rPr>
      </w:pPr>
      <w:r>
        <w:rPr>
          <w:rFonts w:ascii="Arial" w:cs="Arial" w:eastAsia="Arial" w:hAnsi="Arial"/>
          <w:sz w:val="22"/>
          <w:szCs w:val="22"/>
          <w:color w:val="auto"/>
        </w:rPr>
        <w:t>Name: Stephanie Ehrenfried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Legal Continental Europe &amp; Cross-Border Funds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 Edge</w:t>
      </w:r>
    </w:p>
    <w:p>
      <w:pPr>
        <w:spacing w:after="0" w:line="230" w:lineRule="auto"/>
        <w:rPr>
          <w:sz w:val="20"/>
          <w:szCs w:val="20"/>
          <w:color w:val="auto"/>
        </w:rPr>
      </w:pPr>
      <w:r>
        <w:rPr>
          <w:rFonts w:ascii="Arial" w:cs="Arial" w:eastAsia="Arial" w:hAnsi="Arial"/>
          <w:sz w:val="22"/>
          <w:szCs w:val="22"/>
          <w:color w:val="auto"/>
        </w:rPr>
        <w:t>Name: Chris Edge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Director of UK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Laurent Vitel-Lepinay</w:t>
      </w:r>
    </w:p>
    <w:p>
      <w:pPr>
        <w:spacing w:after="0" w:line="230" w:lineRule="auto"/>
        <w:rPr>
          <w:sz w:val="20"/>
          <w:szCs w:val="20"/>
          <w:color w:val="auto"/>
        </w:rPr>
      </w:pPr>
      <w:r>
        <w:rPr>
          <w:rFonts w:ascii="Arial" w:cs="Arial" w:eastAsia="Arial" w:hAnsi="Arial"/>
          <w:sz w:val="22"/>
          <w:szCs w:val="22"/>
          <w:color w:val="auto"/>
        </w:rPr>
        <w:t>Name: Laurent Vitel-Lepinay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Deputy CEO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Bernard Aybran</w:t>
      </w:r>
    </w:p>
    <w:p>
      <w:pPr>
        <w:spacing w:after="0" w:line="230" w:lineRule="auto"/>
        <w:rPr>
          <w:sz w:val="20"/>
          <w:szCs w:val="20"/>
          <w:color w:val="auto"/>
        </w:rPr>
      </w:pPr>
      <w:r>
        <w:rPr>
          <w:rFonts w:ascii="Arial" w:cs="Arial" w:eastAsia="Arial" w:hAnsi="Arial"/>
          <w:sz w:val="22"/>
          <w:szCs w:val="22"/>
          <w:color w:val="auto"/>
        </w:rPr>
        <w:t>Name: Bernard Aybran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Multi-Management CIO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Peter Carroll</w:t>
      </w:r>
    </w:p>
    <w:p>
      <w:pPr>
        <w:spacing w:after="0" w:line="230" w:lineRule="auto"/>
        <w:rPr>
          <w:sz w:val="20"/>
          <w:szCs w:val="20"/>
          <w:color w:val="auto"/>
        </w:rPr>
      </w:pPr>
      <w:r>
        <w:rPr>
          <w:rFonts w:ascii="Arial" w:cs="Arial" w:eastAsia="Arial" w:hAnsi="Arial"/>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EMEA Delegation Oversight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Taiwan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Jacky Hsiao</w:t>
      </w:r>
    </w:p>
    <w:p>
      <w:pPr>
        <w:spacing w:after="0" w:line="230" w:lineRule="auto"/>
        <w:rPr>
          <w:sz w:val="20"/>
          <w:szCs w:val="20"/>
          <w:color w:val="auto"/>
        </w:rPr>
      </w:pPr>
      <w:r>
        <w:rPr>
          <w:rFonts w:ascii="Arial" w:cs="Arial" w:eastAsia="Arial" w:hAnsi="Arial"/>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General Manager</w:t>
      </w:r>
    </w:p>
    <w:p>
      <w:pPr>
        <w:sectPr>
          <w:pgSz w:w="11900" w:h="16877" w:orient="portrait"/>
          <w:cols w:equalWidth="0" w:num="1">
            <w:col w:w="11120"/>
          </w:cols>
          <w:pgMar w:left="340" w:top="111" w:right="439" w:bottom="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Invesco Asset Management (Japan)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Tsuyoshi Mochiyama</w:t>
      </w:r>
    </w:p>
    <w:p>
      <w:pPr>
        <w:spacing w:after="0" w:line="230" w:lineRule="auto"/>
        <w:rPr>
          <w:sz w:val="20"/>
          <w:szCs w:val="20"/>
          <w:color w:val="auto"/>
        </w:rPr>
      </w:pPr>
      <w:r>
        <w:rPr>
          <w:rFonts w:ascii="Arial" w:cs="Arial" w:eastAsia="Arial" w:hAnsi="Arial"/>
          <w:sz w:val="22"/>
          <w:szCs w:val="22"/>
          <w:color w:val="auto"/>
        </w:rPr>
        <w:t>Name: Tsuyoshi Mochiyama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Compliance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Capital Management,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Melanie Zimdars</w:t>
      </w:r>
    </w:p>
    <w:p>
      <w:pPr>
        <w:spacing w:after="0" w:line="230" w:lineRule="auto"/>
        <w:rPr>
          <w:sz w:val="20"/>
          <w:szCs w:val="20"/>
          <w:color w:val="auto"/>
        </w:rPr>
      </w:pPr>
      <w:r>
        <w:rPr>
          <w:rFonts w:ascii="Arial" w:cs="Arial" w:eastAsia="Arial" w:hAnsi="Arial"/>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ICM &amp; ETFs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Investment Advisers,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Trisha B Hancock</w:t>
      </w:r>
    </w:p>
    <w:p>
      <w:pPr>
        <w:spacing w:after="0" w:line="230" w:lineRule="auto"/>
        <w:rPr>
          <w:sz w:val="20"/>
          <w:szCs w:val="20"/>
          <w:color w:val="auto"/>
        </w:rPr>
      </w:pPr>
      <w:r>
        <w:rPr>
          <w:rFonts w:ascii="Arial" w:cs="Arial" w:eastAsia="Arial" w:hAnsi="Arial"/>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Broker-Dealers and UITs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Australia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Joslyn Telford</w:t>
      </w:r>
    </w:p>
    <w:p>
      <w:pPr>
        <w:spacing w:after="0" w:line="230" w:lineRule="auto"/>
        <w:rPr>
          <w:sz w:val="20"/>
          <w:szCs w:val="20"/>
          <w:color w:val="auto"/>
        </w:rPr>
      </w:pPr>
      <w:r>
        <w:rPr>
          <w:rFonts w:ascii="Arial" w:cs="Arial" w:eastAsia="Arial" w:hAnsi="Arial"/>
          <w:sz w:val="22"/>
          <w:szCs w:val="22"/>
          <w:color w:val="auto"/>
        </w:rPr>
        <w:t>Name: Joslyn Telford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Senior Compliance Manager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Private Capital,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Josh E Levit</w:t>
      </w:r>
    </w:p>
    <w:p>
      <w:pPr>
        <w:spacing w:after="0" w:line="230" w:lineRule="auto"/>
        <w:rPr>
          <w:sz w:val="20"/>
          <w:szCs w:val="20"/>
          <w:color w:val="auto"/>
        </w:rPr>
      </w:pPr>
      <w:r>
        <w:rPr>
          <w:rFonts w:ascii="Arial" w:cs="Arial" w:eastAsia="Arial" w:hAnsi="Arial"/>
          <w:sz w:val="22"/>
          <w:szCs w:val="22"/>
          <w:color w:val="auto"/>
        </w:rPr>
        <w:t>Name: Josh E Levit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sectPr>
      <w:pgSz w:w="11900" w:h="16838" w:orient="portrait"/>
      <w:cols w:equalWidth="0" w:num="1">
        <w:col w:w="10119"/>
      </w:cols>
      <w:pgMar w:left="3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2020-02-13T16:10:10Z</dcterms:created>
  <dcterms:modified xsi:type="dcterms:W3CDTF">2020-02-13T16:10:10Z</dcterms:modified>
</cp:coreProperties>
</file>