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24, 2015</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19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Delaware</w:t>
            </w:r>
          </w:p>
        </w:tc>
        <w:tc>
          <w:tcPr>
            <w:tcW w:w="58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001-36156</w:t>
            </w:r>
          </w:p>
        </w:tc>
        <w:tc>
          <w:tcPr>
            <w:tcW w:w="158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20-5455398</w:t>
            </w:r>
          </w:p>
        </w:tc>
      </w:tr>
      <w:tr>
        <w:trPr>
          <w:trHeight w:val="216"/>
        </w:trPr>
        <w:tc>
          <w:tcPr>
            <w:tcW w:w="1980" w:type="dxa"/>
            <w:vAlign w:val="bottom"/>
          </w:tcPr>
          <w:p>
            <w:pPr>
              <w:jc w:val="center"/>
              <w:ind w:right="10"/>
              <w:spacing w:after="0"/>
              <w:rPr>
                <w:sz w:val="20"/>
                <w:szCs w:val="20"/>
                <w:color w:val="auto"/>
              </w:rPr>
            </w:pPr>
            <w:r>
              <w:rPr>
                <w:rFonts w:ascii="Arial" w:cs="Arial" w:eastAsia="Arial" w:hAnsi="Arial"/>
                <w:sz w:val="18"/>
                <w:szCs w:val="18"/>
                <w:color w:val="auto"/>
                <w:w w:val="91"/>
              </w:rPr>
              <w:t>(State or other jurisdiction</w:t>
            </w:r>
          </w:p>
        </w:tc>
        <w:tc>
          <w:tcPr>
            <w:tcW w:w="5800" w:type="dxa"/>
            <w:vAlign w:val="bottom"/>
          </w:tcPr>
          <w:p>
            <w:pPr>
              <w:jc w:val="center"/>
              <w:ind w:right="10"/>
              <w:spacing w:after="0"/>
              <w:rPr>
                <w:sz w:val="20"/>
                <w:szCs w:val="20"/>
                <w:color w:val="auto"/>
              </w:rPr>
            </w:pPr>
            <w:r>
              <w:rPr>
                <w:rFonts w:ascii="Arial" w:cs="Arial" w:eastAsia="Arial" w:hAnsi="Arial"/>
                <w:sz w:val="18"/>
                <w:szCs w:val="18"/>
                <w:color w:val="auto"/>
                <w:w w:val="93"/>
              </w:rPr>
              <w:t>(Commission</w:t>
            </w:r>
          </w:p>
        </w:tc>
        <w:tc>
          <w:tcPr>
            <w:tcW w:w="1580" w:type="dxa"/>
            <w:vAlign w:val="bottom"/>
          </w:tcPr>
          <w:p>
            <w:pPr>
              <w:jc w:val="center"/>
              <w:ind w:left="150"/>
              <w:spacing w:after="0"/>
              <w:rPr>
                <w:sz w:val="20"/>
                <w:szCs w:val="20"/>
                <w:color w:val="auto"/>
              </w:rPr>
            </w:pPr>
            <w:r>
              <w:rPr>
                <w:rFonts w:ascii="Arial" w:cs="Arial" w:eastAsia="Arial" w:hAnsi="Arial"/>
                <w:sz w:val="18"/>
                <w:szCs w:val="18"/>
                <w:color w:val="auto"/>
                <w:w w:val="93"/>
              </w:rPr>
              <w:t>(IRS Employer</w:t>
            </w:r>
          </w:p>
        </w:tc>
      </w:tr>
      <w:tr>
        <w:trPr>
          <w:trHeight w:val="230"/>
        </w:trPr>
        <w:tc>
          <w:tcPr>
            <w:tcW w:w="1980" w:type="dxa"/>
            <w:vAlign w:val="bottom"/>
          </w:tcPr>
          <w:p>
            <w:pPr>
              <w:jc w:val="center"/>
              <w:ind w:right="10"/>
              <w:spacing w:after="0"/>
              <w:rPr>
                <w:sz w:val="20"/>
                <w:szCs w:val="20"/>
                <w:color w:val="auto"/>
              </w:rPr>
            </w:pPr>
            <w:r>
              <w:rPr>
                <w:rFonts w:ascii="Arial" w:cs="Arial" w:eastAsia="Arial" w:hAnsi="Arial"/>
                <w:sz w:val="18"/>
                <w:szCs w:val="18"/>
                <w:color w:val="auto"/>
                <w:w w:val="95"/>
              </w:rPr>
              <w:t>of incorporation)</w:t>
            </w:r>
          </w:p>
        </w:tc>
        <w:tc>
          <w:tcPr>
            <w:tcW w:w="5800" w:type="dxa"/>
            <w:vAlign w:val="bottom"/>
          </w:tcPr>
          <w:p>
            <w:pPr>
              <w:jc w:val="center"/>
              <w:ind w:right="10"/>
              <w:spacing w:after="0"/>
              <w:rPr>
                <w:sz w:val="20"/>
                <w:szCs w:val="20"/>
                <w:color w:val="auto"/>
              </w:rPr>
            </w:pPr>
            <w:r>
              <w:rPr>
                <w:rFonts w:ascii="Arial" w:cs="Arial" w:eastAsia="Arial" w:hAnsi="Arial"/>
                <w:sz w:val="18"/>
                <w:szCs w:val="18"/>
                <w:color w:val="auto"/>
                <w:w w:val="94"/>
              </w:rPr>
              <w:t>File Number)</w:t>
            </w:r>
          </w:p>
        </w:tc>
        <w:tc>
          <w:tcPr>
            <w:tcW w:w="1580" w:type="dxa"/>
            <w:vAlign w:val="bottom"/>
          </w:tcPr>
          <w:p>
            <w:pPr>
              <w:jc w:val="center"/>
              <w:ind w:left="15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1980" w:type="dxa"/>
            <w:vAlign w:val="bottom"/>
          </w:tcPr>
          <w:p>
            <w:pPr>
              <w:spacing w:after="0"/>
              <w:rPr>
                <w:sz w:val="24"/>
                <w:szCs w:val="24"/>
                <w:color w:val="auto"/>
              </w:rPr>
            </w:pPr>
          </w:p>
        </w:tc>
        <w:tc>
          <w:tcPr>
            <w:tcW w:w="58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7000 Shoreline Court, Suite 250, South San Francisco, California 94080</w:t>
            </w:r>
          </w:p>
        </w:tc>
        <w:tc>
          <w:tcPr>
            <w:tcW w:w="1580" w:type="dxa"/>
            <w:vAlign w:val="bottom"/>
          </w:tcPr>
          <w:p>
            <w:pPr>
              <w:spacing w:after="0"/>
              <w:rPr>
                <w:sz w:val="24"/>
                <w:szCs w:val="24"/>
                <w:color w:val="auto"/>
              </w:rPr>
            </w:pPr>
          </w:p>
        </w:tc>
      </w:tr>
      <w:tr>
        <w:trPr>
          <w:trHeight w:val="230"/>
        </w:trPr>
        <w:tc>
          <w:tcPr>
            <w:tcW w:w="1980" w:type="dxa"/>
            <w:vAlign w:val="bottom"/>
          </w:tcPr>
          <w:p>
            <w:pPr>
              <w:spacing w:after="0"/>
              <w:rPr>
                <w:sz w:val="20"/>
                <w:szCs w:val="20"/>
                <w:color w:val="auto"/>
              </w:rPr>
            </w:pPr>
          </w:p>
        </w:tc>
        <w:tc>
          <w:tcPr>
            <w:tcW w:w="5800" w:type="dxa"/>
            <w:vAlign w:val="bottom"/>
          </w:tcPr>
          <w:p>
            <w:pPr>
              <w:jc w:val="center"/>
              <w:ind w:right="50"/>
              <w:spacing w:after="0"/>
              <w:rPr>
                <w:sz w:val="20"/>
                <w:szCs w:val="20"/>
                <w:color w:val="auto"/>
              </w:rPr>
            </w:pPr>
            <w:r>
              <w:rPr>
                <w:rFonts w:ascii="Arial" w:cs="Arial" w:eastAsia="Arial" w:hAnsi="Arial"/>
                <w:sz w:val="18"/>
                <w:szCs w:val="18"/>
                <w:color w:val="auto"/>
                <w:w w:val="92"/>
              </w:rPr>
              <w:t>(Address of principal executive offices) (Zip Code)</w:t>
            </w:r>
          </w:p>
        </w:tc>
        <w:tc>
          <w:tcPr>
            <w:tcW w:w="1580" w:type="dxa"/>
            <w:vAlign w:val="bottom"/>
          </w:tcPr>
          <w:p>
            <w:pPr>
              <w:spacing w:after="0"/>
              <w:rPr>
                <w:sz w:val="20"/>
                <w:szCs w:val="20"/>
                <w:color w:val="auto"/>
              </w:rPr>
            </w:pPr>
          </w:p>
        </w:tc>
      </w:tr>
      <w:tr>
        <w:trPr>
          <w:trHeight w:val="432"/>
        </w:trPr>
        <w:tc>
          <w:tcPr>
            <w:tcW w:w="1980" w:type="dxa"/>
            <w:vAlign w:val="bottom"/>
          </w:tcPr>
          <w:p>
            <w:pPr>
              <w:spacing w:after="0"/>
              <w:rPr>
                <w:sz w:val="24"/>
                <w:szCs w:val="24"/>
                <w:color w:val="auto"/>
              </w:rPr>
            </w:pPr>
          </w:p>
        </w:tc>
        <w:tc>
          <w:tcPr>
            <w:tcW w:w="5800" w:type="dxa"/>
            <w:vAlign w:val="bottom"/>
          </w:tcPr>
          <w:p>
            <w:pPr>
              <w:jc w:val="center"/>
              <w:ind w:right="30"/>
              <w:spacing w:after="0"/>
              <w:rPr>
                <w:sz w:val="20"/>
                <w:szCs w:val="20"/>
                <w:color w:val="auto"/>
              </w:rPr>
            </w:pPr>
            <w:r>
              <w:rPr>
                <w:rFonts w:ascii="Arial" w:cs="Arial" w:eastAsia="Arial" w:hAnsi="Arial"/>
                <w:sz w:val="18"/>
                <w:szCs w:val="18"/>
                <w:color w:val="auto"/>
                <w:w w:val="91"/>
              </w:rPr>
              <w:t xml:space="preserve">Registrant’s telephone number, including area code: </w:t>
            </w:r>
            <w:r>
              <w:rPr>
                <w:rFonts w:ascii="Arial" w:cs="Arial" w:eastAsia="Arial" w:hAnsi="Arial"/>
                <w:sz w:val="18"/>
                <w:szCs w:val="18"/>
                <w:b w:val="1"/>
                <w:bCs w:val="1"/>
                <w:color w:val="auto"/>
                <w:w w:val="91"/>
              </w:rPr>
              <w:t>(650) 243-6300</w:t>
            </w:r>
          </w:p>
        </w:tc>
        <w:tc>
          <w:tcPr>
            <w:tcW w:w="1580" w:type="dxa"/>
            <w:vAlign w:val="bottom"/>
          </w:tcPr>
          <w:p>
            <w:pPr>
              <w:spacing w:after="0"/>
              <w:rPr>
                <w:sz w:val="24"/>
                <w:szCs w:val="24"/>
                <w:color w:val="auto"/>
              </w:rPr>
            </w:pPr>
          </w:p>
        </w:tc>
      </w:tr>
    </w:tbl>
    <w:p>
      <w:pPr>
        <w:spacing w:after="0" w:line="20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right="80" w:firstLine="648"/>
        <w:spacing w:after="0" w:line="276" w:lineRule="auto"/>
        <w:rPr>
          <w:sz w:val="20"/>
          <w:szCs w:val="20"/>
          <w:color w:val="auto"/>
        </w:rPr>
      </w:pPr>
      <w:r>
        <w:rPr>
          <w:rFonts w:ascii="Arial" w:cs="Arial" w:eastAsia="Arial" w:hAnsi="Arial"/>
          <w:sz w:val="17"/>
          <w:szCs w:val="17"/>
          <w:color w:val="auto"/>
        </w:rPr>
        <w:t>On November 24, 2015, Veracyte, Inc. (the “Company”) entered into a Consent and Second Amendment to Loan and Security Agreement (the “Second Amendment”) with Silicon Valley Bank, which amends the Loan and Security Agreement (the “Loan Agreement”) dated as of June 26, 2013 and the First Amendment to the Loan and Security Agreement (the “First Amendment”) dated as of December 18, 2014. Under the First Amendment, term loans for up to an aggregate of $15.0 million are available, in three tranches, each not to exceed $5.0 million. Under the Second Amendment, the Company may request the second term loan of up to $5.0 million through June 30, 2016, an extension from December 31, 2015.</w:t>
      </w:r>
    </w:p>
    <w:p>
      <w:pPr>
        <w:spacing w:after="0" w:line="173" w:lineRule="exact"/>
        <w:rPr>
          <w:sz w:val="24"/>
          <w:szCs w:val="24"/>
          <w:color w:val="auto"/>
        </w:rPr>
      </w:pPr>
    </w:p>
    <w:p>
      <w:pPr>
        <w:jc w:val="both"/>
        <w:ind w:right="220" w:firstLine="648"/>
        <w:spacing w:after="0" w:line="297" w:lineRule="auto"/>
        <w:rPr>
          <w:sz w:val="20"/>
          <w:szCs w:val="20"/>
          <w:color w:val="auto"/>
        </w:rPr>
      </w:pPr>
      <w:r>
        <w:rPr>
          <w:rFonts w:ascii="Arial" w:cs="Arial" w:eastAsia="Arial" w:hAnsi="Arial"/>
          <w:sz w:val="16"/>
          <w:szCs w:val="16"/>
          <w:color w:val="auto"/>
        </w:rPr>
        <w:t>The Company’s obligations under the Loan Agreement continue to be subject to covenants, including covenants limiting the Company’s ability to dispose of assets, undergo a change in control, merge with or acquire other entities, incur debt, incur liens, pay dividends or other distributions to holders of its capital stock, repurchase stock and make investments, in each case subject to certain exceptions, and to compliance with one of two financial covenants, one requiring a minimum level of liquidity and the other requiring the Company to achieve specified levels of revenues. The Company’s obligations under the Loan Agreement continue to be secured by a security interest on substantially all of its assets, excluding its intellectual property and certain other assets.</w:t>
      </w:r>
    </w:p>
    <w:p>
      <w:pPr>
        <w:spacing w:after="0" w:line="158" w:lineRule="exact"/>
        <w:rPr>
          <w:sz w:val="24"/>
          <w:szCs w:val="24"/>
          <w:color w:val="auto"/>
        </w:rPr>
      </w:pPr>
    </w:p>
    <w:p>
      <w:pPr>
        <w:ind w:right="400" w:firstLine="648"/>
        <w:spacing w:after="0" w:line="277" w:lineRule="auto"/>
        <w:rPr>
          <w:sz w:val="20"/>
          <w:szCs w:val="20"/>
          <w:color w:val="auto"/>
        </w:rPr>
      </w:pPr>
      <w:r>
        <w:rPr>
          <w:rFonts w:ascii="Arial" w:cs="Arial" w:eastAsia="Arial" w:hAnsi="Arial"/>
          <w:sz w:val="18"/>
          <w:szCs w:val="18"/>
          <w:color w:val="auto"/>
        </w:rPr>
        <w:t>The foregoing description of the Second Amendment is qualified in its entirety by reference to the full text of the Second Amendment, a copy of which is filed herewith as Exhibit 10.1 and is incorporated herein by reference.</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260" w:type="dxa"/>
            <w:vAlign w:val="bottom"/>
            <w:gridSpan w:val="2"/>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c>
          <w:tcPr>
            <w:tcW w:w="40" w:type="dxa"/>
            <w:vAlign w:val="bottom"/>
          </w:tcPr>
          <w:p>
            <w:pPr>
              <w:spacing w:after="0"/>
              <w:rPr>
                <w:sz w:val="20"/>
                <w:szCs w:val="20"/>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(d) Exhibits</w:t>
            </w:r>
          </w:p>
        </w:tc>
        <w:tc>
          <w:tcPr>
            <w:tcW w:w="34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9920" w:type="dxa"/>
            <w:vAlign w:val="bottom"/>
            <w:tcBorders>
              <w:bottom w:val="single" w:sz="8" w:color="auto"/>
            </w:tcBorders>
          </w:tcPr>
          <w:p>
            <w:pPr>
              <w:jc w:val="right"/>
              <w:ind w:right="4528"/>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3"/>
              </w:rPr>
              <w:t>Consent and Second Amendment to Loan and Security Agreement dated as of November 24, 2015 between Silicon Valley Bank and</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Veracyte, Inc.</w:t>
            </w:r>
          </w:p>
        </w:tc>
        <w:tc>
          <w:tcPr>
            <w:tcW w:w="4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2"/>
          </w:tcPr>
          <w:p>
            <w:pPr>
              <w:jc w:val="right"/>
              <w:ind w:right="5588"/>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262"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60" w:firstLine="50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Dated: November 24, 2015</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41"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Shelly D. Guyer</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jc w:val="center"/>
              <w:ind w:right="1399"/>
              <w:spacing w:after="0"/>
              <w:rPr>
                <w:sz w:val="20"/>
                <w:szCs w:val="20"/>
                <w:color w:val="auto"/>
              </w:rPr>
            </w:pPr>
            <w:r>
              <w:rPr>
                <w:rFonts w:ascii="Arial" w:cs="Arial" w:eastAsia="Arial" w:hAnsi="Arial"/>
                <w:sz w:val="18"/>
                <w:szCs w:val="18"/>
                <w:b w:val="1"/>
                <w:bCs w:val="1"/>
                <w:color w:val="auto"/>
              </w:rPr>
              <w:t>INDEX TO EXHIBITS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992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3"/>
              </w:rPr>
              <w:t>Consent and Second Amendment to Loan and Security Agreement dated as of November 24, 2015 between Silicon Valley Bank and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Veracyte,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2"/>
          </w:tcPr>
          <w:p>
            <w:pPr>
              <w:jc w:val="right"/>
              <w:ind w:right="5579"/>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 w:name="page3"/>
    <w:bookmarkEnd w:id="2"/>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AND SECOND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20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CONSENT AND SECOND AMENDMENT</w:t>
      </w:r>
      <w:r>
        <w:rPr>
          <w:rFonts w:ascii="Arial" w:cs="Arial" w:eastAsia="Arial" w:hAnsi="Arial"/>
          <w:sz w:val="18"/>
          <w:szCs w:val="18"/>
          <w:color w:val="auto"/>
        </w:rPr>
        <w:t xml:space="preserve"> to Loan and Security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November 24, 2015, by and between SILICON VALLEY BANK (“</w:t>
      </w:r>
      <w:r>
        <w:rPr>
          <w:rFonts w:ascii="Arial" w:cs="Arial" w:eastAsia="Arial" w:hAnsi="Arial"/>
          <w:sz w:val="18"/>
          <w:szCs w:val="18"/>
          <w:b w:val="1"/>
          <w:bCs w:val="1"/>
          <w:color w:val="auto"/>
        </w:rPr>
        <w:t>Bank</w:t>
      </w:r>
      <w:r>
        <w:rPr>
          <w:rFonts w:ascii="Arial" w:cs="Arial" w:eastAsia="Arial" w:hAnsi="Arial"/>
          <w:sz w:val="18"/>
          <w:szCs w:val="18"/>
          <w:color w:val="auto"/>
        </w:rPr>
        <w:t>”) and VERACYTE, INC.,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60" w:firstLine="656"/>
        <w:spacing w:after="0" w:line="286" w:lineRule="auto"/>
        <w:tabs>
          <w:tab w:leader="none" w:pos="1309"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Bank and Borrower have entered into that certain Loan and Security Agreement dated as of June 26, 2013, as amended by that certain Consent dated as of September 15, 2014 and that certain Consent and First Amendment to Loan and Security Agreement dated as of December 18, 2014 (as the same may from time to time be further amended, modified, supplemented or restated, the “</w:t>
      </w:r>
      <w:r>
        <w:rPr>
          <w:rFonts w:ascii="Arial" w:cs="Arial" w:eastAsia="Arial" w:hAnsi="Arial"/>
          <w:sz w:val="17"/>
          <w:szCs w:val="17"/>
          <w:b w:val="1"/>
          <w:bCs w:val="1"/>
          <w:color w:val="auto"/>
        </w:rPr>
        <w:t>Loan Agreement</w:t>
      </w:r>
      <w:r>
        <w:rPr>
          <w:rFonts w:ascii="Arial" w:cs="Arial" w:eastAsia="Arial" w:hAnsi="Arial"/>
          <w:sz w:val="17"/>
          <w:szCs w:val="17"/>
          <w:color w:val="auto"/>
        </w:rPr>
        <w:t>”).</w:t>
      </w:r>
    </w:p>
    <w:p>
      <w:pPr>
        <w:spacing w:after="0" w:line="165" w:lineRule="exact"/>
        <w:rPr>
          <w:rFonts w:ascii="Arial" w:cs="Arial" w:eastAsia="Arial" w:hAnsi="Arial"/>
          <w:sz w:val="17"/>
          <w:szCs w:val="17"/>
          <w:b w:val="1"/>
          <w:bCs w:val="1"/>
          <w:color w:val="auto"/>
        </w:rPr>
      </w:pPr>
    </w:p>
    <w:p>
      <w:pPr>
        <w:ind w:left="1300" w:hanging="644"/>
        <w:spacing w:after="0"/>
        <w:tabs>
          <w:tab w:leader="none" w:pos="13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Bank has extended credit to Borrower for the purposes permitted in the Loan Agreement.</w:t>
      </w:r>
    </w:p>
    <w:p>
      <w:pPr>
        <w:spacing w:after="0" w:line="225" w:lineRule="exact"/>
        <w:rPr>
          <w:rFonts w:ascii="Arial" w:cs="Arial" w:eastAsia="Arial" w:hAnsi="Arial"/>
          <w:sz w:val="18"/>
          <w:szCs w:val="18"/>
          <w:b w:val="1"/>
          <w:bCs w:val="1"/>
          <w:color w:val="auto"/>
        </w:rPr>
      </w:pPr>
    </w:p>
    <w:p>
      <w:pPr>
        <w:ind w:right="20" w:firstLine="656"/>
        <w:spacing w:after="0" w:line="277" w:lineRule="auto"/>
        <w:tabs>
          <w:tab w:leader="none" w:pos="1309"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Borrower has requested that Bank consent to Borrower housing assets or property in excess of $500,000 with unaffiliated kitters, in medical practices and with other third parties, in each case in the ordinary course of business.</w:t>
      </w:r>
    </w:p>
    <w:p>
      <w:pPr>
        <w:spacing w:after="0" w:line="170" w:lineRule="exact"/>
        <w:rPr>
          <w:rFonts w:ascii="Arial" w:cs="Arial" w:eastAsia="Arial" w:hAnsi="Arial"/>
          <w:sz w:val="18"/>
          <w:szCs w:val="18"/>
          <w:b w:val="1"/>
          <w:bCs w:val="1"/>
          <w:color w:val="auto"/>
        </w:rPr>
      </w:pPr>
    </w:p>
    <w:p>
      <w:pPr>
        <w:ind w:right="100" w:firstLine="656"/>
        <w:spacing w:after="0" w:line="277" w:lineRule="auto"/>
        <w:tabs>
          <w:tab w:leader="none" w:pos="1309"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Borrower has also requested that Bank amend the Loan Agreement to, among other things, extend the draw period availability for a certain Growth Capital II Term Loan.</w:t>
      </w:r>
    </w:p>
    <w:p>
      <w:pPr>
        <w:spacing w:after="0" w:line="170" w:lineRule="exact"/>
        <w:rPr>
          <w:rFonts w:ascii="Arial" w:cs="Arial" w:eastAsia="Arial" w:hAnsi="Arial"/>
          <w:sz w:val="18"/>
          <w:szCs w:val="18"/>
          <w:b w:val="1"/>
          <w:bCs w:val="1"/>
          <w:color w:val="auto"/>
        </w:rPr>
      </w:pPr>
    </w:p>
    <w:p>
      <w:pPr>
        <w:ind w:right="780" w:firstLine="656"/>
        <w:spacing w:after="0" w:line="308" w:lineRule="auto"/>
        <w:tabs>
          <w:tab w:leader="none" w:pos="1299"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Bank has agreed to so consent to the foregoing, and to amend certain provisions of the Loan Agreement, but only to the extent, in accordance with the terms, subject to the conditions and in reliance upon the representations and warranties set forth below.</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recitals and other good and valuable consideration, the receipt and adequacy of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and intending to be legally bound, the parties hereto agree as follows:</w:t>
      </w:r>
    </w:p>
    <w:p>
      <w:pPr>
        <w:spacing w:after="0" w:line="162"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Definitions. </w:t>
      </w:r>
      <w:r>
        <w:rPr>
          <w:rFonts w:ascii="Arial" w:cs="Arial" w:eastAsia="Arial" w:hAnsi="Arial"/>
          <w:sz w:val="17"/>
          <w:szCs w:val="17"/>
          <w:color w:val="auto"/>
        </w:rPr>
        <w:t>Capitalized terms used but not defined in this Amendment shall have the meanings given to them in the Loan Agreement.</w:t>
      </w:r>
    </w:p>
    <w:p>
      <w:pPr>
        <w:spacing w:after="0" w:line="236" w:lineRule="exact"/>
        <w:rPr>
          <w:rFonts w:ascii="Arial" w:cs="Arial" w:eastAsia="Arial" w:hAnsi="Arial"/>
          <w:sz w:val="17"/>
          <w:szCs w:val="17"/>
          <w:b w:val="1"/>
          <w:bCs w:val="1"/>
          <w:color w:val="auto"/>
        </w:rPr>
      </w:pPr>
    </w:p>
    <w:p>
      <w:pPr>
        <w:jc w:val="both"/>
        <w:ind w:right="120" w:firstLine="656"/>
        <w:spacing w:after="0" w:line="266" w:lineRule="auto"/>
        <w:tabs>
          <w:tab w:leader="none" w:pos="129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Consent</w:t>
      </w:r>
      <w:r>
        <w:rPr>
          <w:rFonts w:ascii="Arial" w:cs="Arial" w:eastAsia="Arial" w:hAnsi="Arial"/>
          <w:sz w:val="18"/>
          <w:szCs w:val="18"/>
          <w:color w:val="auto"/>
        </w:rPr>
        <w:t>. Bank consents to Borrower maintaining property valued in the aggregate at $750,000 or less with unaffiliated kitters, in medical</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or with other third parties, in each case in the ordinary course and without the requirement to provide prior notice to the Bank, obtain bailee letters or obtain other consent from the Bank under the Agreement.</w:t>
      </w:r>
    </w:p>
    <w:p>
      <w:pPr>
        <w:spacing w:after="0" w:line="176" w:lineRule="exact"/>
        <w:rPr>
          <w:rFonts w:ascii="Arial" w:cs="Arial" w:eastAsia="Arial" w:hAnsi="Arial"/>
          <w:sz w:val="18"/>
          <w:szCs w:val="18"/>
          <w:b w:val="1"/>
          <w:bCs w:val="1"/>
          <w:color w:val="auto"/>
        </w:rPr>
      </w:pPr>
    </w:p>
    <w:p>
      <w:pPr>
        <w:ind w:left="1300" w:hanging="644"/>
        <w:spacing w:after="0"/>
        <w:tabs>
          <w:tab w:leader="none" w:pos="1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Loan Agreement.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 xml:space="preserve">Section 2.1.2 </w:t>
      </w:r>
      <w:r>
        <w:rPr>
          <w:rFonts w:ascii="Arial" w:cs="Arial" w:eastAsia="Arial" w:hAnsi="Arial"/>
          <w:sz w:val="16"/>
          <w:szCs w:val="16"/>
          <w:color w:val="auto"/>
        </w:rPr>
        <w:t>(</w:t>
      </w:r>
      <w:r>
        <w:rPr>
          <w:rFonts w:ascii="Arial" w:cs="Arial" w:eastAsia="Arial" w:hAnsi="Arial"/>
          <w:sz w:val="16"/>
          <w:szCs w:val="16"/>
          <w:b w:val="1"/>
          <w:bCs w:val="1"/>
          <w:color w:val="auto"/>
        </w:rPr>
        <w:t>Growth Capital II Term Loans</w:t>
      </w:r>
      <w:r>
        <w:rPr>
          <w:rFonts w:ascii="Arial" w:cs="Arial" w:eastAsia="Arial" w:hAnsi="Arial"/>
          <w:sz w:val="16"/>
          <w:szCs w:val="16"/>
          <w:color w:val="auto"/>
        </w:rPr>
        <w:t>). Section 2.1.2(a)(ii) of the Loan Agreement is amended and restated to read 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660" w:right="240" w:firstLine="1293"/>
        <w:spacing w:after="0" w:line="308" w:lineRule="auto"/>
        <w:tabs>
          <w:tab w:leader="none" w:pos="2636"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Tranche B</w:t>
      </w:r>
      <w:r>
        <w:rPr>
          <w:rFonts w:ascii="Arial" w:cs="Arial" w:eastAsia="Arial" w:hAnsi="Arial"/>
          <w:sz w:val="17"/>
          <w:szCs w:val="17"/>
          <w:color w:val="auto"/>
        </w:rPr>
        <w:t>: Borrower may request one Growth Capital II Term Loan under Tranche B (the “Tranche B Advance”) in a principal amount not to exceed Five Million Dollars ($5,000,000) anytime from the First Amendment Date through June 30, 2016.</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Section 6.2 (Financial Statements, Reports, Certificates)</w:t>
      </w:r>
      <w:r>
        <w:rPr>
          <w:rFonts w:ascii="Arial" w:cs="Arial" w:eastAsia="Arial" w:hAnsi="Arial"/>
          <w:sz w:val="16"/>
          <w:szCs w:val="16"/>
          <w:color w:val="auto"/>
        </w:rPr>
        <w:t>. Section 6.2(g) of the Loan Agreement is amended and restated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read as follows:</w:t>
      </w:r>
    </w:p>
    <w:p>
      <w:pPr>
        <w:spacing w:after="0" w:line="211" w:lineRule="exact"/>
        <w:rPr>
          <w:sz w:val="20"/>
          <w:szCs w:val="20"/>
          <w:color w:val="auto"/>
        </w:rPr>
      </w:pPr>
    </w:p>
    <w:p>
      <w:pPr>
        <w:ind w:left="660" w:right="40" w:firstLine="1293"/>
        <w:spacing w:after="0" w:line="293" w:lineRule="auto"/>
        <w:tabs>
          <w:tab w:leader="none" w:pos="2626" w:val="left"/>
        </w:tabs>
        <w:numPr>
          <w:ilvl w:val="1"/>
          <w:numId w:val="5"/>
        </w:numPr>
        <w:rPr>
          <w:rFonts w:ascii="Arial" w:cs="Arial" w:eastAsia="Arial" w:hAnsi="Arial"/>
          <w:sz w:val="16"/>
          <w:szCs w:val="16"/>
          <w:color w:val="auto"/>
        </w:rPr>
      </w:pPr>
      <w:r>
        <w:rPr>
          <w:rFonts w:ascii="Arial" w:cs="Arial" w:eastAsia="Arial" w:hAnsi="Arial"/>
          <w:sz w:val="16"/>
          <w:szCs w:val="16"/>
          <w:u w:val="single" w:color="auto"/>
          <w:color w:val="auto"/>
        </w:rPr>
        <w:t>SEC Filings</w:t>
      </w:r>
      <w:r>
        <w:rPr>
          <w:rFonts w:ascii="Arial" w:cs="Arial" w:eastAsia="Arial" w:hAnsi="Arial"/>
          <w:sz w:val="16"/>
          <w:szCs w:val="16"/>
          <w:color w:val="auto"/>
        </w:rPr>
        <w:t>. In the event that Borrower becomes subject to the reporting requirements under the Exchange Act within five (5) days of filing, copies of all periodic and other reports, proxy statements and other materials filed by Borrower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w:t>
      </w:r>
    </w:p>
    <w:p>
      <w:pPr>
        <w:spacing w:after="0" w:line="160" w:lineRule="exact"/>
        <w:rPr>
          <w:rFonts w:ascii="Arial" w:cs="Arial" w:eastAsia="Arial" w:hAnsi="Arial"/>
          <w:sz w:val="16"/>
          <w:szCs w:val="16"/>
          <w:color w:val="auto"/>
        </w:rPr>
      </w:pPr>
    </w:p>
    <w:p>
      <w:pPr>
        <w:ind w:left="1300" w:hanging="644"/>
        <w:spacing w:after="0"/>
        <w:tabs>
          <w:tab w:leader="none" w:pos="1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Amendment.</w:t>
      </w:r>
    </w:p>
    <w:p>
      <w:pPr>
        <w:spacing w:after="0" w:line="225"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4.1</w:t>
      </w:r>
      <w:r>
        <w:rPr>
          <w:rFonts w:ascii="Arial" w:cs="Arial" w:eastAsia="Arial" w:hAnsi="Arial"/>
          <w:sz w:val="16"/>
          <w:szCs w:val="16"/>
          <w:color w:val="auto"/>
        </w:rPr>
        <w:t xml:space="preserve">The amendment set forth in </w:t>
      </w:r>
      <w:r>
        <w:rPr>
          <w:rFonts w:ascii="Arial" w:cs="Arial" w:eastAsia="Arial" w:hAnsi="Arial"/>
          <w:sz w:val="16"/>
          <w:szCs w:val="16"/>
          <w:b w:val="1"/>
          <w:bCs w:val="1"/>
          <w:color w:val="auto"/>
        </w:rPr>
        <w:t>Section 3</w:t>
      </w:r>
      <w:r>
        <w:rPr>
          <w:rFonts w:ascii="Arial" w:cs="Arial" w:eastAsia="Arial" w:hAnsi="Arial"/>
          <w:sz w:val="16"/>
          <w:szCs w:val="16"/>
          <w:color w:val="auto"/>
        </w:rPr>
        <w:t>, above, are effective for the purposes set forth herein and shall be limited precisely as</w:t>
      </w:r>
    </w:p>
    <w:p>
      <w:pPr>
        <w:spacing w:after="0" w:line="27" w:lineRule="exact"/>
        <w:rPr>
          <w:sz w:val="20"/>
          <w:szCs w:val="20"/>
          <w:color w:val="auto"/>
        </w:rPr>
      </w:pPr>
    </w:p>
    <w:p>
      <w:pPr>
        <w:ind w:right="480"/>
        <w:spacing w:after="0" w:line="323" w:lineRule="auto"/>
        <w:rPr>
          <w:sz w:val="20"/>
          <w:szCs w:val="20"/>
          <w:color w:val="auto"/>
        </w:rPr>
      </w:pPr>
      <w:r>
        <w:rPr>
          <w:rFonts w:ascii="Arial" w:cs="Arial" w:eastAsia="Arial" w:hAnsi="Arial"/>
          <w:sz w:val="16"/>
          <w:szCs w:val="16"/>
          <w:color w:val="auto"/>
        </w:rPr>
        <w:t>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35" w:lineRule="exact"/>
        <w:rPr>
          <w:sz w:val="20"/>
          <w:szCs w:val="20"/>
          <w:color w:val="auto"/>
        </w:rPr>
      </w:pPr>
    </w:p>
    <w:p>
      <w:pPr>
        <w:ind w:firstLine="1297"/>
        <w:spacing w:after="0" w:line="266"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This Amendment shall be construed in connection with and as part of the Loan Documents and all terms,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warranties, covenants and agreements set forth in the Loan Documents, except as herein amended, are hereby ratified and confirmed and shall remain in full force and effect.</w:t>
      </w:r>
    </w:p>
    <w:p>
      <w:pPr>
        <w:spacing w:after="0" w:line="17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Representations and Warranties. </w:t>
      </w:r>
      <w:r>
        <w:rPr>
          <w:rFonts w:ascii="Arial" w:cs="Arial" w:eastAsia="Arial" w:hAnsi="Arial"/>
          <w:sz w:val="16"/>
          <w:szCs w:val="16"/>
          <w:color w:val="auto"/>
        </w:rPr>
        <w:t>To induce Bank to enter into this Amendment, Borrower hereby represents and warrants to Bank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ind w:right="160" w:firstLine="1297"/>
        <w:spacing w:after="0" w:line="261"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color w:val="auto"/>
        </w:rPr>
        <w:t>Immediately after giving effect to this Amendment (a) the representations and warranties contained in the Loan Documents are</w:t>
      </w:r>
      <w:r>
        <w:rPr>
          <w:rFonts w:ascii="Arial" w:cs="Arial" w:eastAsia="Arial" w:hAnsi="Arial"/>
          <w:sz w:val="18"/>
          <w:szCs w:val="18"/>
          <w:b w:val="1"/>
          <w:bCs w:val="1"/>
          <w:color w:val="auto"/>
        </w:rPr>
        <w:t xml:space="preserve"> </w:t>
      </w:r>
      <w:r>
        <w:rPr>
          <w:rFonts w:ascii="Arial" w:cs="Arial" w:eastAsia="Arial" w:hAnsi="Arial"/>
          <w:sz w:val="18"/>
          <w:szCs w:val="18"/>
          <w:color w:val="auto"/>
        </w:rPr>
        <w:t>true, accurate and complete in all material respects as of the date hereof (except to the extent such representations and warranties relate to an earlier date, in which case they are true and correct as of such date), and (b) no Event of Default (other than the Existing Default being waived hereunder) has occurred and is continuing;</w:t>
      </w:r>
    </w:p>
    <w:p>
      <w:pPr>
        <w:sectPr>
          <w:pgSz w:w="11900" w:h="16848" w:orient="portrait"/>
          <w:cols w:equalWidth="0" w:num="1">
            <w:col w:w="11420"/>
          </w:cols>
          <w:pgMar w:left="240" w:top="121" w:right="239" w:bottom="0" w:gutter="0" w:footer="0" w:header="0"/>
        </w:sectPr>
      </w:pPr>
    </w:p>
    <w:bookmarkStart w:id="3" w:name="page4"/>
    <w:bookmarkEnd w:id="3"/>
    <w:p>
      <w:pPr>
        <w:ind w:right="600" w:firstLine="1297"/>
        <w:spacing w:after="0" w:line="282"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color w:val="auto"/>
        </w:rPr>
        <w:t>Borrower has the power and authority to execute and deliver this Amendment and to perform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w:t>
      </w:r>
    </w:p>
    <w:p>
      <w:pPr>
        <w:spacing w:after="0" w:line="162" w:lineRule="exact"/>
        <w:rPr>
          <w:sz w:val="20"/>
          <w:szCs w:val="20"/>
          <w:color w:val="auto"/>
        </w:rPr>
      </w:pPr>
    </w:p>
    <w:p>
      <w:pPr>
        <w:ind w:right="60" w:firstLine="1297"/>
        <w:spacing w:after="0" w:line="266"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color w:val="auto"/>
        </w:rPr>
        <w:t>The organizational documents of Borrower delivered to Bank on or prior to the date of this Amendment and on file with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Securities Exchange Commission are true, accurate and complete and have not been amended, supplemented or restated and are and continue to be in full force and effect;</w:t>
      </w:r>
    </w:p>
    <w:p>
      <w:pPr>
        <w:spacing w:after="0" w:line="176" w:lineRule="exact"/>
        <w:rPr>
          <w:sz w:val="20"/>
          <w:szCs w:val="20"/>
          <w:color w:val="auto"/>
        </w:rPr>
      </w:pPr>
    </w:p>
    <w:p>
      <w:pPr>
        <w:ind w:right="280" w:firstLine="1297"/>
        <w:spacing w:after="0" w:line="282"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color w:val="auto"/>
        </w:rPr>
        <w:t>The execution and delivery by Borrower of this Amendment and the performance by Borrower of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 have been duly authorized;</w:t>
      </w:r>
    </w:p>
    <w:p>
      <w:pPr>
        <w:spacing w:after="0" w:line="162" w:lineRule="exact"/>
        <w:rPr>
          <w:sz w:val="20"/>
          <w:szCs w:val="20"/>
          <w:color w:val="auto"/>
        </w:rPr>
      </w:pPr>
    </w:p>
    <w:p>
      <w:pPr>
        <w:ind w:right="280" w:firstLine="1297"/>
        <w:spacing w:after="0" w:line="261"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color w:val="auto"/>
        </w:rPr>
        <w:t>The execution and delivery by Borrower of this Amendment and the performance by Borrower of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80" w:lineRule="exact"/>
        <w:rPr>
          <w:sz w:val="20"/>
          <w:szCs w:val="20"/>
          <w:color w:val="auto"/>
        </w:rPr>
      </w:pPr>
    </w:p>
    <w:p>
      <w:pPr>
        <w:ind w:right="280" w:firstLine="1297"/>
        <w:spacing w:after="0" w:line="261"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color w:val="auto"/>
        </w:rPr>
        <w:t>The execution and delivery by Borrower of this Amendment and the performance by Borrower of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 except for filings under the federal securities laws; and</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1297"/>
        <w:spacing w:after="0" w:line="266" w:lineRule="auto"/>
        <w:rPr>
          <w:sz w:val="20"/>
          <w:szCs w:val="20"/>
          <w:color w:val="auto"/>
        </w:rPr>
      </w:pPr>
      <w:r>
        <w:rPr>
          <w:rFonts w:ascii="Arial" w:cs="Arial" w:eastAsia="Arial" w:hAnsi="Arial"/>
          <w:sz w:val="18"/>
          <w:szCs w:val="18"/>
          <w:b w:val="1"/>
          <w:bCs w:val="1"/>
          <w:color w:val="auto"/>
        </w:rPr>
        <w:t xml:space="preserve">5.7 </w:t>
      </w:r>
      <w:r>
        <w:rPr>
          <w:rFonts w:ascii="Arial" w:cs="Arial" w:eastAsia="Arial" w:hAnsi="Arial"/>
          <w:sz w:val="18"/>
          <w:szCs w:val="18"/>
          <w:color w:val="auto"/>
        </w:rPr>
        <w:t>This Amendment has been duly executed and delivered by Borrower and is the binding obligation of Borrower, enforceable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76" w:lineRule="exact"/>
        <w:rPr>
          <w:sz w:val="20"/>
          <w:szCs w:val="20"/>
          <w:color w:val="auto"/>
        </w:rPr>
      </w:pPr>
    </w:p>
    <w:p>
      <w:pPr>
        <w:ind w:right="220" w:firstLine="656"/>
        <w:spacing w:after="0" w:line="266" w:lineRule="auto"/>
        <w:tabs>
          <w:tab w:leader="none" w:pos="129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Integration</w:t>
      </w:r>
      <w:r>
        <w:rPr>
          <w:rFonts w:ascii="Arial" w:cs="Arial" w:eastAsia="Arial" w:hAnsi="Arial"/>
          <w:sz w:val="18"/>
          <w:szCs w:val="18"/>
          <w:color w:val="auto"/>
        </w:rPr>
        <w:t>. This Amendment and the Loan Documents represent the entire agreement about this subject matter and supersede prior</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76" w:lineRule="exact"/>
        <w:rPr>
          <w:rFonts w:ascii="Arial" w:cs="Arial" w:eastAsia="Arial" w:hAnsi="Arial"/>
          <w:sz w:val="18"/>
          <w:szCs w:val="18"/>
          <w:b w:val="1"/>
          <w:bCs w:val="1"/>
          <w:color w:val="auto"/>
        </w:rPr>
      </w:pPr>
    </w:p>
    <w:p>
      <w:pPr>
        <w:ind w:right="560" w:firstLine="656"/>
        <w:spacing w:after="0" w:line="282" w:lineRule="auto"/>
        <w:tabs>
          <w:tab w:leader="none" w:pos="129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Amendment may be executed in any number of counterparts and all of such counterparts taken together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constitute one and the same instrument.</w:t>
      </w:r>
    </w:p>
    <w:p>
      <w:pPr>
        <w:spacing w:after="0" w:line="161" w:lineRule="exact"/>
        <w:rPr>
          <w:rFonts w:ascii="Arial" w:cs="Arial" w:eastAsia="Arial" w:hAnsi="Arial"/>
          <w:sz w:val="18"/>
          <w:szCs w:val="18"/>
          <w:b w:val="1"/>
          <w:bCs w:val="1"/>
          <w:color w:val="auto"/>
        </w:rPr>
      </w:pPr>
    </w:p>
    <w:p>
      <w:pPr>
        <w:ind w:right="280" w:firstLine="656"/>
        <w:spacing w:after="0" w:line="282" w:lineRule="auto"/>
        <w:tabs>
          <w:tab w:leader="none" w:pos="129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Amendment and the rights and obligations of the parties hereto shall be governed by and construed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laws of the State of California.</w:t>
      </w:r>
    </w:p>
    <w:p>
      <w:pPr>
        <w:spacing w:after="0" w:line="161" w:lineRule="exact"/>
        <w:rPr>
          <w:rFonts w:ascii="Arial" w:cs="Arial" w:eastAsia="Arial" w:hAnsi="Arial"/>
          <w:sz w:val="18"/>
          <w:szCs w:val="18"/>
          <w:b w:val="1"/>
          <w:bCs w:val="1"/>
          <w:color w:val="auto"/>
        </w:rPr>
      </w:pPr>
    </w:p>
    <w:p>
      <w:pPr>
        <w:ind w:right="80" w:firstLine="656"/>
        <w:spacing w:after="0" w:line="266" w:lineRule="auto"/>
        <w:tabs>
          <w:tab w:leader="none" w:pos="129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w:t>
      </w:r>
      <w:r>
        <w:rPr>
          <w:rFonts w:ascii="Arial" w:cs="Arial" w:eastAsia="Arial" w:hAnsi="Arial"/>
          <w:sz w:val="18"/>
          <w:szCs w:val="18"/>
          <w:color w:val="auto"/>
        </w:rPr>
        <w:t>. This Amendment shall be deemed effective upon (a) the due execution and delivery to Bank of this Amendment by each</w:t>
      </w:r>
      <w:r>
        <w:rPr>
          <w:rFonts w:ascii="Arial" w:cs="Arial" w:eastAsia="Arial" w:hAnsi="Arial"/>
          <w:sz w:val="18"/>
          <w:szCs w:val="18"/>
          <w:b w:val="1"/>
          <w:bCs w:val="1"/>
          <w:color w:val="auto"/>
        </w:rPr>
        <w:t xml:space="preserve"> </w:t>
      </w:r>
      <w:r>
        <w:rPr>
          <w:rFonts w:ascii="Arial" w:cs="Arial" w:eastAsia="Arial" w:hAnsi="Arial"/>
          <w:sz w:val="18"/>
          <w:szCs w:val="18"/>
          <w:color w:val="auto"/>
        </w:rPr>
        <w:t>party hereto, (b) Borrower’s payment of an amount equal to all Bank Expenses incurred through the date of this Amendment, and (c) such other documents as Bank may reasonably request.</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hereto have caused this Amendment to be duly executed and delivered as of the date first written above.</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BANK</w:t>
            </w:r>
          </w:p>
        </w:tc>
        <w:tc>
          <w:tcPr>
            <w:tcW w:w="4820" w:type="dxa"/>
            <w:vAlign w:val="bottom"/>
          </w:tcPr>
          <w:p>
            <w:pPr>
              <w:spacing w:after="0"/>
              <w:rPr>
                <w:sz w:val="20"/>
                <w:szCs w:val="20"/>
                <w:color w:val="auto"/>
              </w:rPr>
            </w:pPr>
          </w:p>
        </w:tc>
        <w:tc>
          <w:tcPr>
            <w:tcW w:w="5800" w:type="dxa"/>
            <w:vAlign w:val="bottom"/>
            <w:gridSpan w:val="2"/>
          </w:tcPr>
          <w:p>
            <w:pPr>
              <w:ind w:left="460"/>
              <w:spacing w:after="0"/>
              <w:rPr>
                <w:sz w:val="20"/>
                <w:szCs w:val="20"/>
                <w:color w:val="auto"/>
              </w:rPr>
            </w:pPr>
            <w:r>
              <w:rPr>
                <w:rFonts w:ascii="Arial" w:cs="Arial" w:eastAsia="Arial" w:hAnsi="Arial"/>
                <w:sz w:val="18"/>
                <w:szCs w:val="18"/>
                <w:b w:val="1"/>
                <w:bCs w:val="1"/>
                <w:color w:val="auto"/>
              </w:rPr>
              <w:t>BORROWER</w:t>
            </w:r>
          </w:p>
        </w:tc>
        <w:tc>
          <w:tcPr>
            <w:tcW w:w="40" w:type="dxa"/>
            <w:vAlign w:val="bottom"/>
          </w:tcPr>
          <w:p>
            <w:pPr>
              <w:spacing w:after="0"/>
              <w:rPr>
                <w:sz w:val="20"/>
                <w:szCs w:val="20"/>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5800" w:type="dxa"/>
            <w:vAlign w:val="bottom"/>
            <w:gridSpan w:val="2"/>
          </w:tcPr>
          <w:p>
            <w:pPr>
              <w:ind w:left="460"/>
              <w:spacing w:after="0"/>
              <w:rPr>
                <w:sz w:val="20"/>
                <w:szCs w:val="20"/>
                <w:color w:val="auto"/>
              </w:rPr>
            </w:pPr>
            <w:r>
              <w:rPr>
                <w:rFonts w:ascii="Arial" w:cs="Arial" w:eastAsia="Arial" w:hAnsi="Arial"/>
                <w:sz w:val="18"/>
                <w:szCs w:val="18"/>
                <w:color w:val="auto"/>
              </w:rPr>
              <w:t>VERACYTE, INC.</w:t>
            </w:r>
          </w:p>
        </w:tc>
        <w:tc>
          <w:tcPr>
            <w:tcW w:w="40" w:type="dxa"/>
            <w:vAlign w:val="bottom"/>
          </w:tcPr>
          <w:p>
            <w:pPr>
              <w:spacing w:after="0"/>
              <w:rPr>
                <w:sz w:val="24"/>
                <w:szCs w:val="24"/>
                <w:color w:val="auto"/>
              </w:rPr>
            </w:pPr>
          </w:p>
        </w:tc>
      </w:tr>
      <w:tr>
        <w:trPr>
          <w:trHeight w:val="648"/>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Milo Bissin</w:t>
            </w:r>
          </w:p>
        </w:tc>
        <w:tc>
          <w:tcPr>
            <w:tcW w:w="1220" w:type="dxa"/>
            <w:vAlign w:val="bottom"/>
          </w:tcPr>
          <w:p>
            <w:pPr>
              <w:ind w:left="460"/>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c>
          <w:tcPr>
            <w:tcW w:w="40" w:type="dxa"/>
            <w:vAlign w:val="bottom"/>
          </w:tcPr>
          <w:p>
            <w:pPr>
              <w:spacing w:after="0"/>
              <w:rPr>
                <w:sz w:val="24"/>
                <w:szCs w:val="24"/>
                <w:color w:val="auto"/>
              </w:rPr>
            </w:pPr>
          </w:p>
        </w:tc>
      </w:tr>
      <w:tr>
        <w:trPr>
          <w:trHeight w:val="426"/>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Milo Bissin</w:t>
            </w:r>
          </w:p>
        </w:tc>
        <w:tc>
          <w:tcPr>
            <w:tcW w:w="1220" w:type="dxa"/>
            <w:vAlign w:val="bottom"/>
          </w:tcPr>
          <w:p>
            <w:pPr>
              <w:ind w:left="460"/>
              <w:spacing w:after="0"/>
              <w:rPr>
                <w:sz w:val="20"/>
                <w:szCs w:val="20"/>
                <w:color w:val="auto"/>
              </w:rPr>
            </w:pPr>
            <w:r>
              <w:rPr>
                <w:rFonts w:ascii="Arial" w:cs="Arial" w:eastAsia="Arial" w:hAnsi="Arial"/>
                <w:sz w:val="18"/>
                <w:szCs w:val="18"/>
                <w:color w:val="auto"/>
              </w:rPr>
              <w:t>Name:</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24"/>
                <w:szCs w:val="24"/>
                <w:color w:val="auto"/>
              </w:rPr>
            </w:pPr>
          </w:p>
        </w:tc>
      </w:tr>
      <w:tr>
        <w:trPr>
          <w:trHeight w:val="426"/>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1220" w:type="dxa"/>
            <w:vAlign w:val="bottom"/>
          </w:tcPr>
          <w:p>
            <w:pPr>
              <w:ind w:left="460"/>
              <w:spacing w:after="0"/>
              <w:rPr>
                <w:sz w:val="20"/>
                <w:szCs w:val="20"/>
                <w:color w:val="auto"/>
              </w:rPr>
            </w:pPr>
            <w:r>
              <w:rPr>
                <w:rFonts w:ascii="Arial" w:cs="Arial" w:eastAsia="Arial" w:hAnsi="Arial"/>
                <w:sz w:val="18"/>
                <w:szCs w:val="18"/>
                <w:color w:val="auto"/>
              </w:rPr>
              <w:t>Title:</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4"/>
                <w:szCs w:val="24"/>
                <w:color w:val="auto"/>
              </w:rPr>
            </w:pPr>
          </w:p>
        </w:tc>
      </w:tr>
      <w:tr>
        <w:trPr>
          <w:trHeight w:val="341"/>
        </w:trPr>
        <w:tc>
          <w:tcPr>
            <w:tcW w:w="800" w:type="dxa"/>
            <w:vAlign w:val="bottom"/>
            <w:tcBorders>
              <w:bottom w:val="single" w:sz="8" w:color="808080"/>
            </w:tcBorders>
          </w:tcPr>
          <w:p>
            <w:pPr>
              <w:spacing w:after="0"/>
              <w:rPr>
                <w:sz w:val="24"/>
                <w:szCs w:val="24"/>
                <w:color w:val="auto"/>
              </w:rPr>
            </w:pPr>
          </w:p>
        </w:tc>
        <w:tc>
          <w:tcPr>
            <w:tcW w:w="48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1."/>
      <w:numFmt w:val="upperLetter"/>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Roman"/>
      <w:start w:val="2"/>
    </w:lvl>
  </w:abstractNum>
  <w:abstractNum w:abstractNumId="4">
    <w:nsid w:val="2EB141F2"/>
    <w:multiLevelType w:val="hybridMultilevel"/>
    <w:lvl w:ilvl="0">
      <w:lvlJc w:val="left"/>
      <w:lvlText w:val="%1"/>
      <w:numFmt w:val="decimal"/>
      <w:start w:val="1"/>
    </w:lvl>
    <w:lvl w:ilvl="1">
      <w:lvlJc w:val="left"/>
      <w:lvlText w:val="(%2)"/>
      <w:numFmt w:val="lowerLetter"/>
      <w:start w:val="7"/>
    </w:lvl>
  </w:abstractNum>
  <w:abstractNum w:abstractNumId="5">
    <w:nsid w:val="41B71EFB"/>
    <w:multiLevelType w:val="hybridMultilevel"/>
    <w:lvl w:ilvl="0">
      <w:lvlJc w:val="left"/>
      <w:lvlText w:val="%1."/>
      <w:numFmt w:val="decimal"/>
      <w:start w:val="4"/>
    </w:lvl>
    <w:lvl w:ilvl="1">
      <w:lvlJc w:val="left"/>
      <w:lvlText w:val="%2"/>
      <w:numFmt w:val="lowerLetter"/>
      <w:start w:val="1"/>
    </w:lvl>
  </w:abstractNum>
  <w:abstractNum w:abstractNumId="6">
    <w:nsid w:val="79E2A9E3"/>
    <w:multiLevelType w:val="hybridMultilevel"/>
    <w:lvl w:ilvl="0">
      <w:lvlJc w:val="left"/>
      <w:lvlText w:val="%1."/>
      <w:numFmt w:val="decimal"/>
      <w:start w:val="5"/>
    </w:lvl>
  </w:abstractNum>
  <w:abstractNum w:abstractNumId="7">
    <w:nsid w:val="7545E146"/>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2019-12-08T17:46:58Z</dcterms:created>
  <dcterms:modified xsi:type="dcterms:W3CDTF">2019-12-08T17:46:58Z</dcterms:modified>
</cp:coreProperties>
</file>