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2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80"/>
          </w:cols>
          <w:pgMar w:left="240" w:top="233" w:right="379" w:bottom="68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320"/>
          </w:cols>
          <w:pgMar w:left="240" w:top="233" w:right="379" w:bottom="680" w:gutter="0" w:footer="0" w:header="0"/>
          <w:type w:val="continuous"/>
        </w:sectPr>
      </w:pP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7000 Shoreline Court, Suite 250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80"/>
          </w:cols>
          <w:pgMar w:left="240" w:top="233" w:right="379" w:bottom="680" w:gutter="0" w:footer="0" w:header="0"/>
          <w:type w:val="continuous"/>
        </w:sectPr>
      </w:pP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80" w:firstLine="25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20" w:firstLine="2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259"/>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233" w:right="379" w:bottom="680" w:gutter="0" w:footer="0" w:header="0"/>
          <w:type w:val="continuous"/>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(Do not check if a</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46" w:lineRule="exact"/>
        <w:rPr>
          <w:sz w:val="24"/>
          <w:szCs w:val="24"/>
          <w:color w:val="auto"/>
        </w:rPr>
      </w:pPr>
    </w:p>
    <w:p>
      <w:pPr>
        <w:sectPr>
          <w:pgSz w:w="11900" w:h="16838" w:orient="portrait"/>
          <w:cols w:equalWidth="0" w:num="4">
            <w:col w:w="2220" w:space="720"/>
            <w:col w:w="2180" w:space="720"/>
            <w:col w:w="2180" w:space="720"/>
            <w:col w:w="2540"/>
          </w:cols>
          <w:pgMar w:left="240" w:top="233" w:right="379" w:bottom="680" w:gutter="0" w:footer="0" w:header="0"/>
          <w:type w:val="continuous"/>
        </w:sectPr>
      </w:pPr>
    </w:p>
    <w:p>
      <w:pPr>
        <w:spacing w:after="0" w:line="34"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260"/>
        <w:spacing w:after="0"/>
        <w:rPr>
          <w:sz w:val="20"/>
          <w:szCs w:val="20"/>
          <w:color w:val="auto"/>
        </w:rPr>
      </w:pPr>
      <w:r>
        <w:rPr>
          <w:rFonts w:ascii="Arial" w:cs="Arial" w:eastAsia="Arial" w:hAnsi="Arial"/>
          <w:sz w:val="18"/>
          <w:szCs w:val="18"/>
          <w:color w:val="auto"/>
        </w:rPr>
        <w:t>As of August 1, 2014, there were 21,487,855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233" w:right="379" w:bottom="68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300" w:type="dxa"/>
            <w:vAlign w:val="bottom"/>
            <w:gridSpan w:val="11"/>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7120" w:type="dxa"/>
            <w:vAlign w:val="bottom"/>
            <w:gridSpan w:val="8"/>
            <w:vMerge w:val="restart"/>
          </w:tcPr>
          <w:p>
            <w:pPr>
              <w:spacing w:after="0"/>
              <w:rPr>
                <w:sz w:val="14"/>
                <w:szCs w:val="14"/>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0000EE"/>
            </w:tcBorders>
            <w:gridSpan w:val="11"/>
            <w:vMerge w:val="continue"/>
          </w:tcPr>
          <w:p>
            <w:pPr>
              <w:spacing w:after="0"/>
              <w:rPr>
                <w:sz w:val="13"/>
                <w:szCs w:val="13"/>
                <w:color w:val="auto"/>
              </w:rPr>
            </w:pPr>
          </w:p>
        </w:tc>
        <w:tc>
          <w:tcPr>
            <w:tcW w:w="7120" w:type="dxa"/>
            <w:vAlign w:val="bottom"/>
            <w:gridSpan w:val="8"/>
            <w:vMerge w:val="continue"/>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40" w:type="dxa"/>
            <w:vAlign w:val="bottom"/>
            <w:gridSpan w:val="18"/>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 Condensed Unaudited Financial Statements</w:t>
              </w:r>
            </w:hyperlink>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Balance Sheets as of June 30, 2014 and December 31, 2013 (Unaudited)</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Condensed Statements of Operations and Comprehensive Loss for the Three and Six Month Periods Ended June 30, 2014 and 2013</w:t>
              </w:r>
            </w:hyperlink>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(Unaudited)</w:t>
              </w:r>
            </w:hyperlink>
          </w:p>
        </w:tc>
        <w:tc>
          <w:tcPr>
            <w:tcW w:w="8420" w:type="dxa"/>
            <w:vAlign w:val="bottom"/>
            <w:tcBorders>
              <w:top w:val="single" w:sz="8" w:color="0000EE"/>
            </w:tcBorders>
            <w:gridSpan w:val="11"/>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Statements of Cash Flows for the Six Month Periods Ended June 30, 2014 and 2013 (Unaudited)</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Notes to the Condensed Financial Statements (Unaudited)</w:t>
              </w:r>
            </w:hyperlink>
          </w:p>
        </w:tc>
        <w:tc>
          <w:tcPr>
            <w:tcW w:w="2240" w:type="dxa"/>
            <w:vAlign w:val="bottom"/>
            <w:gridSpan w:val="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40" w:type="dxa"/>
            <w:vAlign w:val="bottom"/>
            <w:gridSpan w:val="3"/>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Item 2.</w:t>
              </w:r>
            </w:hyperlink>
          </w:p>
        </w:tc>
        <w:tc>
          <w:tcPr>
            <w:tcW w:w="9700" w:type="dxa"/>
            <w:vAlign w:val="bottom"/>
            <w:gridSpan w:val="15"/>
          </w:tcPr>
          <w:p>
            <w:pPr>
              <w:ind w:left="20"/>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40" w:type="dxa"/>
            <w:vAlign w:val="bottom"/>
            <w:tcBorders>
              <w:top w:val="single" w:sz="8" w:color="0000EE"/>
            </w:tcBorders>
            <w:gridSpan w:val="3"/>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Item 3.</w:t>
              </w:r>
            </w:hyperlink>
          </w:p>
        </w:tc>
        <w:tc>
          <w:tcPr>
            <w:tcW w:w="648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3220" w:type="dxa"/>
            <w:vAlign w:val="bottom"/>
            <w:gridSpan w:val="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17"/>
                <w:szCs w:val="17"/>
                <w:color w:val="auto"/>
              </w:rPr>
            </w:pPr>
          </w:p>
        </w:tc>
        <w:tc>
          <w:tcPr>
            <w:tcW w:w="5320" w:type="dxa"/>
            <w:vAlign w:val="bottom"/>
            <w:gridSpan w:val="5"/>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 OTHER INFORMATION</w:t>
              </w:r>
            </w:hyperlink>
          </w:p>
        </w:tc>
        <w:tc>
          <w:tcPr>
            <w:tcW w:w="7420" w:type="dxa"/>
            <w:vAlign w:val="bottom"/>
            <w:gridSpan w:val="9"/>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Item 1A. Risk Factors</w:t>
              </w:r>
            </w:hyperlink>
          </w:p>
        </w:tc>
        <w:tc>
          <w:tcPr>
            <w:tcW w:w="8640" w:type="dxa"/>
            <w:vAlign w:val="bottom"/>
            <w:gridSpan w:val="11"/>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40" w:type="dxa"/>
            <w:vAlign w:val="bottom"/>
            <w:gridSpan w:val="3"/>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6.</w:t>
              </w:r>
            </w:hyperlink>
          </w:p>
        </w:tc>
        <w:tc>
          <w:tcPr>
            <w:tcW w:w="9700" w:type="dxa"/>
            <w:vAlign w:val="bottom"/>
            <w:gridSpan w:val="15"/>
          </w:tcPr>
          <w:p>
            <w:pPr>
              <w:ind w:left="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8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2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8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EXHBIT INDEX</w:t>
              </w:r>
            </w:hyperlink>
          </w:p>
        </w:tc>
        <w:tc>
          <w:tcPr>
            <w:tcW w:w="9080" w:type="dxa"/>
            <w:vAlign w:val="bottom"/>
            <w:gridSpan w:val="1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tcPr>
          <w:p>
            <w:pPr>
              <w:jc w:val="center"/>
              <w:ind w:right="73"/>
              <w:spacing w:after="0" w:line="119" w:lineRule="exact"/>
              <w:rPr>
                <w:sz w:val="20"/>
                <w:szCs w:val="20"/>
                <w:color w:val="auto"/>
              </w:rPr>
            </w:pPr>
            <w:r>
              <w:rPr>
                <w:rFonts w:ascii="Arial" w:cs="Arial" w:eastAsia="Arial" w:hAnsi="Arial"/>
                <w:sz w:val="13"/>
                <w:szCs w:val="13"/>
                <w:b w:val="1"/>
                <w:bCs w:val="1"/>
                <w:color w:val="auto"/>
              </w:rPr>
              <w:t>(Derived from audited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financial statements)</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20" w:type="dxa"/>
            <w:vAlign w:val="bottom"/>
          </w:tcPr>
          <w:p>
            <w:pPr>
              <w:ind w:left="180"/>
              <w:spacing w:after="0" w:line="201" w:lineRule="exact"/>
              <w:rPr>
                <w:sz w:val="20"/>
                <w:szCs w:val="20"/>
                <w:color w:val="auto"/>
              </w:rPr>
            </w:pPr>
            <w:r>
              <w:rPr>
                <w:rFonts w:ascii="Arial" w:cs="Arial" w:eastAsia="Arial" w:hAnsi="Arial"/>
                <w:sz w:val="18"/>
                <w:szCs w:val="18"/>
                <w:color w:val="auto"/>
                <w:w w:val="94"/>
              </w:rPr>
              <w:t>Accounts receivable, net of allowance of $112 and $107 as of June 30, 2014 and December 31,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1,477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3,312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8,539</w:t>
            </w: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5,294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Deferred Genzyme co-promotion fee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4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Preferred stock, $0.001 par value; 5,000,000 shares authorized, 0 shares issued and outstanding as</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June 30, 2014 and December 31, 2013, respectively</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20" w:type="dxa"/>
            <w:vAlign w:val="bottom"/>
          </w:tcPr>
          <w:p>
            <w:pPr>
              <w:ind w:left="180"/>
              <w:spacing w:after="0" w:line="201" w:lineRule="exact"/>
              <w:rPr>
                <w:sz w:val="20"/>
                <w:szCs w:val="20"/>
                <w:color w:val="auto"/>
              </w:rPr>
            </w:pPr>
            <w:r>
              <w:rPr>
                <w:rFonts w:ascii="Arial" w:cs="Arial" w:eastAsia="Arial" w:hAnsi="Arial"/>
                <w:sz w:val="18"/>
                <w:szCs w:val="18"/>
                <w:color w:val="auto"/>
                <w:w w:val="95"/>
              </w:rPr>
              <w:t>Common stock, $0.001 par value; 125,000,000 shares authorized, 21,446,855 and 21,143,313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Arial" w:cs="Arial" w:eastAsia="Arial" w:hAnsi="Arial"/>
                <w:sz w:val="18"/>
                <w:szCs w:val="18"/>
                <w:color w:val="auto"/>
                <w:w w:val="99"/>
              </w:rPr>
              <w:t>shares issued and outstanding as of June 30, 2014 and December 31, 2013, respectively</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(98,978)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(85,649)</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 w:name="page3"/>
    <w:bookmarkEnd w:id="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33"/>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33"/>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16,153</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4,369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7,910</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(6,561)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(13,136)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(7.53)</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(0.63)</w:t>
            </w:r>
          </w:p>
        </w:tc>
        <w:tc>
          <w:tcPr>
            <w:tcW w:w="2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7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3"/>
              </w:rPr>
              <w:t>Shares used to compute net loss per common share, basic and</w:t>
            </w: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21,237,196</w:t>
            </w:r>
          </w:p>
        </w:tc>
        <w:tc>
          <w:tcPr>
            <w:tcW w:w="2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861,839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21,193,014</w:t>
            </w:r>
          </w:p>
        </w:tc>
        <w:tc>
          <w:tcPr>
            <w:tcW w:w="26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812,703</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0"/>
                <w:szCs w:val="10"/>
                <w:color w:val="auto"/>
              </w:rPr>
            </w:pPr>
          </w:p>
        </w:tc>
        <w:tc>
          <w:tcPr>
            <w:tcW w:w="940" w:type="dxa"/>
            <w:vAlign w:val="bottom"/>
          </w:tcPr>
          <w:p>
            <w:pPr>
              <w:jc w:val="right"/>
              <w:ind w:right="332"/>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0"/>
                <w:szCs w:val="10"/>
                <w:color w:val="auto"/>
              </w:rPr>
            </w:pPr>
          </w:p>
        </w:tc>
      </w:tr>
      <w:tr>
        <w:trPr>
          <w:trHeight w:val="171"/>
        </w:trPr>
        <w:tc>
          <w:tcPr>
            <w:tcW w:w="74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(13,329)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(13,385)</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541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Genzyme co-promotion fee amortization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(1,250)</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Amortization of debt discount and issuance costs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debt balloon payment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Change in value of preferred stock liability</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2,070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(326)</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Prepaid expenses and current other assets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(646)</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3,377</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 and deferred rent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w:t>
            </w:r>
          </w:p>
        </w:tc>
      </w:tr>
      <w:tr>
        <w:trPr>
          <w:trHeight w:val="210"/>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(12,664)</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(10,623)</w:t>
            </w:r>
          </w:p>
        </w:tc>
        <w:tc>
          <w:tcPr>
            <w:tcW w:w="100" w:type="dxa"/>
            <w:vAlign w:val="bottom"/>
            <w:tcBorders>
              <w:bottom w:val="single" w:sz="8" w:color="CCEEFF"/>
            </w:tcBorders>
          </w:tcPr>
          <w:p>
            <w:pPr>
              <w:spacing w:after="0"/>
              <w:rPr>
                <w:sz w:val="18"/>
                <w:szCs w:val="18"/>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(904)</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(941)</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restricted cash</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0"/>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tcPr>
          <w:p>
            <w:pPr>
              <w:spacing w:after="0"/>
              <w:rPr>
                <w:sz w:val="18"/>
                <w:szCs w:val="18"/>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 net of debt issuance costs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4,877</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12,998</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Commissions and issuance costs relating to the initial public offering</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common stock options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10"/>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18,195</w:t>
            </w:r>
          </w:p>
        </w:tc>
        <w:tc>
          <w:tcPr>
            <w:tcW w:w="100" w:type="dxa"/>
            <w:vAlign w:val="bottom"/>
            <w:tcBorders>
              <w:bottom w:val="single" w:sz="8" w:color="CCEEFF"/>
            </w:tcBorders>
          </w:tcPr>
          <w:p>
            <w:pPr>
              <w:spacing w:after="0"/>
              <w:rPr>
                <w:sz w:val="18"/>
                <w:szCs w:val="18"/>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71,220</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14,002</w:t>
            </w:r>
          </w:p>
        </w:tc>
        <w:tc>
          <w:tcPr>
            <w:tcW w:w="100" w:type="dxa"/>
            <w:vAlign w:val="bottom"/>
            <w:tcBorders>
              <w:bottom w:val="single" w:sz="8" w:color="CCEEFF"/>
            </w:tcBorders>
          </w:tcPr>
          <w:p>
            <w:pPr>
              <w:spacing w:after="0"/>
              <w:rPr>
                <w:sz w:val="18"/>
                <w:szCs w:val="18"/>
                <w:color w:val="auto"/>
              </w:rPr>
            </w:pPr>
          </w:p>
        </w:tc>
      </w:tr>
    </w:tbl>
    <w:p>
      <w:pPr>
        <w:sectPr>
          <w:pgSz w:w="11900" w:h="16900" w:orient="portrait"/>
          <w:cols w:equalWidth="0" w:num="1">
            <w:col w:w="11420"/>
          </w:cols>
          <w:pgMar w:left="240" w:top="368" w:right="239" w:bottom="0" w:gutter="0" w:footer="0" w:header="0"/>
        </w:sectPr>
      </w:pPr>
    </w:p>
    <w:bookmarkStart w:id="3" w:name="page4"/>
    <w:bookmarkEnd w:id="3"/>
    <w:p>
      <w:pPr>
        <w:spacing w:after="0" w:line="10" w:lineRule="exact"/>
        <w:rPr>
          <w:sz w:val="20"/>
          <w:szCs w:val="20"/>
          <w:color w:val="auto"/>
        </w:rPr>
      </w:pPr>
    </w:p>
    <w:p>
      <w:pPr>
        <w:spacing w:after="0"/>
        <w:tabs>
          <w:tab w:leader="none" w:pos="8280" w:val="left"/>
          <w:tab w:leader="none" w:pos="9160" w:val="left"/>
          <w:tab w:leader="none" w:pos="9940" w:val="left"/>
          <w:tab w:leader="none" w:pos="10800" w:val="left"/>
        </w:tabs>
        <w:rPr>
          <w:sz w:val="20"/>
          <w:szCs w:val="20"/>
          <w:color w:val="auto"/>
        </w:rPr>
      </w:pPr>
      <w:r>
        <w:rPr>
          <w:rFonts w:ascii="Arial" w:cs="Arial" w:eastAsia="Arial" w:hAnsi="Arial"/>
          <w:sz w:val="18"/>
          <w:szCs w:val="18"/>
          <w:b w:val="1"/>
          <w:bCs w:val="1"/>
          <w:color w:val="auto"/>
        </w:rPr>
        <w:t>Cash and cash equivalents at end of period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57,998</w:t>
        <w:tab/>
        <w:t>$</w:t>
      </w:r>
      <w:r>
        <w:rPr>
          <w:sz w:val="20"/>
          <w:szCs w:val="20"/>
          <w:color w:val="auto"/>
        </w:rPr>
        <w:tab/>
      </w:r>
      <w:r>
        <w:rPr>
          <w:rFonts w:ascii="Arial" w:cs="Arial" w:eastAsia="Arial" w:hAnsi="Arial"/>
          <w:sz w:val="16"/>
          <w:szCs w:val="16"/>
          <w:color w:val="auto"/>
        </w:rPr>
        <w:t>20,683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229" w:lineRule="exact"/>
        <w:rPr>
          <w:sz w:val="20"/>
          <w:szCs w:val="20"/>
          <w:color w:val="auto"/>
        </w:rPr>
      </w:pPr>
    </w:p>
    <w:p>
      <w:pPr>
        <w:ind w:firstLine="648"/>
        <w:spacing w:after="0" w:line="261" w:lineRule="auto"/>
        <w:rPr>
          <w:sz w:val="20"/>
          <w:szCs w:val="20"/>
          <w:color w:val="auto"/>
        </w:rPr>
      </w:pPr>
      <w:r>
        <w:rPr>
          <w:rFonts w:ascii="Arial" w:cs="Arial" w:eastAsia="Arial" w:hAnsi="Arial"/>
          <w:sz w:val="17"/>
          <w:szCs w:val="17"/>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 in the United States.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interim period condensed financial statements have been prepared in accordance with accounting principles generally accepted in the United States (“GAAP”) and applicable rules and regulations of the SEC regarding interim financial reporting. Certain information and note disclosures normally included in the financial statements prepared in accordance with GAAP have been condensed or omitted pursuant to such rules and regulations. The condensed balance sheet as of June 30, 2014, and the condensed statements of operations and comprehensive loss and cash flows for the three and six months ended June 30, 2014 and 2013,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2013 has been derived from audited financial statements. The results for the three and six months ended June 30, 2014 are not necessarily indicative of the results expected for the full fiscal year or any other period.</w:t>
      </w:r>
    </w:p>
    <w:p>
      <w:pPr>
        <w:spacing w:after="0" w:line="17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preparation of the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allowance for doubtful accounts; the useful lives of property and equipment; the recoverability of long-lived assets; the determination of fair value of the Company’s common stock prior to the Company’s initial public offering (“IPO”),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 and Canada.</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Through June 30, 2014, all of the Company’s revenues are derived from the sale of Afirma. The Company’s solution to date has been delivered primarily to physicians in the United States. The Company’s significant third-party payers and their related revenue as a percentage of total revenue are as follows:</w:t>
      </w:r>
    </w:p>
    <w:p>
      <w:pPr>
        <w:sectPr>
          <w:pgSz w:w="11900" w:h="16849" w:orient="portrait"/>
          <w:cols w:equalWidth="0" w:num="1">
            <w:col w:w="11420"/>
          </w:cols>
          <w:pgMar w:left="240" w:top="121" w:right="239" w:bottom="0" w:gutter="0" w:footer="0" w:header="0"/>
        </w:sectPr>
      </w:pPr>
    </w:p>
    <w:p>
      <w:pPr>
        <w:spacing w:after="0" w:line="173" w:lineRule="exact"/>
        <w:rPr>
          <w:sz w:val="20"/>
          <w:szCs w:val="20"/>
          <w:color w:val="auto"/>
        </w:rPr>
      </w:pPr>
    </w:p>
    <w:p>
      <w:pPr>
        <w:ind w:left="7480"/>
        <w:spacing w:after="0"/>
        <w:rPr>
          <w:sz w:val="20"/>
          <w:szCs w:val="20"/>
          <w:color w:val="auto"/>
        </w:rPr>
      </w:pPr>
      <w:r>
        <w:rPr>
          <w:rFonts w:ascii="Arial" w:cs="Arial" w:eastAsia="Arial" w:hAnsi="Arial"/>
          <w:sz w:val="13"/>
          <w:szCs w:val="13"/>
          <w:b w:val="1"/>
          <w:bCs w:val="1"/>
          <w:color w:val="auto"/>
        </w:rPr>
        <w:t>Six Months Ended</w:t>
      </w:r>
    </w:p>
    <w:p>
      <w:pPr>
        <w:sectPr>
          <w:pgSz w:w="11900" w:h="16849" w:orient="portrait"/>
          <w:cols w:equalWidth="0" w:num="1">
            <w:col w:w="11420"/>
          </w:cols>
          <w:pgMar w:left="240" w:top="121" w:right="239" w:bottom="0" w:gutter="0" w:footer="0" w:header="0"/>
          <w:type w:val="continuous"/>
        </w:sectPr>
      </w:pPr>
    </w:p>
    <w:bookmarkStart w:id="4" w:name="page5"/>
    <w:bookmarkEnd w:id="4"/>
    <w:tbl>
      <w:tblPr>
        <w:tblLayout w:type="fixed"/>
        <w:tblInd w:w="98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98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56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Aetna</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United Healthcare</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5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Accounts receivable from Medicare amounted to 81% and 78% of accounts receivable as of June 30, 2014 and December 31, 2013. No other third-party payer represented more than 10% of the Company’s accounts receivable balances for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Cash equivalents consist of short-term, highly liquid investments with original maturities of three months or less from the date of purchase. Cash equivalents consist primarily of amounts invested in 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Deposits of $118,000 as of June 30, 2014 and December 31, 2013, were restricted from withdrawal and held by a bank in the form of collateral for letters of credit. The balance for each respective period consists of a letter of credit totaling $118,000 held as security for the lease of the Company’s office space in South San Francisco, California.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estimates an allowance for doubtful accounts against its individual accounts receivable based on estimates of expected reimbursement consistent with historical payment experience in relation to the amounts billed. Bad debt expense is included in general and administrative expense on the Company’s statements of operations and comprehensive loss. Accounts receivable are written off against the allowance when there is other substantive evidence that the account will not be paid. If the financial condition of our customers deteriorates, resulting in an impairment of their ability to make payment, additional allowances may be required.</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balance of allowance for doubtful accounts as of June 30, 2014 and December 31, 2013, including charges to bad debt expense and write-offs, net of recoveries,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260" w:type="dxa"/>
            <w:vAlign w:val="bottom"/>
          </w:tcPr>
          <w:p>
            <w:pPr>
              <w:spacing w:after="0"/>
              <w:rPr>
                <w:sz w:val="14"/>
                <w:szCs w:val="14"/>
                <w:color w:val="auto"/>
              </w:rPr>
            </w:pPr>
          </w:p>
        </w:tc>
        <w:tc>
          <w:tcPr>
            <w:tcW w:w="404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4"/>
          </w:tcPr>
          <w:p>
            <w:pPr>
              <w:jc w:val="right"/>
              <w:ind w:right="976"/>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gridSpan w:val="2"/>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40" w:type="dxa"/>
            <w:vAlign w:val="bottom"/>
            <w:gridSpan w:val="2"/>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Charged to expense</w:t>
            </w:r>
          </w:p>
        </w:tc>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 net of recoveries</w:t>
            </w:r>
          </w:p>
        </w:tc>
        <w:tc>
          <w:tcPr>
            <w:tcW w:w="3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Ending balance</w:t>
            </w:r>
          </w:p>
        </w:tc>
        <w:tc>
          <w:tcPr>
            <w:tcW w:w="30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Inventory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Company capitalizes costs incurred in the application development stage to design and implement the software used in the tracking and reporting of laboratory activity. Costs incurred in the development of application software are capitalized and amortized over an estimated useful life of three years on a straight line basis. The total cost, accumulated depreciation and net book value was $607,000, $259,000 and $348,000, respectively, as of June 30, 2014, and was $482,000, $195,000 and $287,000, respectively, as of December 31, 2013, and are included in property and equipment in the Company’s condensed balance sheets. During the six months ended June 30, 2014 and 2013, the Company capitalized $125,000 and $166,000, respectively, of software development costs. Amortization expense totaled $32,000 and $64,000 in the three and six months ended June 30, 2014, respectively, and $22,000 and $38,000, in the three and six months ended June 30, 2013,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annually reviews long-lived assets for impairment or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six months ended June 30, 2014 and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Accruals</w:t>
      </w:r>
    </w:p>
    <w:p>
      <w:pPr>
        <w:sectPr>
          <w:pgSz w:w="11900" w:h="16838" w:orient="portrait"/>
          <w:cols w:equalWidth="0" w:num="1">
            <w:col w:w="11420"/>
          </w:cols>
          <w:pgMar w:left="240" w:top="118" w:right="239" w:bottom="0" w:gutter="0" w:footer="0" w:header="0"/>
        </w:sectPr>
      </w:pPr>
    </w:p>
    <w:bookmarkStart w:id="5" w:name="page6"/>
    <w:bookmarkEnd w:id="5"/>
    <w:p>
      <w:pPr>
        <w:ind w:right="40" w:firstLine="648"/>
        <w:spacing w:after="0" w:line="255" w:lineRule="auto"/>
        <w:rPr>
          <w:sz w:val="20"/>
          <w:szCs w:val="20"/>
          <w:color w:val="auto"/>
        </w:rPr>
      </w:pPr>
      <w:r>
        <w:rPr>
          <w:rFonts w:ascii="Arial" w:cs="Arial" w:eastAsia="Arial" w:hAnsi="Arial"/>
          <w:sz w:val="18"/>
          <w:szCs w:val="18"/>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As of June 30, 2014 and December 31, 2013, the Company accrued $400,000 and $1.1 million, respectively, for liabilities associated with these employee and executive bonus plans which are included in accrued liabilities in the Company’s condensed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Company’s revenue is generated from the provision of diagnostic services using the Afirma solution. The Company’s service is completed upon the delivery of test results to the prescribing physician which triggers the billing for the service. The Company recognizes revenue related to billings for Medicare and commercial carriers on an accrual basis, net of contractual adjustments, when there is an agreement or a predictable pattern of collectability. Until a contract or agreement has been negotiated with a commercial carrier or governmental program, the Afirma solution may or may not be covered by these entities’ existing reimbursement policies. In addition, patients do not enter into direct agreements with the Company that commit them to pay any portion of the cost of the tests in the event that their insurance declines to reimburse the Company.</w:t>
      </w:r>
    </w:p>
    <w:p>
      <w:pPr>
        <w:spacing w:after="0" w:line="178"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a contracted reimbursement rate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w:t>
      </w:r>
    </w:p>
    <w:p>
      <w:pPr>
        <w:spacing w:after="0" w:line="167"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In the absence of a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Cost of revenue is expensed as incurred and includes material and service costs, cytopathology testing services performed by a third-party pathology group, stock-based compensation expense, direct labor costs, equipment and infrastructure expenses associated with testing tissue samples, shipping charges to transport samples, and allocated overhead including rent, information technology, equipment depreciation and utilities.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costs are charged to operations as incurred. Research and development costs include, but are not limited to, payroll and personnel-related expenses,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60" w:firstLine="648"/>
        <w:spacing w:after="0" w:line="340" w:lineRule="auto"/>
        <w:rPr>
          <w:sz w:val="20"/>
          <w:szCs w:val="20"/>
          <w:color w:val="auto"/>
        </w:rPr>
      </w:pPr>
      <w:r>
        <w:rPr>
          <w:rFonts w:ascii="Arial" w:cs="Arial" w:eastAsia="Arial" w:hAnsi="Arial"/>
          <w:sz w:val="15"/>
          <w:szCs w:val="15"/>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3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Stock-based compensation expense for equity instruments issued to employees is measured based on the grant-date fair value of the awards. The fair value of each employee stock option is estimated on the date of grant using the Black-Scholes option-pricing model. The Company recognizes compensation costs on a straight-line basis for all employee stock 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ectPr>
          <w:pgSz w:w="11900" w:h="16838" w:orient="portrait"/>
          <w:cols w:equalWidth="0" w:num="1">
            <w:col w:w="11420"/>
          </w:cols>
          <w:pgMar w:left="240" w:top="125" w:right="239" w:bottom="0" w:gutter="0" w:footer="0" w:header="0"/>
        </w:sectPr>
      </w:pPr>
    </w:p>
    <w:bookmarkStart w:id="6" w:name="page7"/>
    <w:bookmarkEnd w:id="6"/>
    <w:p>
      <w:pPr>
        <w:ind w:right="560" w:firstLine="648"/>
        <w:spacing w:after="0" w:line="277" w:lineRule="auto"/>
        <w:rPr>
          <w:sz w:val="20"/>
          <w:szCs w:val="20"/>
          <w:color w:val="auto"/>
        </w:rPr>
      </w:pPr>
      <w:r>
        <w:rPr>
          <w:rFonts w:ascii="Arial" w:cs="Arial" w:eastAsia="Arial" w:hAnsi="Arial"/>
          <w:sz w:val="18"/>
          <w:szCs w:val="18"/>
          <w:color w:val="auto"/>
        </w:rPr>
        <w:t>Equity instruments issued to non-employees are valued using the Black-Scholes option-pricing model and are subject to remeasurement as the underlying equity instruments vest.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On May 28,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requiring an entity to recognize the amount of revenue to which it expects to be entitled for the transfer of promised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The updated standard will replace most existing revenue recognition guidance in GAAP when it becomes effective and permits the use of either the retrospective or cumulative effect transition method. Early adoption is not permitted. The updated standard becomes effective for the Company in the first quarter of fiscal 2017. The Company has not yet selected a transition method and is currently evaluating the potential effect of the updated standard on its financial statements.</w:t>
      </w:r>
    </w:p>
    <w:p>
      <w:pPr>
        <w:spacing w:after="0" w:line="193"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 xml:space="preserve">In July 2013, the FASB issued ASU No. 2013-11, </w:t>
      </w:r>
      <w:r>
        <w:rPr>
          <w:rFonts w:ascii="Arial" w:cs="Arial" w:eastAsia="Arial" w:hAnsi="Arial"/>
          <w:sz w:val="17"/>
          <w:szCs w:val="17"/>
          <w:i w:val="1"/>
          <w:iCs w:val="1"/>
          <w:color w:val="auto"/>
        </w:rPr>
        <w:t>Presentation of an Unrecognized Tax Benefit when a Net Operating Loss Carryforward, a Similar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 Loss, or a Tax Credit Carryforward Exists (a consensus of the FASB Emerging Issues Task Force). </w:t>
      </w:r>
      <w:r>
        <w:rPr>
          <w:rFonts w:ascii="Arial" w:cs="Arial" w:eastAsia="Arial" w:hAnsi="Arial"/>
          <w:sz w:val="17"/>
          <w:szCs w:val="17"/>
          <w:color w:val="auto"/>
        </w:rPr>
        <w:t>The amendments in this ASU provide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and are effective for fiscal years, and interim periods within those years, beginning after December 15, 2013. The Company adopted this guidance during the first quarter of 2014 and such adoption did not have a material impact on the Company’s condensed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presents the calculation of basic and diluted net loss per common share for the three and six months ended June 30, 2014 and 2013 (in thousands, except share and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ind w:left="838"/>
              <w:spacing w:after="0"/>
              <w:rPr>
                <w:sz w:val="20"/>
                <w:szCs w:val="20"/>
                <w:color w:val="auto"/>
              </w:rPr>
            </w:pPr>
            <w:r>
              <w:rPr>
                <w:rFonts w:ascii="Arial" w:cs="Arial" w:eastAsia="Arial" w:hAnsi="Arial"/>
                <w:sz w:val="14"/>
                <w:szCs w:val="14"/>
                <w:b w:val="1"/>
                <w:bCs w:val="1"/>
                <w:color w:val="auto"/>
                <w:w w:val="92"/>
              </w:rPr>
              <w:t>June 30,</w:t>
            </w: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8"/>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00" w:type="dxa"/>
            <w:vAlign w:val="bottom"/>
            <w:gridSpan w:val="2"/>
          </w:tcPr>
          <w:p>
            <w:pPr>
              <w:spacing w:after="0" w:line="182" w:lineRule="exact"/>
              <w:rPr>
                <w:sz w:val="20"/>
                <w:szCs w:val="20"/>
                <w:color w:val="auto"/>
              </w:rPr>
            </w:pPr>
            <w:r>
              <w:rPr>
                <w:rFonts w:ascii="Arial" w:cs="Arial" w:eastAsia="Arial" w:hAnsi="Arial"/>
                <w:sz w:val="18"/>
                <w:szCs w:val="18"/>
                <w:color w:val="auto"/>
                <w:w w:val="98"/>
              </w:rPr>
              <w:t>Shares used to compute net loss per common share, basic and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21,237,196</w:t>
            </w:r>
          </w:p>
        </w:tc>
        <w:tc>
          <w:tcPr>
            <w:tcW w:w="5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861,839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21,193,014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812,703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19"/>
          </w:tcPr>
          <w:p>
            <w:pPr>
              <w:ind w:left="660"/>
              <w:spacing w:after="0"/>
              <w:rPr>
                <w:sz w:val="20"/>
                <w:szCs w:val="20"/>
                <w:color w:val="auto"/>
              </w:rPr>
            </w:pPr>
            <w:r>
              <w:rPr>
                <w:rFonts w:ascii="Arial" w:cs="Arial" w:eastAsia="Arial" w:hAnsi="Arial"/>
                <w:sz w:val="18"/>
                <w:szCs w:val="18"/>
                <w:color w:val="auto"/>
                <w:w w:val="90"/>
              </w:rPr>
              <w:t>The following outstanding shares of common stock equivalents have been excluded from diluted net loss per common share for the 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20" w:type="dxa"/>
            <w:vAlign w:val="bottom"/>
            <w:gridSpan w:val="3"/>
          </w:tcPr>
          <w:p>
            <w:pPr>
              <w:spacing w:after="0"/>
              <w:rPr>
                <w:sz w:val="20"/>
                <w:szCs w:val="20"/>
                <w:color w:val="auto"/>
              </w:rPr>
            </w:pPr>
            <w:r>
              <w:rPr>
                <w:rFonts w:ascii="Arial" w:cs="Arial" w:eastAsia="Arial" w:hAnsi="Arial"/>
                <w:sz w:val="18"/>
                <w:szCs w:val="18"/>
                <w:color w:val="auto"/>
                <w:w w:val="94"/>
              </w:rPr>
              <w:t>June 30, 2014 and 2013 because their inclusion would be anti-dilutive:</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4"/>
          </w:tcPr>
          <w:p>
            <w:pPr>
              <w:jc w:val="center"/>
              <w:ind w:right="580"/>
              <w:spacing w:after="0" w:line="119" w:lineRule="exact"/>
              <w:rPr>
                <w:sz w:val="20"/>
                <w:szCs w:val="20"/>
                <w:color w:val="auto"/>
              </w:rPr>
            </w:pPr>
            <w:r>
              <w:rPr>
                <w:rFonts w:ascii="Arial" w:cs="Arial" w:eastAsia="Arial" w:hAnsi="Arial"/>
                <w:sz w:val="13"/>
                <w:szCs w:val="13"/>
                <w:b w:val="1"/>
                <w:bCs w:val="1"/>
                <w:color w:val="auto"/>
                <w:w w:val="99"/>
              </w:rPr>
              <w:t>June 30,</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w w:val="96"/>
              </w:rPr>
              <w:t>June 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Shares of common stock issuable upon conversion of preferred stock</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14,997,312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Shares of common stock subject to outstanding options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2,983,509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2,420,302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Total shares of common stock equivalents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2,983,509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17,442,415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vMerge w:val="restart"/>
          </w:tcPr>
          <w:p>
            <w:pPr>
              <w:jc w:val="right"/>
              <w:ind w:right="518"/>
              <w:spacing w:after="0"/>
              <w:rPr>
                <w:sz w:val="20"/>
                <w:szCs w:val="20"/>
                <w:color w:val="auto"/>
              </w:rPr>
            </w:pPr>
            <w:r>
              <w:rPr>
                <w:rFonts w:ascii="Arial" w:cs="Arial" w:eastAsia="Arial" w:hAnsi="Arial"/>
                <w:sz w:val="18"/>
                <w:szCs w:val="18"/>
                <w:color w:val="auto"/>
              </w:rPr>
              <w:t>8</w:t>
            </w: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7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3. Accrued Liabilities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0" w:type="dxa"/>
            <w:vAlign w:val="bottom"/>
            <w:gridSpan w:val="2"/>
          </w:tcPr>
          <w:p>
            <w:pPr>
              <w:ind w:left="660"/>
              <w:spacing w:after="0"/>
              <w:rPr>
                <w:sz w:val="20"/>
                <w:szCs w:val="20"/>
                <w:color w:val="auto"/>
              </w:rPr>
            </w:pPr>
            <w:r>
              <w:rPr>
                <w:rFonts w:ascii="Arial" w:cs="Arial" w:eastAsia="Arial" w:hAnsi="Arial"/>
                <w:sz w:val="18"/>
                <w:szCs w:val="18"/>
                <w:color w:val="auto"/>
                <w:w w:val="96"/>
              </w:rPr>
              <w:t>Accrued liabilities consist of the following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8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Accrued Genzyme co-promotion fees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2,716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5,128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-1853565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-1853565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ectPr>
          <w:pgSz w:w="11900" w:h="16838" w:orient="portrait"/>
          <w:cols w:equalWidth="0" w:num="1">
            <w:col w:w="11460"/>
          </w:cols>
          <w:pgMar w:left="240" w:top="125" w:right="199" w:bottom="0" w:gutter="0" w:footer="0" w:header="0"/>
        </w:sectPr>
      </w:pPr>
    </w:p>
    <w:bookmarkStart w:id="7" w:name="page8"/>
    <w:bookmarkEnd w:id="7"/>
    <w:p>
      <w:pPr>
        <w:ind w:right="40" w:firstLine="648"/>
        <w:spacing w:after="0" w:line="272"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78"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right="20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fair value of the Company’s financial assets, which consist only of money market funds, was $57.7 million and $70.0 million as of June 30, 2014 and December 31, 2013, respectively, and are Level I assets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leases its headquarters and South San Francisco laboratory facilities under a non-cancelable lease agreement that expires March 31, 2016.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condensed balance sheets as of June 30, 2014 and December 31, 2013.</w:t>
      </w:r>
    </w:p>
    <w:p>
      <w:pPr>
        <w:spacing w:after="0" w:line="187"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The Company leases laboratory space in Austin, Texas. The lease expires on July 31, 2018. The Company provided a cash security deposit of $75,000, which is included in other assets in the Company’s balance sheet as of June 30, 2014 and December 31, 2013.</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as of June 30, 2014 are as follows (in thousands):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through December 31, 2014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r>
      <w:tr>
        <w:trPr>
          <w:trHeight w:val="21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recognizes rent expense on a straight-line basis over the non-cancelable lease period. Facilities rent expense was $213,000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$228,000 for the three months ended June 30, 2014 and 2013, respectively, and $426,000 and $444,000 for the six months ended June 30, 2014 and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 Purchase Agreement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had non-cancelable purchase obligations to contract manufacturers and suppliers for approximately $130,000 at June 30, 2014, all of which is estimated to be payable before December 31, 2014.</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and did not draw the remaining $5.0 million on or before the expiration date of March 31, 2014. The carrying value of the debt approximates its fair value because the interest rate approximates market rates that the Company could obtain for debt with similar terms. The Company’s long-term debt obligation is a Level III liability. Level III inputs include unobservable inputs that are supported by little or no market activity and that are significant to the fair value of the underlying asset or liability.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required to repay the outstanding principal in 30 equal installments beginning 18 months after the date of the borrowing and is due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full in June 2017. The loan bears interest at a rate of 6.06% per annum. The loan carries prepayment penalties of 2.25% and 1.5% for prepayment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and two years, respectively, of the loan origination and 0.75% thereafter. As of June 30, 2014, the net debt obligation is $5.0 million, consisting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 million borrowing and the unpaid accrued balloon payment obligation net of the $100,000 discount on the note, of which $940,000 is included in current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liabilities and $4.1 million is included in long-term debt in the Company’s balance sheets. The obligation includes an end-of-term payment of $223,000,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representing 4.45% of the total outstanding principal balance, which accretes over the life of the loan as interest expense. As a result of the debt discount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end of term payment, the effective interest rate for the loan differs from the contractual rate. Total interest on the debt was $113,000 for the three months</w:t>
      </w:r>
    </w:p>
    <w:p>
      <w:pPr>
        <w:sectPr>
          <w:pgSz w:w="11900" w:h="16838" w:orient="portrait"/>
          <w:cols w:equalWidth="0" w:num="1">
            <w:col w:w="11400"/>
          </w:cols>
          <w:pgMar w:left="240" w:top="125" w:right="259" w:bottom="0" w:gutter="0" w:footer="0" w:header="0"/>
        </w:sectPr>
      </w:pPr>
    </w:p>
    <w:bookmarkStart w:id="8" w:name="page9"/>
    <w:bookmarkEnd w:id="8"/>
    <w:p>
      <w:pPr>
        <w:spacing w:after="0" w:line="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ended June 30, 2014, comprised of $76,000 of nominal interest and $37,000 in interest expense related to the amortization of the debt discount and accretion of the end of term payment, and $224,000 for the six months ended June 30, 2014, comprised of $152,000 of nominal interest and $72,000 in interest expense related to the amortization of the debt discount and accretion of the end of term payment.</w:t>
      </w:r>
    </w:p>
    <w:p>
      <w:pPr>
        <w:spacing w:after="0" w:line="181"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The Company’s obligations under the loan and security agreement are secured by a security interest in substantially all of its assets, excluding its intellectual property and certain other assets. The loan and security agreement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agreement also allows the lender to call the debt in the event there is a material adverse change in the Company’s business or financial condition. There are no financial covenants in the loan and security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Preferred Stock Warrant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June 2013, in conjunction with the execution of the loan and security agreement, as discussed in Note 6, the Company issued to the lender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warrant to purchase up to 49,602 shares of Series C convertible preferred stock with an exercise price of $7.56 per share. Upon the draw down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 million term loan, the related warrant became exercisable for 24,801 shares. In November 2013, in connection with the Company’s IPO, the warrant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automatically became exercisable for 24,801 shares of common stock at an exercise price of $7.56 per share. The lender exercised the warrant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24,801 shares through a cashless exercise in March 2014 resulting in the issuance of 13,739 shares of the Company’s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Restated Certificate of Incorporation authorizes the Company to issue 125,000,000 shares of common stock with a par value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The holder of each share of common stock shall have one vote for each share of stock. The common stockholders are also entitled to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dividends whenever funds and assets are legally available and when declared by the Board of Directors, subject to the prior rights of holders of all series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outstanding. No dividends have been declared as of June 30,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2014 and December 31, 2013, the Company had reserved shares of common stock for issuance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48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2,983,509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2,359,287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Options available for grant under stock option plans</w:t>
            </w:r>
          </w:p>
        </w:tc>
        <w:tc>
          <w:tcPr>
            <w:tcW w:w="1360" w:type="dxa"/>
            <w:vAlign w:val="bottom"/>
          </w:tcPr>
          <w:p>
            <w:pPr>
              <w:jc w:val="right"/>
              <w:spacing w:after="0"/>
              <w:rPr>
                <w:sz w:val="20"/>
                <w:szCs w:val="20"/>
                <w:color w:val="auto"/>
              </w:rPr>
            </w:pPr>
            <w:r>
              <w:rPr>
                <w:rFonts w:ascii="Arial" w:cs="Arial" w:eastAsia="Arial" w:hAnsi="Arial"/>
                <w:sz w:val="18"/>
                <w:szCs w:val="18"/>
                <w:color w:val="auto"/>
              </w:rPr>
              <w:t>1,719,514</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1,787,802</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issued and outstanding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24,801</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4,703,023</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4,171,890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Company’s Restated Certificate of Incorporation authorizes the Company to issue 5,000,000 shares of preferred stock with a par value of $0.001 per share. No shares were issued and outstanding at June 30, 2014 or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Incentive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under the Company’s stock option plans (aggregate intrinsic value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Available</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for Grant</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Exercise Price</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1,787,802</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2,359,287</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7.84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Additional options authorized</w:t>
            </w:r>
          </w:p>
        </w:tc>
        <w:tc>
          <w:tcPr>
            <w:tcW w:w="1140" w:type="dxa"/>
            <w:vAlign w:val="bottom"/>
          </w:tcPr>
          <w:p>
            <w:pPr>
              <w:jc w:val="right"/>
              <w:spacing w:after="0"/>
              <w:rPr>
                <w:sz w:val="20"/>
                <w:szCs w:val="20"/>
                <w:color w:val="auto"/>
              </w:rPr>
            </w:pPr>
            <w:r>
              <w:rPr>
                <w:rFonts w:ascii="Arial" w:cs="Arial" w:eastAsia="Arial" w:hAnsi="Arial"/>
                <w:sz w:val="18"/>
                <w:szCs w:val="18"/>
                <w:color w:val="auto"/>
              </w:rPr>
              <w:t>845,732</w:t>
            </w:r>
          </w:p>
        </w:tc>
        <w:tc>
          <w:tcPr>
            <w:tcW w:w="3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(1,033,842)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14.77</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119,822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(119,822)</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8.16</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(289,798)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 June 30, 2014</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1,719,514</w:t>
            </w:r>
          </w:p>
        </w:tc>
        <w:tc>
          <w:tcPr>
            <w:tcW w:w="30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2,983,509</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7.04</w:t>
            </w:r>
          </w:p>
        </w:tc>
        <w:tc>
          <w:tcPr>
            <w:tcW w:w="1420" w:type="dxa"/>
            <w:vAlign w:val="bottom"/>
            <w:tcBorders>
              <w:bottom w:val="single" w:sz="8" w:color="CCEEFF"/>
            </w:tcBorders>
            <w:gridSpan w:val="2"/>
          </w:tcPr>
          <w:p>
            <w:pPr>
              <w:ind w:left="820"/>
              <w:spacing w:after="0"/>
              <w:rPr>
                <w:sz w:val="20"/>
                <w:szCs w:val="20"/>
                <w:color w:val="auto"/>
              </w:rPr>
            </w:pPr>
            <w:r>
              <w:rPr>
                <w:rFonts w:ascii="Arial" w:cs="Arial" w:eastAsia="Arial" w:hAnsi="Arial"/>
                <w:sz w:val="18"/>
                <w:szCs w:val="18"/>
                <w:color w:val="auto"/>
              </w:rPr>
              <w:t>7.88</w:t>
            </w:r>
          </w:p>
        </w:tc>
        <w:tc>
          <w:tcPr>
            <w:tcW w:w="160" w:type="dxa"/>
            <w:vAlign w:val="bottom"/>
            <w:tcBorders>
              <w:bottom w:val="single" w:sz="8" w:color="CCEEFF"/>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30,223</w:t>
            </w:r>
          </w:p>
        </w:tc>
        <w:tc>
          <w:tcPr>
            <w:tcW w:w="0" w:type="dxa"/>
            <w:vAlign w:val="bottom"/>
          </w:tcPr>
          <w:p>
            <w:pPr>
              <w:spacing w:after="0"/>
              <w:rPr>
                <w:sz w:val="1"/>
                <w:szCs w:val="1"/>
                <w:color w:val="auto"/>
              </w:rPr>
            </w:pPr>
          </w:p>
        </w:tc>
      </w:tr>
      <w:tr>
        <w:trPr>
          <w:trHeight w:val="197"/>
        </w:trPr>
        <w:tc>
          <w:tcPr>
            <w:tcW w:w="44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exercisable — June 30, 2014</w:t>
            </w:r>
          </w:p>
        </w:tc>
        <w:tc>
          <w:tcPr>
            <w:tcW w:w="1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1,823,787</w:t>
            </w: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3.06</w:t>
            </w:r>
          </w:p>
        </w:tc>
        <w:tc>
          <w:tcPr>
            <w:tcW w:w="1420" w:type="dxa"/>
            <w:vAlign w:val="bottom"/>
            <w:tcBorders>
              <w:bottom w:val="single" w:sz="8" w:color="CCEEFF"/>
            </w:tcBorders>
            <w:gridSpan w:val="2"/>
            <w:shd w:val="clear" w:color="auto" w:fill="CCEEFF"/>
          </w:tcPr>
          <w:p>
            <w:pPr>
              <w:ind w:left="820"/>
              <w:spacing w:after="0" w:line="196" w:lineRule="exact"/>
              <w:rPr>
                <w:sz w:val="20"/>
                <w:szCs w:val="20"/>
                <w:color w:val="auto"/>
              </w:rPr>
            </w:pPr>
            <w:r>
              <w:rPr>
                <w:rFonts w:ascii="Arial" w:cs="Arial" w:eastAsia="Arial" w:hAnsi="Arial"/>
                <w:sz w:val="18"/>
                <w:szCs w:val="18"/>
                <w:color w:val="auto"/>
              </w:rPr>
              <w:t>7.21</w:t>
            </w: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25,643</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 June 30, 2014</w:t>
            </w: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6.77</w:t>
            </w:r>
          </w:p>
        </w:tc>
        <w:tc>
          <w:tcPr>
            <w:tcW w:w="1420" w:type="dxa"/>
            <w:vAlign w:val="bottom"/>
            <w:gridSpan w:val="2"/>
            <w:vMerge w:val="restart"/>
          </w:tcPr>
          <w:p>
            <w:pPr>
              <w:ind w:left="820"/>
              <w:spacing w:after="0"/>
              <w:rPr>
                <w:sz w:val="20"/>
                <w:szCs w:val="20"/>
                <w:color w:val="auto"/>
              </w:rPr>
            </w:pPr>
            <w:r>
              <w:rPr>
                <w:rFonts w:ascii="Arial" w:cs="Arial" w:eastAsia="Arial" w:hAnsi="Arial"/>
                <w:sz w:val="18"/>
                <w:szCs w:val="18"/>
                <w:color w:val="auto"/>
              </w:rPr>
              <w:t>7.83</w:t>
            </w: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29,731</w:t>
            </w:r>
          </w:p>
        </w:tc>
        <w:tc>
          <w:tcPr>
            <w:tcW w:w="0" w:type="dxa"/>
            <w:vAlign w:val="bottom"/>
          </w:tcPr>
          <w:p>
            <w:pPr>
              <w:spacing w:after="0" w:line="20" w:lineRule="exact"/>
              <w:rPr>
                <w:sz w:val="1"/>
                <w:szCs w:val="1"/>
                <w:color w:val="auto"/>
              </w:rPr>
            </w:pPr>
          </w:p>
        </w:tc>
      </w:tr>
      <w:tr>
        <w:trPr>
          <w:trHeight w:val="197"/>
        </w:trPr>
        <w:tc>
          <w:tcPr>
            <w:tcW w:w="44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2,859,071</w:t>
            </w:r>
          </w:p>
        </w:tc>
        <w:tc>
          <w:tcPr>
            <w:tcW w:w="2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exercise price of the options to purchase common stock and the fair market value of the Company’s common stock of $17.12 per share as of June 30,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Outstanding and exercisable stock options at June 30, 2014 are summarized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gridSpan w:val="4"/>
          </w:tcPr>
          <w:p>
            <w:pPr>
              <w:ind w:left="880"/>
              <w:spacing w:after="0"/>
              <w:rPr>
                <w:sz w:val="20"/>
                <w:szCs w:val="20"/>
                <w:color w:val="auto"/>
              </w:rPr>
            </w:pPr>
            <w:r>
              <w:rPr>
                <w:rFonts w:ascii="Arial" w:cs="Arial" w:eastAsia="Arial" w:hAnsi="Arial"/>
                <w:sz w:val="14"/>
                <w:szCs w:val="14"/>
                <w:b w:val="1"/>
                <w:bCs w:val="1"/>
                <w:color w:val="auto"/>
              </w:rPr>
              <w:t>Options Outstanding</w:t>
            </w:r>
          </w:p>
        </w:tc>
        <w:tc>
          <w:tcPr>
            <w:tcW w:w="3100" w:type="dxa"/>
            <w:vAlign w:val="bottom"/>
            <w:gridSpan w:val="4"/>
          </w:tcPr>
          <w:p>
            <w:pPr>
              <w:ind w:left="520"/>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Weighted-Average</w:t>
            </w:r>
          </w:p>
        </w:tc>
        <w:tc>
          <w:tcPr>
            <w:tcW w:w="30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w:t>
            </w: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320" w:type="dxa"/>
            <w:vAlign w:val="bottom"/>
            <w:gridSpan w:val="2"/>
            <w:vMerge w:val="continue"/>
          </w:tcPr>
          <w:p>
            <w:pPr>
              <w:spacing w:after="0"/>
              <w:rPr>
                <w:sz w:val="12"/>
                <w:szCs w:val="12"/>
                <w:color w:val="auto"/>
              </w:rPr>
            </w:pPr>
          </w:p>
        </w:tc>
        <w:tc>
          <w:tcPr>
            <w:tcW w:w="16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c>
          <w:tcPr>
            <w:tcW w:w="1660" w:type="dxa"/>
            <w:vAlign w:val="bottom"/>
            <w:gridSpan w:val="2"/>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Life (in Years)</w:t>
            </w:r>
          </w:p>
        </w:tc>
        <w:tc>
          <w:tcPr>
            <w:tcW w:w="164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$0.08</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102,750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4.15</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102,750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$0.80</w:t>
            </w:r>
          </w:p>
        </w:tc>
        <w:tc>
          <w:tcPr>
            <w:tcW w:w="3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142,069</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5.69</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142,069</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346,830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6.32</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335,863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$2.40</w:t>
            </w: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rPr>
              <w:t>160,862</w:t>
            </w:r>
          </w:p>
        </w:tc>
        <w:tc>
          <w:tcPr>
            <w:tcW w:w="1540" w:type="dxa"/>
            <w:vAlign w:val="bottom"/>
          </w:tcPr>
          <w:p>
            <w:pPr>
              <w:jc w:val="right"/>
              <w:ind w:right="730"/>
              <w:spacing w:after="0"/>
              <w:rPr>
                <w:sz w:val="20"/>
                <w:szCs w:val="20"/>
                <w:color w:val="auto"/>
              </w:rPr>
            </w:pPr>
            <w:r>
              <w:rPr>
                <w:rFonts w:ascii="Arial" w:cs="Arial" w:eastAsia="Arial" w:hAnsi="Arial"/>
                <w:sz w:val="18"/>
                <w:szCs w:val="18"/>
                <w:color w:val="auto"/>
              </w:rPr>
              <w:t>5.07</w:t>
            </w: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143,579</w:t>
            </w:r>
          </w:p>
        </w:tc>
        <w:tc>
          <w:tcPr>
            <w:tcW w:w="1340" w:type="dxa"/>
            <w:vAlign w:val="bottom"/>
          </w:tcPr>
          <w:p>
            <w:pPr>
              <w:jc w:val="center"/>
              <w:ind w:right="130"/>
              <w:spacing w:after="0"/>
              <w:rPr>
                <w:sz w:val="20"/>
                <w:szCs w:val="20"/>
                <w:color w:val="auto"/>
              </w:rPr>
            </w:pPr>
            <w:r>
              <w:rPr>
                <w:rFonts w:ascii="Arial" w:cs="Arial" w:eastAsia="Arial" w:hAnsi="Arial"/>
                <w:sz w:val="18"/>
                <w:szCs w:val="18"/>
                <w:color w:val="auto"/>
                <w:w w:val="91"/>
              </w:rPr>
              <w:t>4.82</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$2.68</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560,100</w:t>
            </w:r>
          </w:p>
        </w:tc>
        <w:tc>
          <w:tcPr>
            <w:tcW w:w="15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7.76</w:t>
            </w:r>
          </w:p>
        </w:tc>
        <w:tc>
          <w:tcPr>
            <w:tcW w:w="1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517,036</w:t>
            </w:r>
          </w:p>
        </w:tc>
        <w:tc>
          <w:tcPr>
            <w:tcW w:w="13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7.75</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$4.00</w:t>
            </w: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rPr>
              <w:t>431,577</w:t>
            </w:r>
          </w:p>
        </w:tc>
        <w:tc>
          <w:tcPr>
            <w:tcW w:w="1540" w:type="dxa"/>
            <w:vAlign w:val="bottom"/>
          </w:tcPr>
          <w:p>
            <w:pPr>
              <w:jc w:val="right"/>
              <w:ind w:right="730"/>
              <w:spacing w:after="0"/>
              <w:rPr>
                <w:sz w:val="20"/>
                <w:szCs w:val="20"/>
                <w:color w:val="auto"/>
              </w:rPr>
            </w:pPr>
            <w:r>
              <w:rPr>
                <w:rFonts w:ascii="Arial" w:cs="Arial" w:eastAsia="Arial" w:hAnsi="Arial"/>
                <w:sz w:val="18"/>
                <w:szCs w:val="18"/>
                <w:color w:val="auto"/>
              </w:rPr>
              <w:t>8.59</w:t>
            </w: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386,316</w:t>
            </w:r>
          </w:p>
        </w:tc>
        <w:tc>
          <w:tcPr>
            <w:tcW w:w="1340" w:type="dxa"/>
            <w:vAlign w:val="bottom"/>
          </w:tcPr>
          <w:p>
            <w:pPr>
              <w:jc w:val="center"/>
              <w:ind w:right="130"/>
              <w:spacing w:after="0"/>
              <w:rPr>
                <w:sz w:val="20"/>
                <w:szCs w:val="20"/>
                <w:color w:val="auto"/>
              </w:rPr>
            </w:pPr>
            <w:r>
              <w:rPr>
                <w:rFonts w:ascii="Arial" w:cs="Arial" w:eastAsia="Arial" w:hAnsi="Arial"/>
                <w:sz w:val="18"/>
                <w:szCs w:val="18"/>
                <w:color w:val="auto"/>
                <w:w w:val="91"/>
              </w:rPr>
              <w:t>8.60</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$6.04</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196,004</w:t>
            </w:r>
          </w:p>
        </w:tc>
        <w:tc>
          <w:tcPr>
            <w:tcW w:w="15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8.97</w:t>
            </w:r>
          </w:p>
        </w:tc>
        <w:tc>
          <w:tcPr>
            <w:tcW w:w="1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162,424</w:t>
            </w:r>
          </w:p>
        </w:tc>
        <w:tc>
          <w:tcPr>
            <w:tcW w:w="13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8.96</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$7.92</w:t>
            </w: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rPr>
              <w:t>9,000</w:t>
            </w:r>
          </w:p>
        </w:tc>
        <w:tc>
          <w:tcPr>
            <w:tcW w:w="1540" w:type="dxa"/>
            <w:vAlign w:val="bottom"/>
          </w:tcPr>
          <w:p>
            <w:pPr>
              <w:jc w:val="right"/>
              <w:ind w:right="730"/>
              <w:spacing w:after="0"/>
              <w:rPr>
                <w:sz w:val="20"/>
                <w:szCs w:val="20"/>
                <w:color w:val="auto"/>
              </w:rPr>
            </w:pPr>
            <w:r>
              <w:rPr>
                <w:rFonts w:ascii="Arial" w:cs="Arial" w:eastAsia="Arial" w:hAnsi="Arial"/>
                <w:sz w:val="18"/>
                <w:szCs w:val="18"/>
                <w:color w:val="auto"/>
              </w:rPr>
              <w:t>9.20</w:t>
            </w: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$12.12</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39,625</w:t>
            </w:r>
          </w:p>
        </w:tc>
        <w:tc>
          <w:tcPr>
            <w:tcW w:w="15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9.26</w:t>
            </w:r>
          </w:p>
        </w:tc>
        <w:tc>
          <w:tcPr>
            <w:tcW w:w="1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33,750</w:t>
            </w:r>
          </w:p>
        </w:tc>
        <w:tc>
          <w:tcPr>
            <w:tcW w:w="13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9.26</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$12.64-18.24</w:t>
            </w: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rPr>
              <w:t>994,692</w:t>
            </w:r>
          </w:p>
        </w:tc>
        <w:tc>
          <w:tcPr>
            <w:tcW w:w="1540" w:type="dxa"/>
            <w:vAlign w:val="bottom"/>
          </w:tcPr>
          <w:p>
            <w:pPr>
              <w:jc w:val="right"/>
              <w:ind w:right="730"/>
              <w:spacing w:after="0"/>
              <w:rPr>
                <w:sz w:val="20"/>
                <w:szCs w:val="20"/>
                <w:color w:val="auto"/>
              </w:rPr>
            </w:pPr>
            <w:r>
              <w:rPr>
                <w:rFonts w:ascii="Arial" w:cs="Arial" w:eastAsia="Arial" w:hAnsi="Arial"/>
                <w:sz w:val="18"/>
                <w:szCs w:val="18"/>
                <w:color w:val="auto"/>
              </w:rPr>
              <w:t>9.05</w:t>
            </w: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r>
      <w:tr>
        <w:trPr>
          <w:trHeight w:val="210"/>
        </w:trPr>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$0.08-18.24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2,983,509</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7.88</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1,823,787</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1"/>
              </w:rPr>
              <w:t>7.21</w:t>
            </w:r>
          </w:p>
        </w:tc>
      </w:tr>
      <w:tr>
        <w:trPr>
          <w:trHeight w:val="20"/>
        </w:trPr>
        <w:tc>
          <w:tcPr>
            <w:tcW w:w="2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weighted-average fair value of stock options granted was $9.97 and $3.18 per share for the six months ended June 30, 2014 and 2013, respectively.</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weighted-average fair value of stock options vested was $2.89 and $2.10 per share for the six months ended June 30, 2014 and 2013, respectively. The aggregate estimated grant date fair value of employee options to purchase common stock vested during the six months ended June 30, 2014 and 2013 was $4.2 million and $1.6 million,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weighted-average fair value of stock options exercised was $1.25 and $0.83 per share for the six months ended June 30, 2014 and 2013, respectively. The intrinsic value of stock options exercised was $2.8 million and $1.7 million for the six months ended June 30, 2014 and 2013,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stock options for the three and six months ended June 30, 2014 and 2013, and are included in the unaudited statements of operations and comprehensive loss as follows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262</w:t>
            </w: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514</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797</w:t>
            </w:r>
          </w:p>
        </w:tc>
        <w:tc>
          <w:tcPr>
            <w:tcW w:w="4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r>
      <w:tr>
        <w:trPr>
          <w:trHeight w:val="210"/>
        </w:trPr>
        <w:tc>
          <w:tcPr>
            <w:tcW w:w="3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June 30, 2014, the Company had $9.4 million of unrecognized compensation expense related to unvested stock options, which is expected to be recognized over an estimated weighted-average period of 3.3 years.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estimated grant date fair value of employee stock options was calculated using the Black-Scholes option-pricing model, based on the following assumptions: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2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31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3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gridSpan w:val="4"/>
          </w:tcPr>
          <w:p>
            <w:pPr>
              <w:jc w:val="center"/>
              <w:ind w:right="1500"/>
              <w:spacing w:after="0"/>
              <w:rPr>
                <w:sz w:val="20"/>
                <w:szCs w:val="20"/>
                <w:color w:val="auto"/>
              </w:rPr>
            </w:pPr>
            <w:r>
              <w:rPr>
                <w:rFonts w:ascii="Arial" w:cs="Arial" w:eastAsia="Arial" w:hAnsi="Arial"/>
                <w:sz w:val="14"/>
                <w:szCs w:val="14"/>
                <w:b w:val="1"/>
                <w:bCs w:val="1"/>
                <w:color w:val="auto"/>
                <w:w w:val="92"/>
              </w:rPr>
              <w:t>June 30,</w:t>
            </w:r>
          </w:p>
        </w:tc>
        <w:tc>
          <w:tcPr>
            <w:tcW w:w="1240" w:type="dxa"/>
            <w:vAlign w:val="bottom"/>
          </w:tcPr>
          <w:p>
            <w:pPr>
              <w:spacing w:after="0"/>
              <w:rPr>
                <w:sz w:val="14"/>
                <w:szCs w:val="14"/>
                <w:color w:val="auto"/>
              </w:rPr>
            </w:pPr>
          </w:p>
        </w:tc>
        <w:tc>
          <w:tcPr>
            <w:tcW w:w="192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3820" w:type="dxa"/>
            <w:vAlign w:val="bottom"/>
          </w:tcPr>
          <w:p>
            <w:pPr>
              <w:spacing w:after="0"/>
              <w:rPr>
                <w:sz w:val="12"/>
                <w:szCs w:val="12"/>
                <w:color w:val="auto"/>
              </w:rPr>
            </w:pPr>
          </w:p>
        </w:tc>
        <w:tc>
          <w:tcPr>
            <w:tcW w:w="1220" w:type="dxa"/>
            <w:vAlign w:val="bottom"/>
            <w:tcBorders>
              <w:top w:val="single" w:sz="8" w:color="auto"/>
            </w:tcBorders>
          </w:tcPr>
          <w:p>
            <w:pPr>
              <w:jc w:val="center"/>
              <w:ind w:left="56"/>
              <w:spacing w:after="0" w:line="142" w:lineRule="exact"/>
              <w:rPr>
                <w:sz w:val="20"/>
                <w:szCs w:val="20"/>
                <w:color w:val="auto"/>
              </w:rPr>
            </w:pPr>
            <w:r>
              <w:rPr>
                <w:rFonts w:ascii="Arial" w:cs="Arial" w:eastAsia="Arial" w:hAnsi="Arial"/>
                <w:sz w:val="14"/>
                <w:szCs w:val="14"/>
                <w:b w:val="1"/>
                <w:bCs w:val="1"/>
                <w:color w:val="auto"/>
                <w:w w:val="89"/>
              </w:rPr>
              <w:t>2014</w:t>
            </w:r>
          </w:p>
        </w:tc>
        <w:tc>
          <w:tcPr>
            <w:tcW w:w="1780" w:type="dxa"/>
            <w:vAlign w:val="bottom"/>
            <w:tcBorders>
              <w:top w:val="single" w:sz="8" w:color="auto"/>
            </w:tcBorders>
            <w:gridSpan w:val="3"/>
          </w:tcPr>
          <w:p>
            <w:pPr>
              <w:jc w:val="center"/>
              <w:ind w:left="337"/>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2"/>
                <w:szCs w:val="12"/>
                <w:color w:val="auto"/>
              </w:rPr>
            </w:pPr>
          </w:p>
        </w:tc>
        <w:tc>
          <w:tcPr>
            <w:tcW w:w="1240" w:type="dxa"/>
            <w:vAlign w:val="bottom"/>
            <w:tcBorders>
              <w:top w:val="single" w:sz="8" w:color="auto"/>
            </w:tcBorders>
          </w:tcPr>
          <w:p>
            <w:pPr>
              <w:jc w:val="center"/>
              <w:ind w:left="56"/>
              <w:spacing w:after="0" w:line="142" w:lineRule="exact"/>
              <w:rPr>
                <w:sz w:val="20"/>
                <w:szCs w:val="20"/>
                <w:color w:val="auto"/>
              </w:rPr>
            </w:pPr>
            <w:r>
              <w:rPr>
                <w:rFonts w:ascii="Arial" w:cs="Arial" w:eastAsia="Arial" w:hAnsi="Arial"/>
                <w:sz w:val="14"/>
                <w:szCs w:val="14"/>
                <w:b w:val="1"/>
                <w:bCs w:val="1"/>
                <w:color w:val="auto"/>
                <w:w w:val="96"/>
              </w:rPr>
              <w:t>2014</w:t>
            </w:r>
          </w:p>
        </w:tc>
        <w:tc>
          <w:tcPr>
            <w:tcW w:w="1800" w:type="dxa"/>
            <w:vAlign w:val="bottom"/>
            <w:tcBorders>
              <w:top w:val="single" w:sz="8" w:color="auto"/>
            </w:tcBorders>
            <w:gridSpan w:val="3"/>
          </w:tcPr>
          <w:p>
            <w:pPr>
              <w:jc w:val="center"/>
              <w:ind w:left="317"/>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220" w:type="dxa"/>
            <w:vAlign w:val="bottom"/>
            <w:tcBorders>
              <w:top w:val="single" w:sz="8" w:color="auto"/>
            </w:tcBorders>
            <w:shd w:val="clear" w:color="auto" w:fill="CCEEFF"/>
          </w:tcPr>
          <w:p>
            <w:pPr>
              <w:jc w:val="center"/>
              <w:ind w:left="36"/>
              <w:spacing w:after="0"/>
              <w:rPr>
                <w:sz w:val="20"/>
                <w:szCs w:val="20"/>
                <w:color w:val="auto"/>
              </w:rPr>
            </w:pPr>
            <w:r>
              <w:rPr>
                <w:rFonts w:ascii="Arial" w:cs="Arial" w:eastAsia="Arial" w:hAnsi="Arial"/>
                <w:sz w:val="18"/>
                <w:szCs w:val="18"/>
                <w:color w:val="auto"/>
                <w:w w:val="90"/>
              </w:rPr>
              <w:t>73.20-76.87%</w:t>
            </w: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80.42%</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56"/>
              <w:spacing w:after="0"/>
              <w:rPr>
                <w:sz w:val="20"/>
                <w:szCs w:val="20"/>
                <w:color w:val="auto"/>
              </w:rPr>
            </w:pPr>
            <w:r>
              <w:rPr>
                <w:rFonts w:ascii="Arial" w:cs="Arial" w:eastAsia="Arial" w:hAnsi="Arial"/>
                <w:sz w:val="18"/>
                <w:szCs w:val="18"/>
                <w:color w:val="auto"/>
                <w:w w:val="90"/>
              </w:rPr>
              <w:t>73.20-78.54%</w:t>
            </w: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80.42 – 81.41%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220" w:type="dxa"/>
            <w:vAlign w:val="bottom"/>
          </w:tcPr>
          <w:p>
            <w:pPr>
              <w:jc w:val="center"/>
              <w:ind w:left="56"/>
              <w:spacing w:after="0"/>
              <w:rPr>
                <w:sz w:val="20"/>
                <w:szCs w:val="20"/>
                <w:color w:val="auto"/>
              </w:rPr>
            </w:pPr>
            <w:r>
              <w:rPr>
                <w:rFonts w:ascii="Arial" w:cs="Arial" w:eastAsia="Arial" w:hAnsi="Arial"/>
                <w:sz w:val="18"/>
                <w:szCs w:val="18"/>
                <w:color w:val="auto"/>
                <w:w w:val="89"/>
              </w:rPr>
              <w:t>5.50-6.08</w:t>
            </w:r>
          </w:p>
        </w:tc>
        <w:tc>
          <w:tcPr>
            <w:tcW w:w="1780" w:type="dxa"/>
            <w:vAlign w:val="bottom"/>
            <w:gridSpan w:val="3"/>
          </w:tcPr>
          <w:p>
            <w:pPr>
              <w:jc w:val="center"/>
              <w:ind w:left="337"/>
              <w:spacing w:after="0"/>
              <w:rPr>
                <w:sz w:val="20"/>
                <w:szCs w:val="20"/>
                <w:color w:val="auto"/>
              </w:rPr>
            </w:pPr>
            <w:r>
              <w:rPr>
                <w:rFonts w:ascii="Arial" w:cs="Arial" w:eastAsia="Arial" w:hAnsi="Arial"/>
                <w:sz w:val="18"/>
                <w:szCs w:val="18"/>
                <w:color w:val="auto"/>
                <w:w w:val="91"/>
              </w:rPr>
              <w:t>6.08</w:t>
            </w:r>
          </w:p>
        </w:tc>
        <w:tc>
          <w:tcPr>
            <w:tcW w:w="280" w:type="dxa"/>
            <w:vAlign w:val="bottom"/>
          </w:tcPr>
          <w:p>
            <w:pPr>
              <w:spacing w:after="0"/>
              <w:rPr>
                <w:sz w:val="18"/>
                <w:szCs w:val="18"/>
                <w:color w:val="auto"/>
              </w:rPr>
            </w:pPr>
          </w:p>
        </w:tc>
        <w:tc>
          <w:tcPr>
            <w:tcW w:w="1240" w:type="dxa"/>
            <w:vAlign w:val="bottom"/>
          </w:tcPr>
          <w:p>
            <w:pPr>
              <w:jc w:val="center"/>
              <w:ind w:left="56"/>
              <w:spacing w:after="0"/>
              <w:rPr>
                <w:sz w:val="20"/>
                <w:szCs w:val="20"/>
                <w:color w:val="auto"/>
              </w:rPr>
            </w:pPr>
            <w:r>
              <w:rPr>
                <w:rFonts w:ascii="Arial" w:cs="Arial" w:eastAsia="Arial" w:hAnsi="Arial"/>
                <w:sz w:val="18"/>
                <w:szCs w:val="18"/>
                <w:color w:val="auto"/>
                <w:w w:val="91"/>
              </w:rPr>
              <w:t>5.50-6.08</w:t>
            </w:r>
          </w:p>
        </w:tc>
        <w:tc>
          <w:tcPr>
            <w:tcW w:w="1800" w:type="dxa"/>
            <w:vAlign w:val="bottom"/>
            <w:gridSpan w:val="3"/>
          </w:tcPr>
          <w:p>
            <w:pPr>
              <w:jc w:val="center"/>
              <w:ind w:left="337"/>
              <w:spacing w:after="0"/>
              <w:rPr>
                <w:sz w:val="20"/>
                <w:szCs w:val="20"/>
                <w:color w:val="auto"/>
              </w:rPr>
            </w:pPr>
            <w:r>
              <w:rPr>
                <w:rFonts w:ascii="Arial" w:cs="Arial" w:eastAsia="Arial" w:hAnsi="Arial"/>
                <w:sz w:val="18"/>
                <w:szCs w:val="18"/>
                <w:color w:val="auto"/>
                <w:w w:val="91"/>
              </w:rPr>
              <w:t>5.0 - 6.08</w:t>
            </w:r>
          </w:p>
        </w:tc>
        <w:tc>
          <w:tcPr>
            <w:tcW w:w="1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1"/>
              </w:rPr>
              <w:t>1.66-2.00%</w:t>
            </w:r>
          </w:p>
        </w:tc>
        <w:tc>
          <w:tcPr>
            <w:tcW w:w="1780" w:type="dxa"/>
            <w:vAlign w:val="bottom"/>
            <w:gridSpan w:val="3"/>
            <w:shd w:val="clear" w:color="auto" w:fill="CCEEFF"/>
          </w:tcPr>
          <w:p>
            <w:pPr>
              <w:jc w:val="center"/>
              <w:ind w:left="357"/>
              <w:spacing w:after="0"/>
              <w:rPr>
                <w:sz w:val="20"/>
                <w:szCs w:val="20"/>
                <w:color w:val="auto"/>
              </w:rPr>
            </w:pPr>
            <w:r>
              <w:rPr>
                <w:rFonts w:ascii="Arial" w:cs="Arial" w:eastAsia="Arial" w:hAnsi="Arial"/>
                <w:sz w:val="18"/>
                <w:szCs w:val="18"/>
                <w:color w:val="auto"/>
                <w:w w:val="90"/>
              </w:rPr>
              <w:t>1.60%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91"/>
              </w:rPr>
              <w:t>1.66-2.00%</w:t>
            </w:r>
          </w:p>
        </w:tc>
        <w:tc>
          <w:tcPr>
            <w:tcW w:w="1800" w:type="dxa"/>
            <w:vAlign w:val="bottom"/>
            <w:gridSpan w:val="3"/>
            <w:shd w:val="clear" w:color="auto" w:fill="CCEEFF"/>
          </w:tcPr>
          <w:p>
            <w:pPr>
              <w:jc w:val="center"/>
              <w:ind w:left="337"/>
              <w:spacing w:after="0"/>
              <w:rPr>
                <w:sz w:val="20"/>
                <w:szCs w:val="20"/>
                <w:color w:val="auto"/>
              </w:rPr>
            </w:pPr>
            <w:r>
              <w:rPr>
                <w:rFonts w:ascii="Arial" w:cs="Arial" w:eastAsia="Arial" w:hAnsi="Arial"/>
                <w:sz w:val="18"/>
                <w:szCs w:val="18"/>
                <w:color w:val="auto"/>
                <w:w w:val="92"/>
              </w:rPr>
              <w:t>0.88 - 1.60%</w:t>
            </w:r>
          </w:p>
        </w:tc>
        <w:tc>
          <w:tcPr>
            <w:tcW w:w="120" w:type="dxa"/>
            <w:vAlign w:val="bottom"/>
            <w:shd w:val="clear" w:color="auto" w:fill="CCEEFF"/>
          </w:tcPr>
          <w:p>
            <w:pPr>
              <w:spacing w:after="0"/>
              <w:rPr>
                <w:sz w:val="18"/>
                <w:szCs w:val="18"/>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tcPr>
          <w:p>
            <w:pPr>
              <w:jc w:val="center"/>
              <w:ind w:left="56"/>
              <w:spacing w:after="0"/>
              <w:rPr>
                <w:sz w:val="20"/>
                <w:szCs w:val="20"/>
                <w:color w:val="auto"/>
              </w:rPr>
            </w:pPr>
            <w:r>
              <w:rPr>
                <w:rFonts w:ascii="Arial" w:cs="Arial" w:eastAsia="Arial" w:hAnsi="Arial"/>
                <w:sz w:val="18"/>
                <w:szCs w:val="18"/>
                <w:color w:val="auto"/>
                <w:w w:val="92"/>
              </w:rPr>
              <w:t>0%</w:t>
            </w:r>
          </w:p>
        </w:tc>
        <w:tc>
          <w:tcPr>
            <w:tcW w:w="1780" w:type="dxa"/>
            <w:vAlign w:val="bottom"/>
            <w:gridSpan w:val="3"/>
          </w:tcPr>
          <w:p>
            <w:pPr>
              <w:jc w:val="center"/>
              <w:ind w:left="337"/>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c>
          <w:tcPr>
            <w:tcW w:w="1240" w:type="dxa"/>
            <w:vAlign w:val="bottom"/>
          </w:tcPr>
          <w:p>
            <w:pPr>
              <w:jc w:val="center"/>
              <w:ind w:left="76"/>
              <w:spacing w:after="0"/>
              <w:rPr>
                <w:sz w:val="20"/>
                <w:szCs w:val="20"/>
                <w:color w:val="auto"/>
              </w:rPr>
            </w:pPr>
            <w:r>
              <w:rPr>
                <w:rFonts w:ascii="Arial" w:cs="Arial" w:eastAsia="Arial" w:hAnsi="Arial"/>
                <w:sz w:val="18"/>
                <w:szCs w:val="18"/>
                <w:color w:val="auto"/>
                <w:w w:val="92"/>
              </w:rPr>
              <w:t>0%</w:t>
            </w:r>
          </w:p>
        </w:tc>
        <w:tc>
          <w:tcPr>
            <w:tcW w:w="1800" w:type="dxa"/>
            <w:vAlign w:val="bottom"/>
            <w:gridSpan w:val="3"/>
          </w:tcPr>
          <w:p>
            <w:pPr>
              <w:jc w:val="center"/>
              <w:ind w:left="317"/>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equal to the remaining contractual term of the award as of the measurement date ranging from 8.44 years to 9.26 years as of June 30, 2014 and 8.22 years to</w:t>
      </w:r>
    </w:p>
    <w:p>
      <w:pPr>
        <w:ind w:right="40"/>
        <w:spacing w:after="0" w:line="255" w:lineRule="auto"/>
        <w:rPr>
          <w:sz w:val="20"/>
          <w:szCs w:val="20"/>
          <w:color w:val="auto"/>
        </w:rPr>
      </w:pPr>
      <w:r>
        <w:rPr>
          <w:rFonts w:ascii="Arial" w:cs="Arial" w:eastAsia="Arial" w:hAnsi="Arial"/>
          <w:sz w:val="18"/>
          <w:szCs w:val="18"/>
          <w:color w:val="auto"/>
        </w:rPr>
        <w:t>9.43 years as of June 30, 2013; risk free rate is based on the U.S. Treasury Constant Maturity rate with a term similar to the expected life of the option at the measurement date ranging from 2.32% to 2.43% as of June 30, 2014 and 2.19% to 2.41% as of June 30, 2013; expected dividend yield of 0%; and volatilities ranging from 75.11% to 75.48% as of June 30, 2014 and 79.01% to 79.58% as of June 30, 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Genzyme Co-promotion Agreement</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40% from January 2013 through February 2014, and 32% beginning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$10.0 million upfront co-promotion fee over a four-year period, which is management’s best estimate of the life of the agreement, in part because after that period either party may terminate the agreement without penalty. See Note 13 — Subsequent Events.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10" w:name="page11"/>
    <w:bookmarkEnd w:id="10"/>
    <w:p>
      <w:pPr>
        <w:ind w:right="140" w:firstLine="648"/>
        <w:spacing w:after="0" w:line="293" w:lineRule="auto"/>
        <w:rPr>
          <w:sz w:val="20"/>
          <w:szCs w:val="20"/>
          <w:color w:val="auto"/>
        </w:rPr>
      </w:pPr>
      <w:r>
        <w:rPr>
          <w:rFonts w:ascii="Arial" w:cs="Arial" w:eastAsia="Arial" w:hAnsi="Arial"/>
          <w:sz w:val="16"/>
          <w:szCs w:val="16"/>
          <w:color w:val="auto"/>
        </w:rPr>
        <w:t>The Company incurred $2.7 million and $1.8 million in co-promotion expense in the three months ended June 30, 2014 and 2013, respectively, and $5.5 million and $3.7 million in the six months ended June 20, 2014 and 2013, respectively, which is included in selling and marketing expenses in the statements of operations and comprehensive loss. The Company’s outstanding obligation to Genzyme totaled $8.1 million and $6.7 million at June 30, 2014 and December 31, 2013, respectively. Of the $8.1 million obligation at June 30, 2014, $5.4 million is included in accounts payable and $2.7 million is included in accrued liabilities in the Company’s condensed balance sheets. Of the $6.7 million obligation at December 31, 2013, $1.8 million is included in accounts payable and $4.9 million is included in accrued liabilities in the Company’s condensed balance sheets.</w:t>
      </w:r>
    </w:p>
    <w:p>
      <w:pPr>
        <w:spacing w:after="0" w:line="1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amortized $625,000 of the $10.0 million up-front co-promotion fee in each of the three months ended June 30, 2014 and 2013, and $1.3 million in each of the six months ended June 30, 2014 and 2013, which is reflected as a reduction to selling and marketing expenses in the statements of operations and comprehensive loss. The unamortized balance of the co-promotion fee is reflected on the Company’s condensed balance sheets as follows (in thousands):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Deferred Genzyme co-promotion fee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Deferred Genzyme co-promotion fee, net of current portion</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r>
      <w:tr>
        <w:trPr>
          <w:trHeight w:val="210"/>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Thyroid Cytology Partners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is effective through December 31, 2015, unless terminated earlier, and renews annually thereafter. Under the service agreement, Veracyte pays TCP based on a fixed price per test schedule, which is reviewed periodically for changes in market pricing. Subsequent to December 2012, an amendment to the service agreement allows TCP to use a portion of Veracyte’s facility in Austin, Texas. The Company does not have an ownership interest in or provide any form of financial or other support to TCP. 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statements of operations and comprehensive loss. The Company incurred $966,000 and $806,000 in cytopathology testing and evaluation services expenses with TCP in the three months ended June 30, 2014 and 2013, respectively, and $1.9 million and $1.5 million in the six months ended June 30, 2014 and 2013, respectively. The Company’s outstanding obligations to TCP for cytopathology testing services were $653,000 and $588,000 as of June 30, 2014 and December 31, 2013, respectively, and are included in accounts payable in the Company’s condensed balance sheets.</w:t>
      </w:r>
    </w:p>
    <w:p>
      <w:pPr>
        <w:spacing w:after="0" w:line="188"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TCP reimburses the Company for a proportionate share of the Company’s rent and related operating expense costs for the leased facility. TCP’s portion of rent and related operating expense costs for the shared space at the Austin, Texas facility was $21,000 and $41,000 for the three and six months ended June 30, 2014, and is included in other income in the Company’s statements of operations and comprehensive loss.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record a provision or benefit for income taxes during the three and six months ended June 30, 2014 and 2013,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maintain a valuation allowance for its U.S. federal and state deferred tax assets.</w:t>
      </w:r>
    </w:p>
    <w:p>
      <w:pPr>
        <w:spacing w:after="0" w:line="211"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On January 2, 2013, The American Taxpayer Relief Act of 2012 (“ATRA”) was signed into law. Under prior law, a taxpayer was entitled to a research tax credit for qualifying amounts incurred through December 31, 2011. The ATRA extends the research credit for two years for qualified research expenditures incurred through the end of 2013. The extension of the research credit is retroactive and includes amounts incurred after 2011.</w:t>
      </w:r>
    </w:p>
    <w:p>
      <w:pPr>
        <w:spacing w:after="0" w:line="14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At June 30, 2014, the Company had $0.8 million of unrecognized tax benefit, none of which, if recognized, would affect the effective tax rate as most of the unrecognized tax benefit is deferred tax assets currently offset by a valuation allowance.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recognized any interest and penalties related to uncertain tax positions as part of the income tax provision.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files annual income tax returns in the United States only. 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 As of June 30, 2014, changes to the Company’s uncertain tax positions in the next twelve months that are reasonably possible are not expected to have a significant impact on the Company’s financial position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Genzyme Co-promotion Agreement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August 12, 2014, the Company signed a binding Letter of Agreement with Genzyme to amend the co-promotion agreement. Under the amendment, the co-promotion fees Genzyme would receive as a percentage of U.S. cash receipts would be reduced from 32% to 15% beginning January 1, 2015, and the earliest either party could terminate the agreement for convenience would be June 30, 2016.</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line="4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2013.</w:t>
      </w:r>
    </w:p>
    <w:p>
      <w:pPr>
        <w:spacing w:after="0" w:line="181"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 that our research and development, general and administrative and selling and marketing expenses will increase and our anticipated uses of those funds;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our belief that our published evidence provides a basis for inclusion of our test in treatment guidelines; the estimated size of the global market for Afirma; the potential benefits of the Afirma solution and any future products we may develop to patients, physicians and payers; the factors we believe drive demand for and reimbursement of our tests; our ability to sustain or increase demand for our tests; our intent to expand into other clinical areas; our ability to develop new tests, including a test for interstitial lung disease, and the timeframes for development or commercial launch; our dependence on and the terms of our agreements with Genzyme and TCP, and on other strategic relationships, and the success of those relationships; our beliefs regarding our laboratory capacity; the applicability of clinical results to actual outcomes; our expectations regarding our international expansion, including entering new international markets and the timing thereof;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FDA or other regulatory bodies; the impact of new or changing policies, regulation or legislation, or of judicial decisions, on our business; our ability to comply with the requirements of being a public company;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7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as well as risks and uncertainties related to: our limited operating history and history of losses since inception; our ability to increase usage of and reimbursement for the Afirma GEC and any other tests we may develop;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collaborations and co-promotion arrangements; unanticipated delays in research and development efforts; our ability to develop and commercialize new products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third parties;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ind w:right="880" w:firstLine="450"/>
        <w:spacing w:after="0" w:line="277" w:lineRule="auto"/>
        <w:rPr>
          <w:sz w:val="20"/>
          <w:szCs w:val="20"/>
          <w:color w:val="auto"/>
        </w:rPr>
      </w:pPr>
      <w:r>
        <w:rPr>
          <w:rFonts w:ascii="Arial" w:cs="Arial" w:eastAsia="Arial" w:hAnsi="Arial"/>
          <w:sz w:val="18"/>
          <w:szCs w:val="18"/>
          <w:color w:val="auto"/>
        </w:rPr>
        <w:t>Veracyte, Afirma, the Veracyte logo and the Afirma logo are our registered trademarks. We also refer to trademarks of other corporations or organizations in this report.</w:t>
      </w:r>
    </w:p>
    <w:p>
      <w:pPr>
        <w:spacing w:after="0" w:line="170" w:lineRule="exact"/>
        <w:rPr>
          <w:sz w:val="20"/>
          <w:szCs w:val="20"/>
          <w:color w:val="auto"/>
        </w:rPr>
      </w:pPr>
    </w:p>
    <w:p>
      <w:pPr>
        <w:ind w:right="80" w:firstLine="46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We are a diagnostics company pioneering the field of molecular cytology, focusing on genomic solutions that resolve diagnostic ambiguity and enable physicians to make more informed treatment decisions at an early stage of patient care. By improving preoperative diagnostic accuracy, we aim to help patients avoid unnecessary invasive procedures while reducing healthcare costs. Our first commercial solution, the Afirma Thyroid FNA Analysis, or Afirma, provides a comprehensive approach for assessing thyroid nodules, centered on the proprietary Gene Expression Classifier, or GEC, to resolve ambiguity in diagnosis. Each year over 525,000 fine needle aspiration, or FNA, biopsies are performed in the U.S. on thyroid nodules that are suspicious for cancer. Approximately 15% to 30% of FNAs analyzed using cytopathology alone yield inconclusive, or indeterminate, results. Prior to Afirma, the standard of care for patients with indeterminate cytopathology results was to surgically remove a portion or all of the thyroid to obtain an accurate diagnosis. However, between 70-80% of these nodules would be diagnosed as benign after the surgery was completed, meaning the surgeries were unnecessary. The GEC helps physicians reduce the number of unnecessary surgeries by approximately 50% by employing a proprietary 142-gene signature to preoperatively identify benign thyroid nodules among those deemed indeterminate by cytopathology alone. We have demonstrated the clinical utility and cost effectiveness of the GEC in multiple studies published in peer-reviewed journals and established the clinical validity of the GEC in a study published in </w:t>
      </w:r>
      <w:r>
        <w:rPr>
          <w:rFonts w:ascii="Arial" w:cs="Arial" w:eastAsia="Arial" w:hAnsi="Arial"/>
          <w:sz w:val="16"/>
          <w:szCs w:val="16"/>
          <w:i w:val="1"/>
          <w:iCs w:val="1"/>
          <w:color w:val="auto"/>
        </w:rPr>
        <w:t>The New England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of Medicine </w:t>
      </w:r>
      <w:r>
        <w:rPr>
          <w:rFonts w:ascii="Arial" w:cs="Arial" w:eastAsia="Arial" w:hAnsi="Arial"/>
          <w:sz w:val="16"/>
          <w:szCs w:val="16"/>
          <w:color w:val="auto"/>
        </w:rPr>
        <w:t>in 2012. We believe the GEC is the only molecular test to meet the criteria established by the National Comprehensive Cancer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for moving patients with indeterminate thyroid nodule FNA results from diagnostic surgery to routine monitoring. Since we commercially launched Afirma in January 2011, we have received nearly 115,000 FNA samples for evaluation using Afirma and performed over 20,000 GECs to resolve indeterminate cytopathology results. The Afirma GEC is covered by Medicare and major commercial payers, which collectively represent more than 135 million covered lives. Afirma is marketed and sold through a global co-promotion agreement with Genyzme Corporation, a subsidiary of Sanofi. We intend to expand our molecular cytology franchise to other clinical areas and are in product development for our first product in pulmonology.</w:t>
      </w:r>
    </w:p>
    <w:p>
      <w:pPr>
        <w:sectPr>
          <w:pgSz w:w="11900" w:h="16883" w:orient="portrait"/>
          <w:cols w:equalWidth="0" w:num="1">
            <w:col w:w="11400"/>
          </w:cols>
          <w:pgMar w:left="240" w:top="368" w:right="259" w:bottom="0" w:gutter="0" w:footer="0" w:header="0"/>
        </w:sectPr>
      </w:pPr>
    </w:p>
    <w:bookmarkStart w:id="12" w:name="page13"/>
    <w:bookmarkEnd w:id="12"/>
    <w:p>
      <w:pPr>
        <w:spacing w:after="0" w:line="4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market and sell Afirma with a sales force consisting of our own sales professionals and members of the Genzyme endocrinology sales team. In January 2012, we entered into a co-promotion agreement with Genzyme for the co-exclusive right to promote and market Afirma in the United States and in 40 countries pursuant to which we received a $10.0 million fee from Genzyme. Under the agreement, we are required to pay Genzyme a co-promotion fee that is equal to a percentage of our cash receipts from Afirma. On August 12, 2014, we signed a binding Letter of Agreement to amend the co-promotion agreement that would reduce the fee percentage and would define June 30, 2016 as the earliest date either party can terminate the agreement for convenience. The companies also agreed to renegotiate the international co-promotion rights and obligations on a country-by-country basis.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increased the list price for the GEC from $4,275 to $4,875 per test in January 2014, while the list price for routine cytopathology remained at $490 per test. We obtained Medicare coverage for the GEC effective in January 2012 and contracted reimbursement at an agreed upon rate of $3,200. In addition, we received positive coverage decisions for the GEC from UnitedHealthcare, Aetna, Humana and Cigna all in 2013, and have also received positive coverage decisions from a number of other regional payers in 2013, and in 2014 received positive coverage decisions from Emblem, HealthNet and a number of Blue Cross Blue Shield affiliated organizations including Highmark, Horizon, Premera and Wellmark. Collectively, these payers represent over 135 million covered lives. Reimbursement rates vary by payer.</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recognized revenue of $8.7 million and $16.2 million in the three and six month periods ended June 30, 2014, an increase of $3.6 million and $6.7 million, or 71%, compared to the same periods in 2013. We incurred a net loss of $6.7 million and $13.3 million for the three and six months ended June 30, 2014 compared to a net loss of $6.5 million and $13.4 million in the same periods in 2013. As of June 30, 2014, we had an accumulated deficit of $99.0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FNAs We Receive and Test</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The growth in our business is tied to the number of FNAs we receive and the rate of GEC tests performed. Approximately 93% of FNAs we receive are for the Afirma solution, which consists of cytopathology, and if the cytopathology result is indeterminate, the GEC is performed. The remaining approximate 7% of FNAs are received from centers performing cytopathology in their institution where the cytopathology result is indeterminate and we perform the GEC only. The rate at which adoption occurs in these two settings will cause these two percentages to fluctuate over time. Generally 8%-12% of the FNA samples we receive for cytopathology have insufficient cellular material from which to render a cytopathology diagnosis. We only bill the technical component, including slide preparation, for these tests. For results that are benign or suspicious/malignant by cytopathology, we bill for these services when we issue the report to the physician. If the cytopathology result is indeterminate, defined as atypia/follicular lesions of undetermined significance (AUS/FLUS) or suspicious for FN/HCN, we perform the GEC. Historically, approximately 14%-17% of samples we have received for the Afirma solution have yielded indeterminate results by cytopathology. Approximately 5%-10% of the samples for GEC testing have insufficient RNA from which to render a finding. The GEC can be reported as Benign, Suspicious or No Result. We bill for the GEC Benign and GEC Suspicious results only. After the GEC is completed, we issue the cytopathology report for the indeterminate results as well as the GEC report, and then bill for both of these tests.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Afirma</w:t>
      </w:r>
    </w:p>
    <w:p>
      <w:pPr>
        <w:spacing w:after="0" w:line="22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To date only a small number of payers have reimbursed us at full list price. Revenue growth depends on our ability to achieve broader reimbursement at increased levels from third-party payers and to expand our base of prescribing physicians. To drive increased adoption of Afirma, we have increased our internal sales force in high-volume geographies domestically during the first half of 2014 and plan to continue to do so for the remainder of 2014 and into 2015, along with increasing our marketing efforts, to accelerate Afirma growth both in the United States and internationally. Because some payers consider the GEC experimental and investigational, we may not receive payment on many tests and payments may not be at acceptable levels compared to what we have billed. We expect our revenue growth will increase as more payers make a positive coverage decision and as payers enter into contracts with us, which should enhance our collections. If we are unable to expand the base of prescribing physicians at an acceptable rate, or if we are not able to execute our strategy for increasing reimbursement, we may not be able to effectively increase our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 significant portion of our revenue is recognized when cash is received. Medicare and several small commercial payers are the only payers with agreed upon reimbursement rates or expected payments and a predictable history of collections, which allows us to recognize the related revenue on an accrual basis. Until we achieve a predictable pattern of collections and a consistent payment amount, we will recognize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66"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As of December 31, 2013, cumulative amounts billed for tests processed which were not recognized as revenue upon delivery of a patient report because our accrual revenue recognition criteria were not met and for which we have not received either notification of payment or collected cash totaled $40.9 million. Of this amount, we collected $4.8 million in the six months ended June 30, 2014.</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June 30, 2014, cumulative amounts billed for tests processed which were not recognized as revenue upon delivery of a patient report because our accrual revenue recognition criteria were not met and for which we have not received either notification of payment or collected cash totaled $64.8 million.</w:t>
      </w:r>
    </w:p>
    <w:p>
      <w:pPr>
        <w:spacing w:after="0" w:line="18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These amounts are cumulative as of the date referenced and include all amounts billed in prior periods that have not yet been paid or written off as uncollectible. It is difficult to predict future revenue from tests performed but where we have not been paid. Accordingly, we cannot provide any assurance as to when, if ever, or to what extent any of these amounts will be collected. Because we are in the early stages of commercialization of Afirma, we have had</w:t>
      </w:r>
    </w:p>
    <w:p>
      <w:pPr>
        <w:sectPr>
          <w:pgSz w:w="11900" w:h="16885" w:orient="portrait"/>
          <w:cols w:equalWidth="0" w:num="1">
            <w:col w:w="11400"/>
          </w:cols>
          <w:pgMar w:left="240" w:top="341" w:right="259" w:bottom="0" w:gutter="0" w:footer="0" w:header="0"/>
        </w:sectPr>
      </w:pPr>
    </w:p>
    <w:bookmarkStart w:id="13" w:name="page14"/>
    <w:bookmarkEnd w:id="13"/>
    <w:p>
      <w:pPr>
        <w:ind w:right="40"/>
        <w:spacing w:after="0" w:line="312" w:lineRule="auto"/>
        <w:rPr>
          <w:sz w:val="20"/>
          <w:szCs w:val="20"/>
          <w:color w:val="auto"/>
        </w:rPr>
      </w:pPr>
      <w:r>
        <w:rPr>
          <w:rFonts w:ascii="Arial" w:cs="Arial" w:eastAsia="Arial" w:hAnsi="Arial"/>
          <w:sz w:val="16"/>
          <w:szCs w:val="16"/>
          <w:color w:val="auto"/>
        </w:rPr>
        <w:t>limited payment and collection history. Notwithstanding our efforts to obtain payment for these tests, payers may deny our claims, in whole or in part, and we may never receive revenue from any previously performed but unpaid tests. Revenue from these tests, if any, may not be equal to the billed amount due to a number of factors, including differences in reimbursement rates, the amounts of patient co-payments, the existence of secondary payers and claims denials.</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for previously performed but unpaid Afirma tests will favorably impact our liquidity and results of operations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$10.0 million fee we received from Genzyme under our co-promotion agreement is being amortized over a four-year period beginning in 2012, and is recorded as a reduction of selling and marketing expenses. We amortized $1.3 million of the $10.0 million in each of the six months ended June 30, 2014 and 2013, and these offsets to expense are included in selling and marketing expense in our condensed statement of operations. The co-promotion agreement requires that we pay a certain percentage of our cash receipts to Genzyme, which percentage decreases over time. The percentage was 40% from January 2013 through February 2014, and decreased to 32% in March 2014. Our co-promotion fees were $2.7 million and $5.5 million in the three and six months ended June 30, 2014, respectively, compared to $1.8 million and $3.7 million in the same periods in 2013, and are included in selling and marketing expense in our condensed statement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August 12, 2014, we signed a binding Letter of Agreement with Genzyme to amend the co-promotion agreement. Under the amendment, the co-promotion fees Genzyme would receive as a percentage of cash receipts would be reduced from 32% to 15% beginning January 1, 2015, and the earliest either party could terminate the agreement for convenience would be June 30, 2016. We would assume more responsibilities for sales and marketing activities, and the companies also agreed to renegotiate the international co-promotion rights on a country-by-country basis. Our agreement with Genzyme expires in 2027.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rely on sales of Afirma to generate all of our revenue. In May 2014, we commercially launched our Afirma Malignancy Classifiers, which we believe will enhance our Afirma Thyroid FNA Analysis as a comprehensive way to manage thyroid nodule patients and serve our current base of prescribing physicians. We also plan to pursue development of products for additional diseases to increase and diversify our revenue. For example,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 and to develop additional products. Our success in developing new products will be important in our efforts to grow our business by expanding the potential market for our products and diversifying our sources of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Seasonal Fluctuations in FNA Volume and Collections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business is subject to fluctuations in FNA volume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Additionally, we may receive fewer FNAs in the winter months due to severe weather if patients are not able to visit their doctor’s office. Our reimbursed rates and cash collections are also subject to seasonality. Medicare normally makes downward adjustments in its fee schedules at the beginning of the year which may negatively affect our reimbursement. Additionally, patient deductibles generally reset at the beginning of each year which means that patients early in the year are responsible for a greater portion of the cost of our tests, and we have lower collection rates from individuals than from third-party payers. Later in the year, particularly in the fourth quarter, we experience improved payment results as third-party payers tend to clear pending claims toward year end. This trend historically has increased our cash collections in the fourth quarter. The effects of these seasonal fluctuations in prior periods may have been obscured by the growth of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color w:val="auto"/>
        </w:rPr>
        <w:t>We generate revenue from the sale of our Afirma solution. We generally invoice third-party payers upon delivery of a patient report to the prescribing physician. As such, we take the assignment of benefits and the risk of collection from the third-party payer and individual patients.</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For tests performed where an agreed upon reimbursement rate and/or a predictable history of collections exists, such as in the case of Medicare, we recognize revenue upon delivery of a patient report to the prescribing physician based on the established billing rate less contractual and other adjustments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w:t>
      </w:r>
    </w:p>
    <w:p>
      <w:pPr>
        <w:sectPr>
          <w:pgSz w:w="11900" w:h="16838" w:orient="portrait"/>
          <w:cols w:equalWidth="0" w:num="1">
            <w:col w:w="11420"/>
          </w:cols>
          <w:pgMar w:left="240" w:top="125" w:right="239" w:bottom="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secondary payers and claim denials. In all other situations, as we do not have sufficient history of collection and are not able to determine a predictable pattern of payment, we recognize revenue upon the earlier of receipt of third-party payer notification of payment or when cash is received. Upon ultimate collection, the amount received from Medicare and commercial payers with a predictable pattern of payment is compared to previous estimates and the contractual allowance is adjusted accordingly. Our ability to increase our revenue will depend on our ability to penetrate the market, obtain positive coverage policies from additional third-party payers, obtain reimbursement and/or enter into contracts with additional third-party payers, and increase reimbursement rates for tests performed. Finally, should we recognize revenue from payers on an accrual basis and later determine the expected payments, collectability or other judgments underlying our decision to accrue revenue or the accrued amounts change, our financial results could be negatively impacted in future quarters.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 and evaluating various platforms. We expect that in the next 12 months the increase in research and development expenses will be for the continued development and support of Afirma and other new products and programs under development, including our lung program. Specifically, we plan to increase the body of clinical and pharmacoeconomic evidence to support inclusion in additional clinical practice guidelines in order to expand our base of prescribing physicians and achieve broader reimbursement for Afirma. In our lung program, we expect to incur expenses related to the collection of prospective samples and costs associated with advancing the program into product development.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On August 12, 2014, we signed a binding Letter of Agreement to amend the Genzyme co-promotion agreement. Under the amendment, the co-promotion fees Genzyme would receive as a percentage of US cash receipts would be reduced from 32% to 15% beginning January 1, 2015, and the earliest either party could terminate the agreement would be June 30, 2016. We expect our selling and marketing expenses to increase over the next six months primarily driven by increases in personnel costs as we anticipate taking on more sales and marketing responsibilities under the amended agreement. In 2015, we expect our selling and marketing expenses will level off as continued increases in personnel expenses and direct marketing and promotion spend are offset by the rate reduction in the amended co-promotion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We expect to incur additional expenses over the next 12 months as a result of operating as a public company, including expenses related to compliance with the rules and regulations of the Securities and Exchange Commission and The NASDAQ Stock Market, additional insurance expenses, investor relations activities and other administrative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and professional services. We also expect our general and administration expenses will increase in absolute dollars over the next 12 months as we expand our billing group to support anticipated increased demand for our tests, we hire more personnel in accounting and finance, and we incur increasing expenses related to the documentation of our internal controls in connection with Section 404 of the Sarbanes-Oxley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is from interest on our cash equivalents, and interest received from payers.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attributable to our borrowings under the loan agreement entered into in June 2013.</w:t>
      </w:r>
    </w:p>
    <w:p>
      <w:pPr>
        <w:sectPr>
          <w:pgSz w:w="11900" w:h="16838" w:orient="portrait"/>
          <w:cols w:equalWidth="0" w:num="1">
            <w:col w:w="11400"/>
          </w:cols>
          <w:pgMar w:left="240" w:top="125" w:right="25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Other income (expense), net is related primarily to the change in value of the preferred stock liability associated with our obligation to issue additional shares of Series C convertible preferred stock. In November 2012, we entered into a tranched Series C convertible preferred stock purchase agreement. In connection with the initial closing, we agreed to issue to the purchasers, and the purchasers agreed to purchase, additional shares of the Series C convertible preferred stock within a specified timeframe. We determined that the liability to issue additional Series C convertible preferred stock at a future date was a freestanding instrument that should be accounted for as a liability. Accordingly, we recorded a liability related to this instrument at the time of the initial close in November 2012, and we remeasured the liability at each reporting period with the corresponding gain or loss from the adjustment recorded as other income (expense), net through the issuance of the final Series C tranche in June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unaudited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revenue is generated from the provision of diagnostic services using the Afirma solution. Our service is completed upon the delivery of test results to the prescribing physician which triggers the billing for the service. We recognize revenue related to billings for Medicare and commercial payers on an accrual basis, net of contractual adjustments, when there is an agreement or a predictable pattern of collectability. Until a contract or agreement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us.</w:t>
      </w:r>
    </w:p>
    <w:p>
      <w:pPr>
        <w:spacing w:after="0" w:line="19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For all services performed, we consider whether or not the following revenue recognition criteria are met: persuasive evidence of an arrangement exists; delivery has occurred or services have been rendered; the fee is fixed or determinable; and collectability is reasonably assured.</w:t>
      </w:r>
    </w:p>
    <w:p>
      <w:pPr>
        <w:spacing w:after="0" w:line="14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a contracted reimbursement rate and/or a predictable pattern of collectability with individual third-party payers and accordingly, we recognize revenue upon delivery of the patient report. Some patients have out-of-pocket costs for amounts not covered by their insurance carrier, and we may bill the patient directly for these amounts in the form of co-payments and co-insurance in accordance with their insurance carrier and health plans. Some payers may not cover the GEC as ordered by the prescribing physician under their reimbursement policies. We pursue reimbursement from such patients on a case-by-case basis.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the absence of contracted reimbursement coverage or a predictable pattern and history of collectability, we believe that the fee is fixed or determinable and collectability is reasonably assured only upon receipt of third-party payer notification of payment or when cash is received and accordingly, recognize revenue at that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estimate an allowance for doubtful accounts against our individual accounts receivable based on estimates of expected payment consistent with historical payment experience. Our allowance for doubtful accounts is evaluated on a regular basis and adjusted when trends or significant events indicate that a change in estimate is appropriate. Historically, the amounts of uncollectible individual accounts receivable that have been written off have been consistent with management’s expectations. Accounts receivable are written off against the allowance when the appeals process is exhausted or when there is other substantive evidence that the account will not be paid. If the financial conditions of our customers were to deteriorate resulting in an impairment of their ability to make payments, additional allowances may be required.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account for derivative financial instruments as either equity or liabilities based upon the characteristics and provisions of each instrument. We recorded the preferred stock liability incurred in connection with our Series C convertible preferred stock and the preferred stock warrant liability related to the issuance of a warrant for Series C convertible preferred stock, each as a derivative financial instrument liability at their fair value on the date of issuance, and we remeasured them on each subsequent balance sheet date. The changes in fair value were recognized as a gain or loss from the adjustment to other income (expense), net in the statements of operations and comprehensive loss. We estimated the fair value of this liability using option-pricing models that include assumptions for future financings, expected volatility, expected life, yield and risk-free interest rate. The preferred stock liability was extinguished in 2013. The warrant to purchase Series C convertible preferred stock was converted into a warrant to purchase our common stock as of the close of our initial public offering and was exercised through a cashless exercise in March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file U.S. federal income tax returns and tax returns in California, Texas and other states. To date, we have not been audited by the Internal Revenue Service or any state income tax authority.</w:t>
      </w:r>
    </w:p>
    <w:p>
      <w:pPr>
        <w:sectPr>
          <w:pgSz w:w="11900" w:h="16838" w:orient="portrait"/>
          <w:cols w:equalWidth="0" w:num="1">
            <w:col w:w="11400"/>
          </w:cols>
          <w:pgMar w:left="240" w:top="125" w:right="259" w:bottom="45" w:gutter="0" w:footer="0" w:header="0"/>
        </w:sectPr>
      </w:pPr>
    </w:p>
    <w:bookmarkStart w:id="16" w:name="page17"/>
    <w:bookmarkEnd w:id="16"/>
    <w:p>
      <w:pPr>
        <w:ind w:firstLine="648"/>
        <w:spacing w:after="0" w:line="279" w:lineRule="auto"/>
        <w:rPr>
          <w:sz w:val="20"/>
          <w:szCs w:val="20"/>
          <w:color w:val="auto"/>
        </w:rPr>
      </w:pPr>
      <w:r>
        <w:rPr>
          <w:rFonts w:ascii="Arial" w:cs="Arial" w:eastAsia="Arial" w:hAnsi="Arial"/>
          <w:sz w:val="17"/>
          <w:szCs w:val="17"/>
          <w:color w:val="auto"/>
        </w:rPr>
        <w:t>As of December 31, 2013, our gross deferred tax assets were $32.8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7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2013 and June 30, 2014. We will continue to maintain a full valuation allowance on our deferred tax assets until there is sufficient evidence to support the reversal of all or some portion of this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recognize stock-based compensation cost for those shares underlying stock options that we expect to vest on a straight-line basis over the requisite service period of the award. We estimate the fair value of stock options using a Black-Scholes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2014 and 2013 (in thousands except FNA data) is as follows:</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10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June 30,</w:t>
            </w:r>
          </w:p>
        </w:tc>
        <w:tc>
          <w:tcPr>
            <w:tcW w:w="900" w:type="dxa"/>
            <w:vAlign w:val="bottom"/>
          </w:tcPr>
          <w:p>
            <w:pPr>
              <w:jc w:val="right"/>
              <w:ind w:right="293"/>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June 30,</w:t>
            </w:r>
          </w:p>
        </w:tc>
        <w:tc>
          <w:tcPr>
            <w:tcW w:w="1020" w:type="dxa"/>
            <w:vAlign w:val="bottom"/>
          </w:tcPr>
          <w:p>
            <w:pPr>
              <w:jc w:val="right"/>
              <w:ind w:right="353"/>
              <w:spacing w:after="0" w:line="119"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0"/>
                <w:szCs w:val="10"/>
                <w:color w:val="auto"/>
              </w:rPr>
            </w:pPr>
          </w:p>
        </w:tc>
      </w:tr>
      <w:tr>
        <w:trPr>
          <w:trHeight w:val="171"/>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Change</w:t>
            </w: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 Data:</w:t>
            </w: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5,068</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16,153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9,452</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196"/>
        </w:trPr>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3,966</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3,231</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6,004</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1,902</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5,101</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2,615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5,318</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2,737</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10"/>
        </w:trPr>
        <w:tc>
          <w:tcPr>
            <w:tcW w:w="3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15,238</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45%</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20,762</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22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(1,068)</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(2,070)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50"/>
        </w:trPr>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(6,655)</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(6,490)</w:t>
            </w:r>
          </w:p>
        </w:tc>
        <w:tc>
          <w:tcPr>
            <w:tcW w:w="24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(13,385)</w:t>
            </w:r>
          </w:p>
        </w:tc>
        <w:tc>
          <w:tcPr>
            <w:tcW w:w="220" w:type="dxa"/>
            <w:vAlign w:val="bottom"/>
            <w:tcBorders>
              <w:bottom w:val="single" w:sz="8" w:color="CCEEFF"/>
            </w:tcBorders>
            <w:gridSpan w:val="2"/>
          </w:tcPr>
          <w:p>
            <w:pPr>
              <w:spacing w:after="0"/>
              <w:rPr>
                <w:sz w:val="21"/>
                <w:szCs w:val="21"/>
                <w:color w:val="auto"/>
              </w:rPr>
            </w:pPr>
          </w:p>
        </w:tc>
        <w:tc>
          <w:tcPr>
            <w:tcW w:w="10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170"/>
        </w:trPr>
        <w:tc>
          <w:tcPr>
            <w:tcW w:w="30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Other Operating Data:</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FNAs received</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16,458</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12,424</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30,831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23,181</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0"/>
        </w:trPr>
        <w:tc>
          <w:tcPr>
            <w:tcW w:w="3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Revenue increased $3.6 million and $6.7 million, or 71%, in each of the three and six months ended June 30, 2014 compared to the same periods in 2013, primarily as a result of increased collections which resulted from higher reimbursement rates by payers as well as from increased adoption of Afirma.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Cost of revenue increased $0.7 million and $1.6 million, or 23% and 26%, for the three and six months ended June 30, 2014, respectively, compared to the same periods in 2013. These increases were primarily due to 26% and 29% increases in variable costs in the three and six months ended June 30, 2014 and 2013, respectively, compared with the same periods in 2013, consistent with the increase in the number of FNAs received, offset in part by continuing refinements in our testing process and economies of scale related to the increase in FNAs processed. FNAs received increased by 4,034 and 7,650, or 32% and 33%, to 16,458 and 30,831 in the three and six months ended June 30, 2014 compared to the same periods in 2013, respectively.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2014 and 2013 (in thousands) is as follows:</w:t>
      </w:r>
    </w:p>
    <w:p>
      <w:pPr>
        <w:spacing w:after="0" w:line="217" w:lineRule="exact"/>
        <w:rPr>
          <w:sz w:val="20"/>
          <w:szCs w:val="20"/>
          <w:color w:val="auto"/>
        </w:rPr>
      </w:pPr>
    </w:p>
    <w:tbl>
      <w:tblPr>
        <w:tblLayout w:type="fixed"/>
        <w:tblInd w:w="3920" w:type="dxa"/>
        <w:tblCellMar>
          <w:top w:w="0" w:type="dxa"/>
          <w:left w:w="0" w:type="dxa"/>
          <w:bottom w:w="0" w:type="dxa"/>
          <w:right w:w="0" w:type="dxa"/>
        </w:tblCellMar>
      </w:tblPr>
      <w:tr>
        <w:trPr>
          <w:trHeight w:val="171"/>
        </w:trPr>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Borders>
              <w:bottom w:val="single" w:sz="8" w:color="auto"/>
            </w:tcBorders>
          </w:tcPr>
          <w:p>
            <w:pPr>
              <w:spacing w:after="0"/>
              <w:rPr>
                <w:sz w:val="14"/>
                <w:szCs w:val="14"/>
                <w:color w:val="auto"/>
              </w:rPr>
            </w:pPr>
          </w:p>
        </w:tc>
      </w:tr>
      <w:tr>
        <w:trPr>
          <w:trHeight w:val="119"/>
        </w:trPr>
        <w:tc>
          <w:tcPr>
            <w:tcW w:w="880" w:type="dxa"/>
            <w:vAlign w:val="bottom"/>
          </w:tcPr>
          <w:p>
            <w:pPr>
              <w:jc w:val="center"/>
              <w:ind w:left="51"/>
              <w:spacing w:after="0" w:line="119" w:lineRule="exact"/>
              <w:rPr>
                <w:sz w:val="20"/>
                <w:szCs w:val="20"/>
                <w:color w:val="auto"/>
              </w:rPr>
            </w:pPr>
            <w:r>
              <w:rPr>
                <w:rFonts w:ascii="Arial" w:cs="Arial" w:eastAsia="Arial" w:hAnsi="Arial"/>
                <w:sz w:val="13"/>
                <w:szCs w:val="13"/>
                <w:b w:val="1"/>
                <w:bCs w:val="1"/>
                <w:color w:val="auto"/>
                <w:w w:val="99"/>
              </w:rPr>
              <w:t>June 30,</w:t>
            </w:r>
          </w:p>
        </w:tc>
        <w:tc>
          <w:tcPr>
            <w:tcW w:w="1620" w:type="dxa"/>
            <w:vAlign w:val="bottom"/>
          </w:tcPr>
          <w:p>
            <w:pPr>
              <w:jc w:val="center"/>
              <w:ind w:left="30"/>
              <w:spacing w:after="0" w:line="119" w:lineRule="exact"/>
              <w:rPr>
                <w:sz w:val="20"/>
                <w:szCs w:val="20"/>
                <w:color w:val="auto"/>
              </w:rPr>
            </w:pPr>
            <w:r>
              <w:rPr>
                <w:rFonts w:ascii="Arial" w:cs="Arial" w:eastAsia="Arial" w:hAnsi="Arial"/>
                <w:sz w:val="13"/>
                <w:szCs w:val="13"/>
                <w:b w:val="1"/>
                <w:bCs w:val="1"/>
                <w:color w:val="auto"/>
                <w:w w:val="99"/>
              </w:rPr>
              <w:t>June 30,</w:t>
            </w:r>
          </w:p>
        </w:tc>
        <w:tc>
          <w:tcPr>
            <w:tcW w:w="840" w:type="dxa"/>
            <w:vAlign w:val="bottom"/>
          </w:tcPr>
          <w:p>
            <w:pPr>
              <w:jc w:val="right"/>
              <w:ind w:right="291"/>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40" w:type="dxa"/>
            <w:vAlign w:val="bottom"/>
          </w:tcPr>
          <w:p>
            <w:pPr>
              <w:jc w:val="center"/>
              <w:ind w:left="11"/>
              <w:spacing w:after="0" w:line="119" w:lineRule="exact"/>
              <w:rPr>
                <w:sz w:val="20"/>
                <w:szCs w:val="20"/>
                <w:color w:val="auto"/>
              </w:rPr>
            </w:pPr>
            <w:r>
              <w:rPr>
                <w:rFonts w:ascii="Arial" w:cs="Arial" w:eastAsia="Arial" w:hAnsi="Arial"/>
                <w:sz w:val="13"/>
                <w:szCs w:val="13"/>
                <w:b w:val="1"/>
                <w:bCs w:val="1"/>
                <w:color w:val="auto"/>
                <w:w w:val="96"/>
              </w:rPr>
              <w:t>June 30,</w:t>
            </w:r>
          </w:p>
        </w:tc>
        <w:tc>
          <w:tcPr>
            <w:tcW w:w="1540" w:type="dxa"/>
            <w:vAlign w:val="bottom"/>
          </w:tcPr>
          <w:p>
            <w:pPr>
              <w:jc w:val="center"/>
              <w:ind w:left="50"/>
              <w:spacing w:after="0" w:line="119" w:lineRule="exact"/>
              <w:rPr>
                <w:sz w:val="20"/>
                <w:szCs w:val="20"/>
                <w:color w:val="auto"/>
              </w:rPr>
            </w:pPr>
            <w:r>
              <w:rPr>
                <w:rFonts w:ascii="Arial" w:cs="Arial" w:eastAsia="Arial" w:hAnsi="Arial"/>
                <w:sz w:val="13"/>
                <w:szCs w:val="13"/>
                <w:b w:val="1"/>
                <w:bCs w:val="1"/>
                <w:color w:val="auto"/>
                <w:w w:val="96"/>
              </w:rPr>
              <w:t>June 30,</w:t>
            </w:r>
          </w:p>
        </w:tc>
        <w:tc>
          <w:tcPr>
            <w:tcW w:w="900" w:type="dxa"/>
            <w:vAlign w:val="bottom"/>
          </w:tcPr>
          <w:p>
            <w:pPr>
              <w:jc w:val="right"/>
              <w:ind w:right="311"/>
              <w:spacing w:after="0" w:line="119" w:lineRule="exact"/>
              <w:rPr>
                <w:sz w:val="20"/>
                <w:szCs w:val="20"/>
                <w:color w:val="auto"/>
              </w:rPr>
            </w:pPr>
            <w:r>
              <w:rPr>
                <w:rFonts w:ascii="Arial" w:cs="Arial" w:eastAsia="Arial" w:hAnsi="Arial"/>
                <w:sz w:val="13"/>
                <w:szCs w:val="13"/>
                <w:b w:val="1"/>
                <w:bCs w:val="1"/>
                <w:color w:val="auto"/>
              </w:rPr>
              <w:t>%</w:t>
            </w:r>
          </w:p>
        </w:tc>
      </w:tr>
      <w:tr>
        <w:trPr>
          <w:trHeight w:val="173"/>
        </w:trPr>
        <w:tc>
          <w:tcPr>
            <w:tcW w:w="8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620" w:type="dxa"/>
            <w:vAlign w:val="bottom"/>
          </w:tcPr>
          <w:p>
            <w:pPr>
              <w:jc w:val="right"/>
              <w:ind w:right="550"/>
              <w:spacing w:after="0"/>
              <w:rPr>
                <w:sz w:val="20"/>
                <w:szCs w:val="20"/>
                <w:color w:val="auto"/>
              </w:rPr>
            </w:pPr>
            <w:r>
              <w:rPr>
                <w:rFonts w:ascii="Arial" w:cs="Arial" w:eastAsia="Arial" w:hAnsi="Arial"/>
                <w:sz w:val="14"/>
                <w:szCs w:val="14"/>
                <w:b w:val="1"/>
                <w:bCs w:val="1"/>
                <w:color w:val="auto"/>
              </w:rPr>
              <w:t>2013</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540" w:type="dxa"/>
            <w:vAlign w:val="bottom"/>
          </w:tcPr>
          <w:p>
            <w:pPr>
              <w:jc w:val="right"/>
              <w:ind w:right="490"/>
              <w:spacing w:after="0"/>
              <w:rPr>
                <w:sz w:val="20"/>
                <w:szCs w:val="20"/>
                <w:color w:val="auto"/>
              </w:rPr>
            </w:pPr>
            <w:r>
              <w:rPr>
                <w:rFonts w:ascii="Arial" w:cs="Arial" w:eastAsia="Arial" w:hAnsi="Arial"/>
                <w:sz w:val="14"/>
                <w:szCs w:val="14"/>
                <w:b w:val="1"/>
                <w:bCs w:val="1"/>
                <w:color w:val="auto"/>
              </w:rPr>
              <w:t>2013</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ind w:left="460"/>
        <w:spacing w:after="0"/>
        <w:rPr>
          <w:sz w:val="20"/>
          <w:szCs w:val="20"/>
          <w:color w:val="auto"/>
        </w:rPr>
      </w:pPr>
      <w:r>
        <w:rPr>
          <w:rFonts w:ascii="Arial" w:cs="Arial" w:eastAsia="Arial" w:hAnsi="Arial"/>
          <w:sz w:val="15"/>
          <w:szCs w:val="15"/>
          <w:color w:val="auto"/>
        </w:rPr>
        <w:t>Research and development expense :</w:t>
      </w:r>
    </w:p>
    <w:p>
      <w:pPr>
        <w:sectPr>
          <w:pgSz w:w="11900" w:h="16838" w:orient="portrait"/>
          <w:cols w:equalWidth="0" w:num="1">
            <w:col w:w="11380"/>
          </w:cols>
          <w:pgMar w:left="240" w:top="125" w:right="279" w:bottom="0" w:gutter="0" w:footer="0" w:header="0"/>
          <w:type w:val="continuous"/>
        </w:sectPr>
      </w:pPr>
    </w:p>
    <w:bookmarkStart w:id="17" w:name="page18"/>
    <w:bookmarkEnd w:id="17"/>
    <w:tbl>
      <w:tblPr>
        <w:tblLayout w:type="fixed"/>
        <w:tblInd w:w="460" w:type="dxa"/>
        <w:tblCellMar>
          <w:top w:w="0" w:type="dxa"/>
          <w:left w:w="0" w:type="dxa"/>
          <w:bottom w:w="0" w:type="dxa"/>
          <w:right w:w="0" w:type="dxa"/>
        </w:tblCellMar>
      </w:tblP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7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989</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957</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2,066</w:t>
            </w:r>
          </w:p>
        </w:tc>
        <w:tc>
          <w:tcPr>
            <w:tcW w:w="200" w:type="dxa"/>
            <w:vAlign w:val="bottom"/>
          </w:tcPr>
          <w:p>
            <w:pPr>
              <w:spacing w:after="0"/>
              <w:rPr>
                <w:sz w:val="20"/>
                <w:szCs w:val="20"/>
                <w:color w:val="auto"/>
              </w:rPr>
            </w:pP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1,904</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Stock-based compensation expense</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Direct R&amp;D expense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1,144</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3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10"/>
        </w:trPr>
        <w:tc>
          <w:tcPr>
            <w:tcW w:w="310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0"/>
        </w:trPr>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Research and development expense increased $341,000 and $457,000, or 18% and 12%, in each of the three and six months ended June 30, 2014 compared to the same periods in 2013, respectively. Personnel and stock-based compensation expense increases of $129,000 and $321,000 were primarily due to increases in headcount in the three and six months ended June 30, 2014 as compared to the same periods in 2013. Direct R&amp;D expenses increased $167,000 and $69,000 in the three and six months ended June 30, 2014 as compared to the same periods in 2013 due primarily to the timing of continued genome sequencing expenses and other laboratory expenses. Other expenses increased $45,000 and $67,000, or 12% and 9%, in the three and six months ended June 30, 2014 as compared to the same periods in 2013 due primarily to an increase in recruiting fees.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2014 and 2013 (in thousands) is as follows: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ind w:right="177"/>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June 30,</w:t>
            </w:r>
          </w:p>
        </w:tc>
        <w:tc>
          <w:tcPr>
            <w:tcW w:w="860" w:type="dxa"/>
            <w:vAlign w:val="bottom"/>
          </w:tcPr>
          <w:p>
            <w:pPr>
              <w:jc w:val="right"/>
              <w:ind w:right="275"/>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June 30,</w:t>
            </w:r>
          </w:p>
        </w:tc>
        <w:tc>
          <w:tcPr>
            <w:tcW w:w="1120" w:type="dxa"/>
            <w:vAlign w:val="bottom"/>
            <w:gridSpan w:val="2"/>
          </w:tcPr>
          <w:p>
            <w:pPr>
              <w:jc w:val="right"/>
              <w:ind w:right="308"/>
              <w:spacing w:after="0" w:line="11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r>
      <w:tr>
        <w:trPr>
          <w:trHeight w:val="171"/>
        </w:trPr>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95"/>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r>
      <w:tr>
        <w:trPr>
          <w:trHeight w:val="196"/>
        </w:trPr>
        <w:tc>
          <w:tcPr>
            <w:tcW w:w="3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Selling and marketing expense:</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color w:val="auto"/>
                <w:w w:val="99"/>
              </w:rPr>
              <w:t>Genzyme co-promotion expense, net</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2,077</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related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r>
      <w:tr>
        <w:trPr>
          <w:trHeight w:val="216"/>
        </w:trPr>
        <w:tc>
          <w:tcPr>
            <w:tcW w:w="31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3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8"/>
                <w:szCs w:val="18"/>
                <w:color w:val="auto"/>
              </w:rPr>
            </w:pPr>
          </w:p>
        </w:tc>
      </w:tr>
      <w:tr>
        <w:trPr>
          <w:trHeight w:val="210"/>
        </w:trPr>
        <w:tc>
          <w:tcPr>
            <w:tcW w:w="3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Selling and marketing expense increased $2.5 million and $4.1 million, or 95% or 77%, for the three and six months ended June 30, 2014 compared to the same periods in 2013, respectively. Genzyme net co-promotion expenses increased $885,000 and $1.8 million primarily due to increases in fees associated with the Genzyme co-promotion agreement consistent with increases in cash related revenues and collections. Personnel and stock-based compensation expense increases of $1.1 million and $1.7 million were primarily due to increases in headcount in the three and six months ended June 30, 2014 as compared to the same periods in 2013, respectively, as we expanded our sales force. Direct marketing costs increased $225,000 and $230,000 in the three and six months ended June 30, 2014 as compared to the same periods in 2013, respectively, due primarily to increases in our marketing supplies and promotion spend. Other expenses increased $244,000 and $418,000 primarily due to an increase in information technology and facilities expenses that were allocated from general and administrative to selling and marketing expense.</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2014 and 2013 (in thousands) is as follows: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Six Months Ended</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3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June 30,</w:t>
            </w:r>
          </w:p>
        </w:tc>
        <w:tc>
          <w:tcPr>
            <w:tcW w:w="940" w:type="dxa"/>
            <w:vAlign w:val="bottom"/>
            <w:gridSpan w:val="2"/>
          </w:tcPr>
          <w:p>
            <w:pPr>
              <w:jc w:val="right"/>
              <w:ind w:right="21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June 30,</w:t>
            </w:r>
          </w:p>
        </w:tc>
        <w:tc>
          <w:tcPr>
            <w:tcW w:w="1100" w:type="dxa"/>
            <w:vAlign w:val="bottom"/>
            <w:gridSpan w:val="2"/>
          </w:tcPr>
          <w:p>
            <w:pPr>
              <w:jc w:val="right"/>
              <w:ind w:right="308"/>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r>
      <w:tr>
        <w:trPr>
          <w:trHeight w:val="171"/>
        </w:trPr>
        <w:tc>
          <w:tcPr>
            <w:tcW w:w="3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95"/>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720" w:type="dxa"/>
            <w:vAlign w:val="bottom"/>
          </w:tcPr>
          <w:p>
            <w:pPr>
              <w:jc w:val="right"/>
              <w:ind w:right="39"/>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r>
      <w:tr>
        <w:trPr>
          <w:trHeight w:val="196"/>
        </w:trPr>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General and administrative expense:</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3,808</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Stock-based compensation expense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Professional fees expense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and other facilities expense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r>
      <w:tr>
        <w:trPr>
          <w:trHeight w:val="216"/>
        </w:trPr>
        <w:tc>
          <w:tcPr>
            <w:tcW w:w="3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tcPr>
          <w:p>
            <w:pPr>
              <w:spacing w:after="0"/>
              <w:rPr>
                <w:sz w:val="18"/>
                <w:szCs w:val="18"/>
                <w:color w:val="auto"/>
              </w:rPr>
            </w:pPr>
          </w:p>
        </w:tc>
      </w:tr>
      <w:tr>
        <w:trPr>
          <w:trHeight w:val="210"/>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General and administrative expense increased $1.2 million and $2.4 million, or 44% and 43%, for the three and six months ended June 30, 2014 compared to the same periods in 2013, respectively. Personnel and stock-based compensation expense increases of $695,000 and $1.2 million were primarily due to increases in headcount in the three and six months ended June 30, 2014 as compared to the same periods in 2013. Professional fees and insurance expenses increased $355,000 and $1.1 million due to higher costs associated with operating as a public company. Other general and administrative expenses increased $141,000 and $177,000 due primarily to increases in consulting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Interest expense incurred under our loan and security agreement was $113,000 and $224,000 for the three and six months ended June 30, 2014 compared with $5,000 in each of the same periods in 2013, respectively. The debt agreement was entered into late June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Other income (expense), net, increased $1.1 million and $2.1 million from net other expenses of $1.1 million and $2.1 million for the three and six months ended June 30, 2013, respectively, to net other income of $18,000 and $30,000 for the three and six months ended June 30, 2014, respectively. The $18,000 and $30,000 of net other income in the three and six months ended June 30, 2014, respectively, consisted of sublease rental income and interest income, offset by debt financing costs. The $1.1 million and $2.1 million of net other expense in the three and six months ended June 30, 2013, respectively, consisted of a $1.1 million and $2.1 million increase in the fair value of the preferred stock liability in the three and six months ended June 30, 2013, respectively, related to our Series C convertible preferred stock. The preferred stock liability was extinguished in June 2013.</w:t>
      </w:r>
    </w:p>
    <w:p>
      <w:pPr>
        <w:sectPr>
          <w:pgSz w:w="11900" w:h="16838" w:orient="portrait"/>
          <w:cols w:equalWidth="0" w:num="1">
            <w:col w:w="11320"/>
          </w:cols>
          <w:pgMar w:left="240" w:top="125" w:right="33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have incurred net losses since inception. For the six months ended June 30, 2014, and the year ended December 31, 2013, we had a net loss of $13.3 million and $25.6 million, respectively, and we expect to incur additional losses in 2014 and in future years. As of June 30, 2014, we had an accumulated deficit of $99.0 million. To date, we have generated only limited revenue, and we may never achieve revenue sufficient to offset our expenses. As of June 30, 2014, we had $58.0 million in cash and cash equivalents. We believe our existing cash and cash equivalents as of June 30, 2014 and our revenue from the sale of Afirma will be sufficient to meet our anticipated cash requirements for at least the next 12 months.</w:t>
      </w:r>
    </w:p>
    <w:p>
      <w:pPr>
        <w:spacing w:after="0" w:line="173"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Since inception, we have received $153.7 million in net proceeds from various sources with which to finance our operations, including net proceeds of $78.6 million from sales of our preferred stock, net proceeds of $59.2 million from our IPO, $10.0 million from the Genzyme co-promotion agreement, net borrowings of $4.9 million under our loan and security agreement, and $1.0 million from the exercise of stock options.</w:t>
      </w:r>
    </w:p>
    <w:p>
      <w:pPr>
        <w:spacing w:after="0" w:line="166"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 June 2013, we entered into a loan and security agreement with a financial institution. This agreement provides for term loans of up to an aggregate of $10.0 million. On entering into the agreement, we drew down an initial $5.0 million term loan. We opted not to draw the remaining $5.0 million and the option to do so expired in March 2014. Amounts drawn under the loan and security agreement were used for working capital and general corporate purposes.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term loan bears interest at a fixed rate equal to 6.06%. We are required to repay any outstanding principal amounts in 30 equal monthly installments beginning 18 months after the date of the borrowing. On the date of our final principal payment, we must also pay an end-of-term payment equal to 4.45% of the amount borrowed. We may, at our option, prepay the term loan borrowings by paying the lender a prepayment premium.</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agreement also allows the lender to call the debt in the event there is a material adverse change in our business or financial condition. There are no financial covenants in the loan and security agreement.</w:t>
      </w:r>
    </w:p>
    <w:p>
      <w:pPr>
        <w:spacing w:after="0" w:line="19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connection with the draw-down of the $5.0 million term loan under the loan and security agreement, we issued the lender a warrant to purchase 24,801 shares of our common stock upon completion of the IPO. The lender exercised the warrant through a cashless exercise in March 2014, resulting in the issuance of 13,739 shares of common stock at an exercise price of $7.56 per share.</w:t>
      </w:r>
    </w:p>
    <w:p>
      <w:pPr>
        <w:spacing w:after="0" w:line="18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Our primary uses of cash are to fund our operations as we continue to grow our business. We expect to continue to incur operating losses in the near term as our operating expenses will be increased to support the growth of our business. We expect that our research and development will continue to increase as we expand our research and development efforts with respect to our lung program, and as we further develop our product pipeline. We expect our general and administrative expenses will also continue to increase; and as we manage increases in billing and cash collection transactional volumes and as we absorb the costs of being a public company. On August 12, 2014, we signed a binding Letter of Agreement with Genzyme to amend the co-promotion agreement. Under such amendment, we expect our selling and marketing expenses to increase over the next six months primarily driven by increases in personnel costs as we anticipate taking on more sales and marketing responsibilities under any such amended co-promotion agreement with Genzyme. In 2015, we expect our selling and marketing expenses would level off as continued increases in personnel expenses and direct marketing and promotion spend would be offset by the rate reduction set forth in the Letter of Agreement to amend the co-promotion agreement. Cash used to fund operating expenses is impacted by the timing of when we pay expenses, as reflected in the change in our outstanding accounts payable and accrued expenses.</w:t>
      </w:r>
    </w:p>
    <w:p>
      <w:pPr>
        <w:spacing w:after="0" w:line="16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expect that our near- and longer-term liquidity requirements will continue to consist of selling and marketing expenses, research and development expenses, working capital, and general corporate expenses associated with the growth of our business. Based on our current business plan, we believe our existing cash and cash equivalents as of June 30, 2014 and our revenue from the sale of Afirma will be sufficient to meet our anticipated cash requirements for at least the next 12 months.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may result. Any equity securities issued may also provide for rights, preferences or privileges senior to those of holders of our common stock. If we raise funds by issuing debt securities, these debt securities would have rights, preferences and privileges senior to those of holders of our common stock. The terms of debt securities or borrowings could impose significant restrictions on our operations. If we raise funds through collaborations and licensing arrangements, we might be required to relinquish significant rights to our technologies or products, or grant licenses on terms that are not favorable to us. The credit market and financial services industry have in the past, and may in the future, experience periods of upheaval that could impact the availability and cost of equity and debt financing. If we are not able to secure additional funding when needed, on acceptable terms, we may have to delay, reduce the scope of or eliminate one or more research and development programs or selling and marketing initiatives. In addition, we may have to work with a partner on one or more of our product or market development programs, which could lower the economic value of those programs to us.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six months ended June 30, 2014 and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Six Months Ended June 30,</w:t>
            </w:r>
          </w:p>
        </w:tc>
        <w:tc>
          <w:tcPr>
            <w:tcW w:w="180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19"/>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2"/>
          </w:tcPr>
          <w:p>
            <w:pPr>
              <w:jc w:val="center"/>
              <w:ind w:left="539"/>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216"/>
        </w:trPr>
        <w:tc>
          <w:tcPr>
            <w:tcW w:w="13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(12,664)</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(10,623)</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(904)</w:t>
            </w: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(891)</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346</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18,195</w:t>
            </w:r>
          </w:p>
        </w:tc>
        <w:tc>
          <w:tcPr>
            <w:tcW w:w="180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40" w:type="dxa"/>
            <w:vAlign w:val="bottom"/>
          </w:tcPr>
          <w:p>
            <w:pPr>
              <w:jc w:val="right"/>
              <w:ind w:right="65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50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1" w:right="199" w:bottom="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Cash used in operating activities for the six months ended June 30, 2014 was $12.7 million. The net loss of $13.3 million reflects non-cash charges of $1.3 million in amortization of the deferred fee received from Genzyme, offset primarily by $1.4 million of stock-based compensation expense,</w:t>
      </w:r>
    </w:p>
    <w:p>
      <w:pPr>
        <w:ind w:right="220"/>
        <w:spacing w:after="0" w:line="302" w:lineRule="auto"/>
        <w:rPr>
          <w:sz w:val="20"/>
          <w:szCs w:val="20"/>
          <w:color w:val="auto"/>
        </w:rPr>
      </w:pPr>
      <w:r>
        <w:rPr>
          <w:rFonts w:ascii="Arial" w:cs="Arial" w:eastAsia="Arial" w:hAnsi="Arial"/>
          <w:sz w:val="16"/>
          <w:szCs w:val="16"/>
          <w:color w:val="auto"/>
        </w:rPr>
        <w:t>$0.6 million of depreciation and amortization, and $0.1 million in debt interest and deferred financing costs amortization and debt balloon interest expense. The increase in net operating assets of $0.2 million was primarily due to a $1.0 million net increase in supplies inventory and accounts receivable due to increases in Afirma adoption, offset by a $0.8 million net increase in accounts payable and accrued liabilities resulting from the timing of payments.</w:t>
      </w:r>
    </w:p>
    <w:p>
      <w:pPr>
        <w:spacing w:after="0" w:line="15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Cash used in operating activities for the six months ended June 30, 2013 was $10.6 million. The net loss of $13.4 million reflects non-cash charges of $2.1 million for the change in the value of the preferred stock liability, $1.3 million in amortization of the deferred fee received from Genzyme,</w:t>
      </w:r>
    </w:p>
    <w:p>
      <w:pPr>
        <w:ind w:right="120"/>
        <w:spacing w:after="0" w:line="295" w:lineRule="auto"/>
        <w:rPr>
          <w:sz w:val="20"/>
          <w:szCs w:val="20"/>
          <w:color w:val="auto"/>
        </w:rPr>
      </w:pPr>
      <w:r>
        <w:rPr>
          <w:rFonts w:ascii="Arial" w:cs="Arial" w:eastAsia="Arial" w:hAnsi="Arial"/>
          <w:sz w:val="16"/>
          <w:szCs w:val="16"/>
          <w:color w:val="auto"/>
        </w:rPr>
        <w:t>$0.4 million of depreciation and amortization, $0.5 million of stock-based compensation and $0.1 million of bad debt expense. The increase in net operating assets of $0.9 million was primarily due to a $1.7 million increase in accounts payable and accrued liabilities due to timing of payments and a $0.3 million decrease in supply inventory due to the increase in volume of testing performed, offset by a $0.5 million increase in accounts receivable due to increased revenues from Medicare and a $0.6 million increase in prepaid expenses and other assets primarily related to costs to the initial public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Cash used in investing activities, primarily related to the acquisition of property and equipment, was $0.9 million and $0.9 million for the six months ended June 30, 2014 and 2013, respectively. Purchases of property and equipment were primarily for laboratory equipment in 2014. Purchases of property and equipment were primarily related to research and development and laboratory equipment in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Cash provided by financing activities for the six months ended June 30, 2014 of $0.3 million consisted of proceeds received from the exercise of options to purchase our common stock, net of IPO-related disbursements during the period. Cash provided by financing activities for the six months ended June 30, 2013 primarily is from $4.9 million from the loan and security agreement we entered into in June 2013 and net proceeds of $13.0 million from the sale of our convertible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During the six months ended June 30, 2014, there were no material changes to our contractual obligations and commitments described under Management’s Discussion and Analysis of Financial Condition and Results of Operations included 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May 28, 2014, the Financial Accounting Standards Board (or FASB) issued Accounting Standards Update (or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requiring an entity to recognize the amount of revenue to which it expects to be entitled for the transfer of promised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The updated standard will replace most existing revenue recognition guidance in U.S. GAAP when it becomes effective and permits the use of either the retrospective or cumulative effect transition method. Early adoption is not permitted. The updated standard becomes effective for us in the first quarter of fiscal 2017. We have not yet selected a transition method and are currently evaluating the effect that the updated standard may have on our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In July 2013, the FASB issued ASU No. 2013-11, </w:t>
      </w:r>
      <w:r>
        <w:rPr>
          <w:rFonts w:ascii="Arial" w:cs="Arial" w:eastAsia="Arial" w:hAnsi="Arial"/>
          <w:sz w:val="17"/>
          <w:szCs w:val="17"/>
          <w:i w:val="1"/>
          <w:iCs w:val="1"/>
          <w:color w:val="auto"/>
        </w:rPr>
        <w:t>Presentation of an Unrecognized Tax Benefit when a Net Operating Loss Carryforward, a Similar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 Loss, or a Tax Credit Carryforward Exists (a consensus of the FASB Emerging Issues Task Force). </w:t>
      </w:r>
      <w:r>
        <w:rPr>
          <w:rFonts w:ascii="Arial" w:cs="Arial" w:eastAsia="Arial" w:hAnsi="Arial"/>
          <w:sz w:val="17"/>
          <w:szCs w:val="17"/>
          <w:color w:val="auto"/>
        </w:rPr>
        <w:t>The amendments in this ASU provide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and are effective for fiscal years, and interim periods within those years, beginning after December 15, 2013. We adopted this guidance during the first quarter of 2014 and such adoption did not have a material impact on our condensed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$58.0 million as of June 30, 2014, which consists of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ectPr>
          <w:pgSz w:w="11900" w:h="16838" w:orient="portrait"/>
          <w:cols w:equalWidth="0" w:num="1">
            <w:col w:w="11400"/>
          </w:cols>
          <w:pgMar w:left="240" w:top="337" w:right="25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the quarterly period covered by this Form 10-Q,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an early-stage company with a history of losses, and we expect to incur net losses for the foreseeable future and may never achieve or sustain profitability.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incurred net losses since our inception. For the six months ended June 30, 2014 and 2013, we had a net loss of $13.3 million and $13.4 million, respectively, and we expect to incur additional losses in the future. From inception through June 30, 2014, we had an accumulated deficit of $99.0 million. To date, we have generated only limited revenue, and we may never achieve revenue sufficient to offset our expenses. Over the next several years, we expect to continue to devote substantially all of our resources to increase adoption of, and reimbursement for, Afirma, including the Afirma Malignancy Classifiers which we launched in the second quarter of 2014, and to develop future diagnostic solutions. We may never achieve or sustain profitability, and our failure to achieve and sustain profitability in the future could cause the market price of our common stock to decline.</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Substantially 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and expand reimbursement for Afirma, including the newly launched Afirma Malignancy Classifiers, or successfully develop and commercialize other solutions, our revenue and our ability to achieve and sustain profitability would be impaired, and the market price of our common stock could decline.</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Reimbursement on behalf of patients covered by Medicare, Aetna and UnitedHealthcare were 28%, 11% and 16%, respectively, of our revenue for the six months ended June 30, 2014, compared with 35%, 7% and 14%, respectively, in the same period in 2013. Effective January 2012, Palmetto GBA, the regional Medicare administrative contractor, or MAC, that handled claims processing for Medicare services with jurisdiction at that time, issued coverage and payment determinations for the GEC. On a five-year rotational basis, Medicare requests bids for its regional MAC services. In mid-September 2013, Noridian Administrative Services succeeded Palmetto as the MAC for our region. We believe the transition is complete with claims being processed by Noridian using the Z code established by Palmetto at the prior negotiated pricing level. This change, or any future changes, in the MAC processing or coding for Medicare claims for the Afirma GEC could result in a change in the coverage or reimbursement rates for such products, or the loss of coverage.</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do not have a contracted rate of reimbursement with Aetna or UnitedHealthcare. Payers may suspend or discontinue reimbursement at any time, may require or increase co-payments from patients, or may reduce the reimbursement rates paid to us. Any such actions could have a negative effect on our revenue.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payers do not provide reimbursement, rescind or modify their reimbursement policies or delay payments for our tests, or if we are unable to successfully negotiate reimbursement contracts, our commercial success could be compromised.</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Physicians may not order our tests unless payers reimburse a substantial portion of the test price. There is significant uncertainty concerning third-party reimbursement of any test incorporating new technology, including the Afirma GEC and Malignancy Classifiers. Reimbursement by a payer may depend on a number of factors, including a payer’s determination that tests such as the GEC are:</w:t>
      </w:r>
    </w:p>
    <w:p>
      <w:pPr>
        <w:sectPr>
          <w:pgSz w:w="11900" w:h="16838" w:orient="portrait"/>
          <w:cols w:equalWidth="0" w:num="1">
            <w:col w:w="11420"/>
          </w:cols>
          <w:pgMar w:left="240" w:top="337" w:right="239" w:bottom="0" w:gutter="0" w:footer="0" w:header="0"/>
        </w:sectPr>
      </w:pPr>
    </w:p>
    <w:bookmarkStart w:id="21" w:name="page22"/>
    <w:bookmarkEnd w:id="21"/>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 seeking these approvals is a time-consuming and costly process.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patient co- insurance or co-payment requirement which may result in further delay or decreased likelihood of collection.</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In addition, the recently launched Afirma Malignancy Classifiers and any other new products we may develop in the future may require that we expend substantial time and resources in order to obtain reimbursement. Our failure to establish broad adoption of and reimbursement for our products, or our inability to maintain existing reimbursement from payers, will negatively impact our ability to generate revenue and achieve profitability, as well as our future prospects and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Afirma.</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some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Finally, as we are in the early stage of commercially launching the Afirma Malignancy Classifiers, should we experience difficulties in the introduction, this may impact physicians’ view of the Afirma solution and cause them to stop ordering our services. These facts may make physicians reluctant to convert to using or continuing to use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relationship with Genzyme to co-promote Afirma may have a significant effect on our business.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sell Afirma in the United States through our internal sales team and through our co-promotion agreement with Genzyme Corporation. Under the agreement, we are required to pay Genzyme a co-promotion fee that is equal to a percentage of our cash receipts from Afirma. The percentage was 40% and decreased to 32% in March 2014 and would be reduced to 15% beginning January 1, 2015, under an amendment to the co-promotion agreement. Our agreement with Genzyme expires in 2027.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recognize a significant portion of our revenue on an accrual basis, our quarterly operating results are likely to fluctuate.</w:t>
      </w:r>
    </w:p>
    <w:p>
      <w:pPr>
        <w:spacing w:after="0" w:line="23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 Finally, should we recognize revenue from payers on an accrual basis and later determine the expected payments, collectability or other judgments underlying our decision to accrue revenue or the accrued amounts change, our financial results could be negatively impacted in future quarters.</w:t>
      </w:r>
    </w:p>
    <w:p>
      <w:pPr>
        <w:sectPr>
          <w:pgSz w:w="11900" w:h="16838" w:orient="portrait"/>
          <w:cols w:equalWidth="0" w:num="1">
            <w:col w:w="11380"/>
          </w:cols>
          <w:pgMar w:left="240" w:top="125" w:right="279" w:bottom="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in Afirma, and we may not be able to find replacements or transition to alternative suppliers.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rely on sole suppliers, such as NuGEN Technologies, Inc. and Affymetrix, Inc., for critical supply of reagents, equipment, chips and other materials that we use to perform the GEC.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an interruption in test processing could occur and we may not be able to deliver patient reports. Any such interruption may significantly affect our future revenue, cause us to incur higher costs, and harm our customer relations and reputation. In addition, in order to mitigate these risks, we maintain inventories of these supplies at higher levels than would be the case if multiple sources of supply were available.</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until December 2015 and thereafter automatically renews every year unless either party provides notice of intent not to renew at least twelve months prior to the end of the then-current term.</w:t>
      </w:r>
    </w:p>
    <w:p>
      <w:pPr>
        <w:spacing w:after="0" w:line="188"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Afirma or any of our future products or solutions, our business could suffer.</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demand for Afirma grows, and as we commercialize new products such as our Afirma Malignancy Classifiers,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Although the FDA has never defined what qualifies as an LDT, we believe that Afirma is an LDT. As a result, we believe Afirma should not be subject to regulation in accordance with the FDA’s current policy of exercising enforcement discretion regarding LDTs.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From time to time, the FDA has indicated that it was revisiting its current policy of enforcement discretion and planned to issue guidance that, when finalized, would adopt a risk-based framework that would increase FDA oversight of LDTs. In July 2010, the FDA convened a public meeting to discuss such a risk-based framework. Legislative proposals addressing oversight of LDTs were introduced in the previous two Congresses and we expect that new legislative proposals will be introduced from time to time. On July 31, 2014, the FDA gave Congress a 60-day notice of its intent to issue draft guidance entitled </w:t>
      </w:r>
      <w:r>
        <w:rPr>
          <w:rFonts w:ascii="Arial" w:cs="Arial" w:eastAsia="Arial" w:hAnsi="Arial"/>
          <w:sz w:val="16"/>
          <w:szCs w:val="16"/>
          <w:i w:val="1"/>
          <w:iCs w:val="1"/>
          <w:color w:val="auto"/>
        </w:rPr>
        <w:t>Framework for Regulatory Oversight of Laboratory Developed Tests (LDTs)</w:t>
      </w:r>
      <w:r>
        <w:rPr>
          <w:rFonts w:ascii="Arial" w:cs="Arial" w:eastAsia="Arial" w:hAnsi="Arial"/>
          <w:sz w:val="16"/>
          <w:szCs w:val="16"/>
          <w:color w:val="auto"/>
        </w:rPr>
        <w:t xml:space="preserve"> and an accompanying draft guidance document entitled </w:t>
      </w:r>
      <w:r>
        <w:rPr>
          <w:rFonts w:ascii="Arial" w:cs="Arial" w:eastAsia="Arial" w:hAnsi="Arial"/>
          <w:sz w:val="16"/>
          <w:szCs w:val="16"/>
          <w:i w:val="1"/>
          <w:iCs w:val="1"/>
          <w:color w:val="auto"/>
        </w:rPr>
        <w:t>FDA</w:t>
      </w:r>
      <w:r>
        <w:rPr>
          <w:rFonts w:ascii="Arial" w:cs="Arial" w:eastAsia="Arial" w:hAnsi="Arial"/>
          <w:sz w:val="16"/>
          <w:szCs w:val="16"/>
          <w:color w:val="auto"/>
        </w:rPr>
        <w:t xml:space="preserve"> </w:t>
      </w:r>
      <w:r>
        <w:rPr>
          <w:rFonts w:ascii="Arial" w:cs="Arial" w:eastAsia="Arial" w:hAnsi="Arial"/>
          <w:sz w:val="16"/>
          <w:szCs w:val="16"/>
          <w:i w:val="1"/>
          <w:iCs w:val="1"/>
          <w:color w:val="auto"/>
        </w:rPr>
        <w:t>Notification and Medical Device Reporting for Laboratory Developed Tests (LDTs)</w:t>
      </w:r>
      <w:r>
        <w:rPr>
          <w:rFonts w:ascii="Arial" w:cs="Arial" w:eastAsia="Arial" w:hAnsi="Arial"/>
          <w:sz w:val="16"/>
          <w:szCs w:val="16"/>
          <w:color w:val="auto"/>
        </w:rPr>
        <w:t>. We cannot provide any assurance that FDA regulation,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premarket review, will not be required in the future for our tests, whether based upon the FDA draft guidance that the FDA notified Congress of on July 31, 2014 that it intended to issue, or through other additional guidance or regulations issued by the FDA, new enforcement policies adopted by the FDA or new legislation enacted by Congress. It is possible that legislation will be enacted into law, regulations could be promulgated or guidance could be issued by the FDA which may result in increased regulatory burdens for us to continue to offer our tests or to develop and introduce new tests. We cannot predict the timing or content of future legislation enacted, regulations promulgated or guidance issued regarding LDTs, or how it would affect our business.</w:t>
      </w:r>
    </w:p>
    <w:p>
      <w:pPr>
        <w:spacing w:after="0" w:line="17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If FDA premarket review, including approval, is required for Afirma or any of our future tests we may develop, or we decide to voluntarily pursue FDA approval, we may be forced to stop selling our tests or we may be allowed to keep selling our tests while we work to obtain FDA approval. Our business would be negatively affected until such review is completed and clearance to market or approval is obtained. The regulatory process may involve, among other things, successfully completing additional clinical studies and submitting premarket notification or filing a premarket approval application with the FDA. If premarket review is required by the FDA or if we decide to voluntarily pursue FDA premarket review of our tests, there can be no assurance that Afirma or any tests we may develop in the future will be cleared or approved on a timely basis, if at all, nor can there be assurance that labeling claims will be consistent with our current claims or adequate to support continued adoption of and reimbursement for our tests. If our tests are allowed to remain on the market but there is uncertainty in the marketplace about our tests, if we are required by the FDA to label them investigational, or if labeling claims the FDA allows us to make are limited, orders may decline and reimbursement may be adversely affected. Ongoing compliance with FDA regulations would increase the cost of conducting our business, and subject us to heightened regulation by the FDA and penalties for failure to comply with these requirements.</w:t>
      </w:r>
    </w:p>
    <w:p>
      <w:pPr>
        <w:sectPr>
          <w:pgSz w:w="11900" w:h="16838" w:orient="portrait"/>
          <w:cols w:equalWidth="0" w:num="1">
            <w:col w:w="11400"/>
          </w:cols>
          <w:pgMar w:left="240" w:top="125" w:right="259" w:bottom="0" w:gutter="0" w:footer="0" w:header="0"/>
        </w:sectPr>
      </w:pPr>
    </w:p>
    <w:bookmarkStart w:id="23" w:name="page24"/>
    <w:bookmarkEnd w:id="23"/>
    <w:p>
      <w:pPr>
        <w:spacing w:after="0" w:line="2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the materials we use for Afirma are labeled for research use only. In June 2011, the FDA issued draft guidance regarding “Commercially Distributed In Vitro Diagnostic Products Labeled for Research Use Only or Investigational Use Only.” To date, the FDA has not issued final research-use only guidance. We cannot predict the ultimate timing or form of any such guidance or regulation and or the potential effect on the Afirma GEC or Malignancy Classifiers, our tests in development or the materials used to perform our tests. While we qualify all materials used in our tests according to CLIA regulations, we cannot be certain that the FDA would not promulgate rules or issue guidance documents that could affect our ability to purchase materials necessary for the performance of our tests. Should any of the reagents, instruments, software or components obtained by us from suppliers and used in conducting our tests be affected by future regulatory actions, our business could be adversely affected by those actions, including increasing the cost of testing or delaying, limiting or prohibiting the purchase of reagents, instruments, software or components necessary to perform testing.</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our sample collection container is classified as a Class I medical device and is listed with the FDA. If the FDA was to determine that it is a Class II medical device, we would be required to file a 510(k) application and obtain FDA clearance to use the container, which could be time consuming and expensive.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In addition,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 new,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Additionally, growth may require us to expand and move our operations. This could disrupt our business, will require investment of resources, and may cause employee retention issues depending upon the location. If we are unable to manage our growth effectively, it may be difficult for us to execute our business strategy and our business could be harmed.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Billing for our diagnostic solution is complex, and we must dedicate substantial time and resources to the billing process to be paid for our tests.</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differences between the list price for Afirma and the reimbursement rates of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As we introduce new tests, such as the Afirma Malignancy Classifiers, we will need to add new codes to our billing process as well as our financial reporting systems. Failure or delays in effecting these changes in external billing and internal systems and processes could negatively affect our revenue and cash flow.</w:t>
      </w:r>
    </w:p>
    <w:p>
      <w:pPr>
        <w:spacing w:after="0" w:line="18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third-party to transmit claims to payers, and any delay in transmitting claims could have an adverse effect on our revenue.</w:t>
      </w:r>
    </w:p>
    <w:p>
      <w:pPr>
        <w:spacing w:after="0" w:line="23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Afirma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ectPr>
          <w:pgSz w:w="11900" w:h="16861" w:orient="portrait"/>
          <w:cols w:equalWidth="0" w:num="1">
            <w:col w:w="11420"/>
          </w:cols>
          <w:pgMar w:left="240" w:top="125" w:right="239" w:bottom="0" w:gutter="0" w:footer="0" w:header="0"/>
        </w:sectPr>
      </w:pP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ectPr>
          <w:pgSz w:w="11900" w:h="16861" w:orient="portrait"/>
          <w:cols w:equalWidth="0" w:num="1">
            <w:col w:w="11420"/>
          </w:cols>
          <w:pgMar w:left="240" w:top="125" w:right="239" w:bottom="0" w:gutter="0" w:footer="0" w:header="0"/>
          <w:type w:val="continuous"/>
        </w:sectPr>
      </w:pPr>
    </w:p>
    <w:bookmarkStart w:id="24" w:name="page25"/>
    <w:bookmarkEnd w:id="24"/>
    <w:p>
      <w:pPr>
        <w:spacing w:after="0" w:line="11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business strategy includes international expansion,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1" w:lineRule="exact"/>
        <w:rPr>
          <w:sz w:val="20"/>
          <w:szCs w:val="20"/>
          <w:color w:val="auto"/>
        </w:rPr>
      </w:pPr>
    </w:p>
    <w:p>
      <w:pPr>
        <w:ind w:left="980" w:right="60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 in various countries;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announced their intention to enter the clinical diagnostics market. Other potential competitors include companies that develop diagnostic products, such as Roche Diagnostics, a division of Roche Holding Ltd, Siemens AG, Qiagen N.V. and Rosetta Genomics Ltd. We also face competition from Asuragen Inc. and other companies, as well as academic institutions that use next generation sequencing technology or other methods to measure mutational markers such as BRAF and KRAS along with numerous other mutations to identify nodules that are malignant instead of benign. In the future, we may also face competition from companies developing new products or technologies that are able to compete with Afirma’s high negative predictive value to rule out cancer.</w:t>
      </w:r>
    </w:p>
    <w:p>
      <w:pPr>
        <w:spacing w:after="0" w:line="17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w:t>
      </w:r>
    </w:p>
    <w:p>
      <w:pPr>
        <w:sectPr>
          <w:pgSz w:w="11900" w:h="16952" w:orient="portrait"/>
          <w:cols w:equalWidth="0" w:num="1">
            <w:col w:w="11400"/>
          </w:cols>
          <w:pgMar w:left="240" w:top="341" w:right="259" w:bottom="0" w:gutter="0" w:footer="0" w:header="0"/>
        </w:sectPr>
      </w:pPr>
    </w:p>
    <w:bookmarkStart w:id="25" w:name="page26"/>
    <w:bookmarkEnd w:id="25"/>
    <w:p>
      <w:pPr>
        <w:spacing w:after="0" w:line="3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clinically useful and commercially successful. We may face challenges obtaining sufficient numbers of samples to validate a genomic signature for a molecular diagnostic product. We are in the process of developing a product for interstitial lung disease and other potential products. Our product for interstitial lung disease may not be fully developed and introduced as planned in 2016. In order to develop and commercialize diagnostic products, we need to:</w:t>
      </w:r>
    </w:p>
    <w:p>
      <w:pPr>
        <w:spacing w:after="0" w:line="187"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also may pursue strategic alliances that leverage our core technology and industry experience to expand our offerings or distribution, or make investments in other companies. To date,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66"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current loan and security agreement contains covenants that could limit our ability to sell debt securities or obtain additional debt financing arrangements.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To renew these certifications, we are subject to survey and inspection every two years. Moreover, CLIA inspectors may make random inspections of our clinical reference laboratories. If we relocate either of our facilities, we would be required to undergo certification at our new facility in order to offer our tests.</w:t>
      </w:r>
    </w:p>
    <w:p>
      <w:pPr>
        <w:spacing w:after="0" w:line="16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are also required to maintain state licenses to conduct testing in our laboratories. California law requires that we maintain a license and establishes standards for the day-to-day operation of our clinical reference laboratory in South San Francisco, including the training and skills required of personnel and quality control matters. In addition, both of our clinical reference laboratories are required to be licensed on a test-specific basis by New York State. New York law also mandates proficiency testing for laboratories licensed under New York state law, regardless of whether such laboratories are located</w:t>
      </w:r>
    </w:p>
    <w:p>
      <w:pPr>
        <w:sectPr>
          <w:pgSz w:w="11900" w:h="16877" w:orient="portrait"/>
          <w:cols w:equalWidth="0" w:num="1">
            <w:col w:w="11400"/>
          </w:cols>
          <w:pgMar w:left="240" w:top="125" w:right="259" w:bottom="0" w:gutter="0" w:footer="0" w:header="0"/>
        </w:sectPr>
      </w:pPr>
    </w:p>
    <w:bookmarkStart w:id="26" w:name="page27"/>
    <w:bookmarkEnd w:id="26"/>
    <w:p>
      <w:pPr>
        <w:ind w:right="100"/>
        <w:spacing w:after="0" w:line="270" w:lineRule="auto"/>
        <w:rPr>
          <w:sz w:val="20"/>
          <w:szCs w:val="20"/>
          <w:color w:val="auto"/>
        </w:rPr>
      </w:pPr>
      <w:r>
        <w:rPr>
          <w:rFonts w:ascii="Arial" w:cs="Arial" w:eastAsia="Arial" w:hAnsi="Arial"/>
          <w:sz w:val="17"/>
          <w:szCs w:val="17"/>
          <w:color w:val="auto"/>
        </w:rPr>
        <w:t>in New York. Several other states require that we hold licenses to test samples from patients in those states. Other states may have similar requirements or may adopt similar requirements in the future.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 We have received preliminary approval from New York State for our Afirma Malignancy Classifiers. There is no assurance that we will be able to obtain final approval.</w:t>
      </w:r>
    </w:p>
    <w:p>
      <w:pPr>
        <w:spacing w:after="0" w:line="18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constrain our ability to offer Afirma internationally in the future.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7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resets the clinical lab payment rates on the Medicare CLFS by 2% in 2013. In addition, a further reduction of 2% is anticipated from implementation of the automatic expense reductions (sequester) under the Budget Control Act of 2011, which is legislated to be in effect for dates of service on or after April 1, 2013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5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April 2014, the President signed the Protecting Access to Medicare Act of 2014, or PAMA, which included a substantial new payment system for clinical laboratory tests under the CLFS. Under PAMA, laboratories that receive the majority of their Medicare revenues from payments made under the CLFS or the Physician Fee Schedule would report, beginning January 1, 2016, and then on an every three year basis thereafter (or annually for “advanced diagnostic laboratory tests”), private payer payment rates and volumes for their tests. CMS will use the rates and volumes reported by laboratories to develop Medicare payment rates for the tests equal to the volume-weighted median of the private payor payment rates for the tests. The payment rates calculated under PAMA will be effective starting January 1, 2017. Any reductions to payment rates resulting from the new methodology are limited to 10% per test per year in each of the years 2017 through 2019 and to 15 percent per test per year in each of 2020 through 2022. Although CMS has not yet issued regulations to implement PAMA, we believe our Afirma tests would be considered an advanced diagnostic laboratory test. Further rule-making from CMS will define the time period and data elements evaluated on an annual basis to set reimbursement rates for tests like Afirma. For future tests launched by us, including our IPF assay, the initial payment rate (for a period not to exceed nine months) for such advanced diagnostic laboratory tests will be set at the “actual list charge” for the test as reported by the laboratory. Insofar as the actual list charge substantially exceeds private payor rates (by more than 30%), CMS will have the ability to recoup excess payments made during the initial nine-month payment period.</w:t>
      </w:r>
    </w:p>
    <w:p>
      <w:pPr>
        <w:sectPr>
          <w:pgSz w:w="11900" w:h="16838" w:orient="portrait"/>
          <w:cols w:equalWidth="0" w:num="1">
            <w:col w:w="11420"/>
          </w:cols>
          <w:pgMar w:left="240" w:top="125" w:right="239" w:bottom="0" w:gutter="0" w:footer="0" w:header="0"/>
        </w:sectPr>
      </w:pPr>
    </w:p>
    <w:bookmarkStart w:id="27" w:name="page28"/>
    <w:bookmarkEnd w:id="27"/>
    <w:p>
      <w:pPr>
        <w:spacing w:after="0" w:line="13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PAMA codified coverage rules for laboratory tests by requiring any local coverage determination to be made following the established procedures for development and appeals of local coverage determinations. PAMA also authorizes CMS to consolidate coverage policies for clinical laboratory tests among one to four laboratory-specific MACs. These same contractors may also be designated to process claims if CMS determines that such a model is appropriate.</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to changes adopted by PAMA, in 2013 CMS announced plans to bundle payments for clinical laboratory tests together with other services performed during hospital outpatient visits under the Hospital Outpatient Prospective Payment System. CMS exempted molecular diagnostic tests from this packaging provision at this time. Although biopsies for our tests are generally not performed in the hospital outpatient setting, it is possible that this proposal could impact payment for some portion of our tests in the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Some patients may decide not to use Afirma due to its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PPACA has also resulted in increases in premiums and reductions in coverage for some patients. These events may result in patients delaying or forgoing medical checkups or treatment due to their inability to pay for our test, which could have an adverse effect on our revenue.</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subject to other regulation by both the federal government and the states in which we conduct our business, including:</w:t>
      </w:r>
    </w:p>
    <w:p>
      <w:pPr>
        <w:spacing w:after="0" w:line="225"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anti-kickback law and state anti-kickback prohibitions;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physician self-referral prohibition, commonly known as the Stark Law, and state equivalents;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Medicare civil money penalty and exclusion requirements;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False Claims Act civil and criminal penalties and state equivalents;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Foreign Corrupt Practices Act of 1977, which applies to our international activities.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marketing, sale and use of Afirma could lead to product liability claims if someone were to allege that the Afirma GEC failed to perform as it was designed. We may also be subject to liability for errors in the results we provide to physicians or for a misunderstanding of, or inappropriate reliance upon, the information we provide. Our Afirma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our Afirma Malignancy Classifiers or to products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w:t>
      </w:r>
    </w:p>
    <w:p>
      <w:pPr>
        <w:sectPr>
          <w:pgSz w:w="11900" w:h="16975" w:orient="portrait"/>
          <w:cols w:equalWidth="0" w:num="1">
            <w:col w:w="11420"/>
          </w:cols>
          <w:pgMar w:left="240" w:top="125" w:right="239" w:bottom="0" w:gutter="0" w:footer="0" w:header="0"/>
        </w:sectPr>
      </w:pPr>
    </w:p>
    <w:bookmarkStart w:id="28" w:name="page29"/>
    <w:bookmarkEnd w:id="28"/>
    <w:p>
      <w:pPr>
        <w:ind w:right="660"/>
        <w:spacing w:after="0" w:line="277" w:lineRule="auto"/>
        <w:rPr>
          <w:sz w:val="20"/>
          <w:szCs w:val="20"/>
          <w:color w:val="auto"/>
        </w:rPr>
      </w:pPr>
      <w:r>
        <w:rPr>
          <w:rFonts w:ascii="Arial" w:cs="Arial" w:eastAsia="Arial" w:hAnsi="Arial"/>
          <w:sz w:val="18"/>
          <w:szCs w:val="18"/>
          <w:color w:val="auto"/>
        </w:rPr>
        <w:t>focus on our growth. If we were to lose one or more of these key employees, we may experience difficulties in competing effectively, developing our technologies and implementing our business strategy.</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In early 2014, we significantly expanded our sales force. There can be no assurance that they will be successful in maintaining and growing the business in their territory. We plan to further increase our sales force, and we may have difficulties locating and recruiting additional sales personnel in the future or retaining qualified salespeople, which could cause a delay or decline in the rate of adoption of our solution. Finally, our business requires specialized capabilities in reimbursement, billing, finance,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at-will, which means that either we or the employee may terminate their employment at any time. We do not carry key man insurance for any of our employees.</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perform all of the Afirma GEC testing at our laboratory in South San Francisco, California. Our laboratory in Austin, Texas accepts and stores substantially all FNA samples pending transfer to our California laboratory for Afirma GEC processing. The equipment we use to perform the Afirma GEC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Afirma GEC testing or the backlog of Afirma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ectPr>
          <w:pgSz w:w="11900" w:h="16838" w:orient="portrait"/>
          <w:cols w:equalWidth="0" w:num="1">
            <w:col w:w="11420"/>
          </w:cols>
          <w:pgMar w:left="240" w:top="125" w:right="239" w:bottom="57" w:gutter="0" w:footer="0" w:header="0"/>
        </w:sectPr>
      </w:pPr>
    </w:p>
    <w:bookmarkStart w:id="29" w:name="page30"/>
    <w:bookmarkEnd w:id="29"/>
    <w:p>
      <w:pPr>
        <w:spacing w:after="0" w:line="6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four granted utility patents which expire between 2030 and 2033 related to methods that are used in the Afirma diagnostic platform, in addition to seven pending United States utility patent applications. Some of these United States utility patent applications have pending foreign counterparts. We also exclusively licensed intellectual property including rights to two pending United States utility patent applications, in the thyroid space. We have two pending patent applications (a foreign application and a United States utility application) related to our lung disease product under development. Any patents granted from these applications will expire in 2034.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particular, the patent positions of companies engaged in the development and commercialization of genomic diagnostic tests, like the Afirma GEC and Malignancy Classifiers,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w:t>
      </w:r>
    </w:p>
    <w:p>
      <w:pPr>
        <w:sectPr>
          <w:pgSz w:w="11900" w:h="16908" w:orient="portrait"/>
          <w:cols w:equalWidth="0" w:num="1">
            <w:col w:w="11420"/>
          </w:cols>
          <w:pgMar w:left="240" w:top="125" w:right="239" w:bottom="0" w:gutter="0" w:footer="0" w:header="0"/>
        </w:sectPr>
      </w:pPr>
    </w:p>
    <w:bookmarkStart w:id="30" w:name="page31"/>
    <w:bookmarkEnd w:id="30"/>
    <w:p>
      <w:pPr>
        <w:ind w:right="200"/>
        <w:spacing w:after="0" w:line="259" w:lineRule="auto"/>
        <w:rPr>
          <w:sz w:val="20"/>
          <w:szCs w:val="20"/>
          <w:color w:val="auto"/>
        </w:rPr>
      </w:pPr>
      <w:r>
        <w:rPr>
          <w:rFonts w:ascii="Arial" w:cs="Arial" w:eastAsia="Arial" w:hAnsi="Arial"/>
          <w:sz w:val="18"/>
          <w:szCs w:val="18"/>
          <w:color w:val="auto"/>
        </w:rPr>
        <w:t>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not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3"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ectPr>
          <w:pgSz w:w="11900" w:h="16838" w:orient="portrait"/>
          <w:cols w:equalWidth="0" w:num="1">
            <w:col w:w="11400"/>
          </w:cols>
          <w:pgMar w:left="240" w:top="125" w:right="259" w:bottom="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31" w:name="page32"/>
    <w:bookmarkEnd w:id="31"/>
    <w:p>
      <w:pPr>
        <w:spacing w:after="0" w:line="5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7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will be required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our internal controls. If we have material weaknesses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and effective fashion. During the evaluation and testing process, if we identify one or more material weaknesses in our internal controls,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 in the future.</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w:t>
      </w:r>
    </w:p>
    <w:p>
      <w:pPr>
        <w:sectPr>
          <w:pgSz w:w="11900" w:h="16894" w:orient="portrait"/>
          <w:cols w:equalWidth="0" w:num="1">
            <w:col w:w="11420"/>
          </w:cols>
          <w:pgMar w:left="240" w:top="368" w:right="239" w:bottom="0" w:gutter="0" w:footer="0" w:header="0"/>
        </w:sectPr>
      </w:pPr>
    </w:p>
    <w:bookmarkStart w:id="32" w:name="page33"/>
    <w:bookmarkEnd w:id="32"/>
    <w:p>
      <w:pPr>
        <w:ind w:right="160"/>
        <w:spacing w:after="0" w:line="297" w:lineRule="auto"/>
        <w:rPr>
          <w:sz w:val="20"/>
          <w:szCs w:val="20"/>
          <w:color w:val="auto"/>
        </w:rPr>
      </w:pPr>
      <w:r>
        <w:rPr>
          <w:rFonts w:ascii="Arial" w:cs="Arial" w:eastAsia="Arial" w:hAnsi="Arial"/>
          <w:sz w:val="16"/>
          <w:szCs w:val="16"/>
          <w:color w:val="auto"/>
        </w:rPr>
        <w:t>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Prior to our initial public offering in October 2013, there was no public market for our common stock, and an active and liquid public market for our stock may not develop or be sustained. In addition, the trading price of our common stock is likely to continue to be highly volatile and could be subject to wide fluctuations in response to various factors, some of which are beyond our control. These factors include:</w:t>
      </w:r>
    </w:p>
    <w:p>
      <w:pPr>
        <w:spacing w:after="0" w:line="181"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 fluctuations in our revenue, due in part to the way in which we recognize revenue;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for some period of time following our initial public offering, especially if the trading volume in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As of August 1, 2014, directors and executive officers and their affiliates beneficially owned, in the aggregate, 68%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ectPr>
          <w:pgSz w:w="11900" w:h="16838" w:orient="portrait"/>
          <w:cols w:equalWidth="0" w:num="1">
            <w:col w:w="11420"/>
          </w:cols>
          <w:pgMar w:left="240" w:top="125" w:right="239" w:bottom="0" w:gutter="0" w:footer="0" w:header="0"/>
        </w:sectPr>
      </w:pPr>
    </w:p>
    <w:bookmarkStart w:id="33" w:name="page34"/>
    <w:bookmarkEnd w:id="33"/>
    <w:p>
      <w:pPr>
        <w:ind w:left="980" w:right="16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760" w:type="dxa"/>
            <w:vAlign w:val="bottom"/>
            <w:vMerge w:val="restart"/>
          </w:tcPr>
          <w:p>
            <w:pPr>
              <w:ind w:left="4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10.24*</w:t>
            </w:r>
          </w:p>
        </w:tc>
        <w:tc>
          <w:tcPr>
            <w:tcW w:w="240" w:type="dxa"/>
            <w:vAlign w:val="bottom"/>
          </w:tcPr>
          <w:p>
            <w:pPr>
              <w:spacing w:after="0"/>
              <w:rPr>
                <w:sz w:val="16"/>
                <w:szCs w:val="16"/>
                <w:color w:val="auto"/>
              </w:rPr>
            </w:pPr>
          </w:p>
        </w:tc>
        <w:tc>
          <w:tcPr>
            <w:tcW w:w="9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Letter of Agreement for Proposed Second Amendment to Co-Promotion Agreement Between Veracyte, Inc. and Genzyme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Principal Executive Officer’s Certification Pursuant to Section 302 of the Sarbanes- Oxley Act of 2002</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76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60" w:type="dxa"/>
            <w:vAlign w:val="bottom"/>
          </w:tcPr>
          <w:p>
            <w:pPr>
              <w:spacing w:after="0"/>
              <w:rPr>
                <w:sz w:val="20"/>
                <w:szCs w:val="20"/>
                <w:color w:val="auto"/>
              </w:rPr>
            </w:pPr>
            <w:r>
              <w:rPr>
                <w:rFonts w:ascii="Arial" w:cs="Arial" w:eastAsia="Arial" w:hAnsi="Arial"/>
                <w:sz w:val="18"/>
                <w:szCs w:val="18"/>
                <w:color w:val="auto"/>
              </w:rPr>
              <w:t>XBRL Taxonomy Extension Calculation Document</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6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(the “Securities Act”) except to the extent that the registrant specifically incorporates it by reference.</w:t>
      </w:r>
    </w:p>
    <w:p>
      <w:pPr>
        <w:spacing w:after="0" w:line="187" w:lineRule="exact"/>
        <w:rPr>
          <w:sz w:val="20"/>
          <w:szCs w:val="20"/>
          <w:color w:val="auto"/>
        </w:rPr>
      </w:pPr>
    </w:p>
    <w:p>
      <w:pPr>
        <w:jc w:val="both"/>
        <w:ind w:right="240" w:firstLine="8"/>
        <w:spacing w:after="0" w:line="264"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8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VERACYTE, INC.</w:t>
      </w:r>
    </w:p>
    <w:p>
      <w:pPr>
        <w:sectPr>
          <w:pgSz w:w="11900" w:h="16838" w:orient="portrait"/>
          <w:cols w:equalWidth="0" w:num="1">
            <w:col w:w="11420"/>
          </w:cols>
          <w:pgMar w:left="240" w:top="125" w:right="23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gridSpan w:val="2"/>
          </w:tcPr>
          <w:p>
            <w:pPr>
              <w:ind w:left="4080"/>
              <w:spacing w:after="0"/>
              <w:rPr>
                <w:sz w:val="20"/>
                <w:szCs w:val="20"/>
                <w:color w:val="auto"/>
              </w:rPr>
            </w:pPr>
            <w:r>
              <w:rPr>
                <w:rFonts w:ascii="Arial" w:cs="Arial" w:eastAsia="Arial" w:hAnsi="Arial"/>
                <w:sz w:val="18"/>
                <w:szCs w:val="18"/>
                <w:color w:val="auto"/>
              </w:rPr>
              <w:t>By:   /s/ Shelly D. Guyer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Pr>
          <w:p>
            <w:pPr>
              <w:ind w:left="3960"/>
              <w:spacing w:after="0"/>
              <w:rPr>
                <w:sz w:val="20"/>
                <w:szCs w:val="20"/>
                <w:color w:val="auto"/>
              </w:rPr>
            </w:pPr>
            <w:r>
              <w:rPr>
                <w:rFonts w:ascii="Arial" w:cs="Arial" w:eastAsia="Arial" w:hAnsi="Arial"/>
                <w:sz w:val="18"/>
                <w:szCs w:val="18"/>
                <w:color w:val="auto"/>
              </w:rPr>
              <w:t>46</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56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6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5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gridSpan w:val="2"/>
          </w:tcPr>
          <w:p>
            <w:pPr>
              <w:spacing w:after="0"/>
              <w:rPr>
                <w:sz w:val="24"/>
                <w:szCs w:val="24"/>
                <w:color w:val="auto"/>
              </w:rPr>
            </w:pPr>
          </w:p>
        </w:tc>
        <w:tc>
          <w:tcPr>
            <w:tcW w:w="9760" w:type="dxa"/>
            <w:vAlign w:val="bottom"/>
            <w:gridSpan w:val="2"/>
            <w:vMerge w:val="restart"/>
          </w:tcPr>
          <w:p>
            <w:pPr>
              <w:ind w:left="4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9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10.24*</w:t>
            </w:r>
          </w:p>
        </w:tc>
        <w:tc>
          <w:tcPr>
            <w:tcW w:w="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7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Letter of Agreement for Proposed Second Amendment to Co-Promotion Agreement Between Veracyte, Inc. and Genzyme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Principal Executive Officer’s Certification Pursuant to Section 302 of the Sarbanes- 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7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-2368550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(the “Securities Act”) except to the extent that the registrant specifically incorporates it by reference.</w:t>
      </w:r>
    </w:p>
    <w:p>
      <w:pPr>
        <w:spacing w:after="0" w:line="187" w:lineRule="exact"/>
        <w:rPr>
          <w:sz w:val="20"/>
          <w:szCs w:val="20"/>
          <w:color w:val="auto"/>
        </w:rPr>
      </w:pPr>
    </w:p>
    <w:p>
      <w:pPr>
        <w:jc w:val="both"/>
        <w:ind w:right="280" w:firstLine="8"/>
        <w:spacing w:after="0" w:line="264" w:lineRule="auto"/>
        <w:tabs>
          <w:tab w:leader="none" w:pos="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5" w:name="page36"/>
    <w:bookmarkEnd w:id="35"/>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Letter of Agreement for Proposed Second Amendment to Co-Promotion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Andre Turenne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Genzyme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Kendall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Proposed Second Amendment of Co-Promotion Agreement between Genzyme and Veracyte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Andre: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This Letter of Agreement, including Exhibit A, attached hereto and incorporated herein by reference (collectively, this “Letter of Agreement”), confirms recent discussions between Veracyte Inc. (“Veracyte”) and Genzyme Corporation (“Genzyme”) regarding certain proposed amendments to the Co-Promotion Agreement between the parties dated as of January 18, 2012, as amended by that certain Letter of Agreement dated April 9, 2013 (as amended, the “Co-Promotion Agreement”). Capitalized terms used in this Letter of Agreement that are not defined herein shall have the respective meanings ascribed to them in the Co-Promotion Agreement.</w:t>
      </w:r>
    </w:p>
    <w:p>
      <w:pPr>
        <w:spacing w:after="0" w:line="188" w:lineRule="exact"/>
        <w:rPr>
          <w:sz w:val="20"/>
          <w:szCs w:val="20"/>
          <w:color w:val="auto"/>
        </w:rPr>
      </w:pPr>
    </w:p>
    <w:p>
      <w:pPr>
        <w:ind w:left="660" w:right="20" w:hanging="328"/>
        <w:spacing w:after="0" w:line="272"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Binding Intent</w:t>
      </w:r>
      <w:r>
        <w:rPr>
          <w:rFonts w:ascii="Arial" w:cs="Arial" w:eastAsia="Arial" w:hAnsi="Arial"/>
          <w:sz w:val="17"/>
          <w:szCs w:val="17"/>
          <w:color w:val="auto"/>
        </w:rPr>
        <w:t>. In exchange for good and valuable consideration, the receipt and sufficiency of which are hereby acknowledged, including but not limited to, the time and effort that the parties have invested to date to negotiate the terms set forth in Exhibit A, the parties hereby agree to negotiate and (subject to Sections 2 and 3 below) enter into a definitive Second Amendment to the Co-Promotion Agreement (“Second Amendment”) that shall contain substantially the same terms and conditions as those set forth on Exhibit A hereto as well as any other terms and conditions as may be mutually agreed upon by the parties. For the avoidance of doubt, it is understood and agreed that the terms set forth in Exhibit A shall not take effect until such time as they are included in the definitive Second Amendment and the definitive Second Amendment is executed and delivered by the parties and becomes effective by its terms.</w:t>
      </w:r>
    </w:p>
    <w:p>
      <w:pPr>
        <w:spacing w:after="0" w:line="177" w:lineRule="exact"/>
        <w:rPr>
          <w:rFonts w:ascii="Arial" w:cs="Arial" w:eastAsia="Arial" w:hAnsi="Arial"/>
          <w:sz w:val="17"/>
          <w:szCs w:val="17"/>
          <w:color w:val="auto"/>
        </w:rPr>
      </w:pPr>
    </w:p>
    <w:p>
      <w:pPr>
        <w:ind w:left="660" w:right="100" w:hanging="328"/>
        <w:spacing w:after="0" w:line="27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Timing</w:t>
      </w:r>
      <w:r>
        <w:rPr>
          <w:rFonts w:ascii="Arial" w:cs="Arial" w:eastAsia="Arial" w:hAnsi="Arial"/>
          <w:sz w:val="17"/>
          <w:szCs w:val="17"/>
          <w:color w:val="auto"/>
        </w:rPr>
        <w:t>. The parties agree to negotiate the Second Amendment in good faith and to use their respective reasonable efforts to execute and deliver the Second Amendment no later than October 15, 2014 (or such later date as may be mutually agreed by the parties in writing) (the “Negotiation Period”). The parties agree that during the Negotiation Period, neither party shall deliver notice of termination of the Co-Promotion Agreement. In the event the parties are unable to execute and deliver the Second Amendment by the expiration of the Negotiation Period, the Co-Promotion Agreement shall continue in full force and effect unmodified by this Letter of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4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Preparation of Second Amendment; Requisite Approvals</w:t>
      </w:r>
      <w:r>
        <w:rPr>
          <w:rFonts w:ascii="Arial" w:cs="Arial" w:eastAsia="Arial" w:hAnsi="Arial"/>
          <w:sz w:val="18"/>
          <w:szCs w:val="18"/>
          <w:color w:val="auto"/>
        </w:rPr>
        <w:t>. Counsel for Genzyme will prepare the initial draft of the Second Amendment. It is understood and agreed that the definitive Second Amendment is subject to the receipt of all requisite approvals by the senior management and/or boards of directors of Genzyme and Veracyte, as the case may be.</w:t>
      </w:r>
    </w:p>
    <w:p>
      <w:pPr>
        <w:spacing w:after="0" w:line="181"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existence and the terms of this Letter of Agreement and the transactions contemplated herein shall be covered in all respects by Section 7 of the Co-Promotion Agreement (“Confidentiality”). Genzyme hereby acknowledges and agrees that Veracyte intends to disclose the terms of this Letter of Agreement in accordance with its obligations under the Federal securities laws and regulations. The parties hereby agree that they shall work together to coordinate their communication of this Letter of Agreement, and that such communications shall be subject to terms and conditions of Section 12.7 of the Co-Promotion Agreement.</w:t>
      </w:r>
    </w:p>
    <w:p>
      <w:pPr>
        <w:spacing w:after="0" w:line="188"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Letter of Agreement shall be governed by, construed and enforced in accordance with the laws of the State of New York. This Letter of Agreement constitutes the entire agreement and understanding of the parties regarding the proposed terms of the Second Amendment and supersedes all prior agreements and understandings between the parties with respect thereto. The headings of this Letter of Agreement are not a part of this Letter of Agreement but are merely guides or labels to assist in locating and reading the several sections hereof. This Letter of Agreement may be executed in two or more counterparts, each of which shall be deemed an original, but all of which together shall constitute one and the same instrument. Signature pages may be exchanged by facsimile.</w:t>
      </w:r>
    </w:p>
    <w:p>
      <w:pPr>
        <w:spacing w:after="0" w:line="200" w:lineRule="exact"/>
        <w:rPr>
          <w:sz w:val="20"/>
          <w:szCs w:val="20"/>
          <w:color w:val="auto"/>
        </w:rPr>
      </w:pP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Bonnie H. Anderson</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Bonnie H. Anderson</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is agreed to and accepted by the undersigned as of the date first indicated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Genzyme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Meeker</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Meeker</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Chief Executive Officer</w:t>
            </w:r>
          </w:p>
        </w:tc>
      </w:tr>
    </w:tbl>
    <w:p>
      <w:pPr>
        <w:sectPr>
          <w:pgSz w:w="11900" w:h="16900" w:orient="portrait"/>
          <w:cols w:equalWidth="0" w:num="1">
            <w:col w:w="11420"/>
          </w:cols>
          <w:pgMar w:left="240" w:top="121" w:right="239" w:bottom="0" w:gutter="0" w:footer="0" w:header="0"/>
        </w:sectPr>
      </w:pPr>
    </w:p>
    <w:bookmarkStart w:id="36" w:name="page37"/>
    <w:bookmarkEnd w:id="36"/>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Proposed Second Amendment to Co-Promotion Agreement Between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Veracyte, Inc. and Genzyme Corporation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SUMMARY OF KEY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The Second Amendment shall be effective as of January 1, 2015.</w:t>
      </w:r>
    </w:p>
    <w:p>
      <w:pPr>
        <w:spacing w:after="0" w:line="225"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 xml:space="preserve">Term and Termination: </w:t>
      </w:r>
      <w:r>
        <w:rPr>
          <w:rFonts w:ascii="Arial" w:cs="Arial" w:eastAsia="Arial" w:hAnsi="Arial"/>
          <w:sz w:val="17"/>
          <w:szCs w:val="17"/>
          <w:color w:val="auto"/>
        </w:rPr>
        <w:t>The provisions in Section 11 of the Co-Promotion Agreement regarding Term and Termination shall not change, with the exception</w:t>
      </w:r>
      <w:r>
        <w:rPr>
          <w:rFonts w:ascii="Arial" w:cs="Arial" w:eastAsia="Arial" w:hAnsi="Arial"/>
          <w:sz w:val="17"/>
          <w:szCs w:val="17"/>
          <w:b w:val="1"/>
          <w:bCs w:val="1"/>
          <w:color w:val="auto"/>
        </w:rPr>
        <w:t xml:space="preserve"> </w:t>
      </w:r>
      <w:r>
        <w:rPr>
          <w:rFonts w:ascii="Arial" w:cs="Arial" w:eastAsia="Arial" w:hAnsi="Arial"/>
          <w:sz w:val="17"/>
          <w:szCs w:val="17"/>
          <w:color w:val="auto"/>
        </w:rPr>
        <w:t>that Section 11.5 of the Co-Promotion Agreement shall be amended to provide that neither party shall have the right to deliver a termination notice thereunder on or prior to January 1, 2016 (hence, the Co-Promotion Agreement cannot be terminated for convenience until after June 30, 2016).</w:t>
      </w:r>
    </w:p>
    <w:p>
      <w:pPr>
        <w:spacing w:after="0" w:line="15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Financial Terms: </w:t>
      </w:r>
      <w:r>
        <w:rPr>
          <w:rFonts w:ascii="Arial" w:cs="Arial" w:eastAsia="Arial" w:hAnsi="Arial"/>
          <w:sz w:val="18"/>
          <w:szCs w:val="18"/>
          <w:color w:val="auto"/>
        </w:rPr>
        <w:t>Section 6.1 of the Co-Promotion Agreement will be revised to provide that the compensation paid by Veracyte to Genzyme as Promotion</w:t>
      </w:r>
      <w:r>
        <w:rPr>
          <w:rFonts w:ascii="Arial" w:cs="Arial" w:eastAsia="Arial" w:hAnsi="Arial"/>
          <w:sz w:val="18"/>
          <w:szCs w:val="18"/>
          <w:b w:val="1"/>
          <w:bCs w:val="1"/>
          <w:color w:val="auto"/>
        </w:rPr>
        <w:t xml:space="preserve"> </w:t>
      </w:r>
      <w:r>
        <w:rPr>
          <w:rFonts w:ascii="Arial" w:cs="Arial" w:eastAsia="Arial" w:hAnsi="Arial"/>
          <w:sz w:val="18"/>
          <w:szCs w:val="18"/>
          <w:color w:val="auto"/>
        </w:rPr>
        <w:t>Fees shall be fifteen percent (15%) of Net Revenues received by Veracyte on the Test in Territory A through the effective date of expiration of the Co-Promotion Agreement.</w:t>
      </w:r>
    </w:p>
    <w:p>
      <w:pPr>
        <w:spacing w:after="0" w:line="17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Joint Marketing Activities: </w:t>
      </w:r>
      <w:r>
        <w:rPr>
          <w:rFonts w:ascii="Arial" w:cs="Arial" w:eastAsia="Arial" w:hAnsi="Arial"/>
          <w:sz w:val="18"/>
          <w:szCs w:val="18"/>
          <w:color w:val="auto"/>
        </w:rPr>
        <w:t>Sections 3 and 4 of the Co-Promotion Agreement and the Annual Commercial Plan shall be amended to provide that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conduct certain joint marketing activities as set forth below:</w:t>
      </w:r>
    </w:p>
    <w:p>
      <w:pPr>
        <w:spacing w:after="0" w:line="166" w:lineRule="exact"/>
        <w:rPr>
          <w:sz w:val="20"/>
          <w:szCs w:val="20"/>
          <w:color w:val="auto"/>
        </w:rPr>
      </w:pPr>
    </w:p>
    <w:p>
      <w:pPr>
        <w:ind w:left="1140" w:right="40" w:hanging="322"/>
        <w:spacing w:after="0" w:line="254" w:lineRule="auto"/>
        <w:tabs>
          <w:tab w:leader="none" w:pos="1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parties agree to jointly maintain a brand presence at industry conferences, trade shows, and scientific meetings with the intent of leveraging the strength and unique aspects of each brand to customers. Each party shall bear its own costs in connection with the joint marketing activities in this Section (1). For avoidance of doubt, Veracyte will cover all costs associated with Afirma brand related presence at such industry conferences, trade shows, and scientific meetings.</w:t>
      </w:r>
    </w:p>
    <w:p>
      <w:pPr>
        <w:spacing w:after="0" w:line="2"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party shall share sales leads and marketing intelligence with the other.</w:t>
      </w:r>
    </w:p>
    <w:p>
      <w:pPr>
        <w:spacing w:after="0" w:line="9" w:lineRule="exact"/>
        <w:rPr>
          <w:rFonts w:ascii="Arial" w:cs="Arial" w:eastAsia="Arial" w:hAnsi="Arial"/>
          <w:sz w:val="18"/>
          <w:szCs w:val="18"/>
          <w:color w:val="auto"/>
        </w:rPr>
      </w:pPr>
    </w:p>
    <w:p>
      <w:pPr>
        <w:ind w:left="1140" w:hanging="322"/>
        <w:spacing w:after="0" w:line="265" w:lineRule="auto"/>
        <w:tabs>
          <w:tab w:leader="none" w:pos="1147" w:val="left"/>
        </w:tabs>
        <w:numPr>
          <w:ilvl w:val="0"/>
          <w:numId w:val="19"/>
        </w:numPr>
        <w:rPr>
          <w:rFonts w:ascii="Arial" w:cs="Arial" w:eastAsia="Arial" w:hAnsi="Arial"/>
          <w:sz w:val="17"/>
          <w:szCs w:val="17"/>
          <w:color w:val="auto"/>
        </w:rPr>
      </w:pPr>
      <w:r>
        <w:rPr>
          <w:rFonts w:ascii="Arial" w:cs="Arial" w:eastAsia="Arial" w:hAnsi="Arial"/>
          <w:sz w:val="17"/>
          <w:szCs w:val="17"/>
          <w:color w:val="auto"/>
        </w:rPr>
        <w:t>Genzyme shall continue to provide, at its sole expense, Afirma medical content educational talks in the field focusing solely on Afirma, with a minimum of the equivalent of one program per Genzyme Clinical Sales Associate per half year (approx. 50 per year).</w:t>
      </w:r>
    </w:p>
    <w:p>
      <w:pPr>
        <w:ind w:left="1140" w:right="100" w:hanging="322"/>
        <w:spacing w:after="0" w:line="250" w:lineRule="auto"/>
        <w:tabs>
          <w:tab w:leader="none" w:pos="1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Genzyme shall continue to reimburse Veracyte for the expense of reprints and the printing of marketing and sales collateral, all for use by the sales force. Genzyme will continue to cover the expense of storing printed material in a third party warehouse and distributing such printed materials to the field for use by the sales force as requested.</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Genzyme will continue to pay for the expenses related to the support of Genzyme’s sales force.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Other Marketing Activities: </w:t>
      </w:r>
      <w:r>
        <w:rPr>
          <w:rFonts w:ascii="Arial" w:cs="Arial" w:eastAsia="Arial" w:hAnsi="Arial"/>
          <w:sz w:val="18"/>
          <w:szCs w:val="18"/>
          <w:color w:val="auto"/>
        </w:rPr>
        <w:t>Sections 3 and 4 of the Co-Promotion Agreement and the Annual Commercial Plan shall be amended to provide that Veracyte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responsible for all marketing and medical education activities including all expenses related to advertising and mailings, other than those described above under the heading “Joint Marketing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Genzyme Sales Efforts</w:t>
      </w:r>
      <w:r>
        <w:rPr>
          <w:rFonts w:ascii="Arial" w:cs="Arial" w:eastAsia="Arial" w:hAnsi="Arial"/>
          <w:sz w:val="16"/>
          <w:szCs w:val="16"/>
          <w:color w:val="auto"/>
        </w:rPr>
        <w:t>: Sections 3 and 4 of the Co-Promotion Agreement and the Annual Commercial Plan shall be amended to provide that the sales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activities of Genzyme shall consist solely of: (1) lead generation, qualification and getting the physician to agree to the benefits of Afirma (“front end”); and</w:t>
      </w:r>
    </w:p>
    <w:p>
      <w:pPr>
        <w:spacing w:after="0" w:line="32" w:lineRule="exact"/>
        <w:rPr>
          <w:sz w:val="20"/>
          <w:szCs w:val="20"/>
          <w:color w:val="auto"/>
        </w:rPr>
      </w:pPr>
    </w:p>
    <w:p>
      <w:pPr>
        <w:ind w:right="200" w:firstLine="8"/>
        <w:spacing w:after="0" w:line="255"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 support and maintenance, meaning maintaining conversion (“back end”). The parties shall include provisions in the Second Amendment setting forth reasonable performance metrics related to Genzyme’s sales activities, substantial performance of which shall deemed to be material for purposes of Section 11.2 of the Co-Promotion Agreement.</w:t>
      </w:r>
    </w:p>
    <w:p>
      <w:pPr>
        <w:spacing w:after="0" w:line="18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Veracyte Sales Efforts: </w:t>
      </w:r>
      <w:r>
        <w:rPr>
          <w:rFonts w:ascii="Arial" w:cs="Arial" w:eastAsia="Arial" w:hAnsi="Arial"/>
          <w:sz w:val="18"/>
          <w:szCs w:val="18"/>
          <w:color w:val="auto"/>
        </w:rPr>
        <w:t>Sections 3 and 4 of the Co-Promotion Agreement and the Annual Commercial Plan shall be amended to provide that Veracyte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solely responsible for all critical account conversion and set-up, as well as all sales activities other than those specifically outlined above in “Genzyme Sales Efforts.”</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International Sales and Marketing Activities: </w:t>
      </w:r>
      <w:r>
        <w:rPr>
          <w:rFonts w:ascii="Arial" w:cs="Arial" w:eastAsia="Arial" w:hAnsi="Arial"/>
          <w:sz w:val="18"/>
          <w:szCs w:val="18"/>
          <w:color w:val="auto"/>
        </w:rPr>
        <w:t>The Second Amendment will also include a restructuring of the Co-Promotion Agreement in Territory B</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Genzyme may continue its efforts in certain specified countries and Veracyte shall regain exclusive rights to all other Territory B countries. The Second Amendment will modify, remove or terminate the provisions of the Co-Promotion Agreement that relate to Territory B as appropriate, including without limitation Section 6.5. To the extent the parties mutually desire an agreement for the Test in any country listed in Territory B, they will negotiate the terms and conditions of such agreement, including without limitation the individual sales, marketing and fee structures for each such country, separately.</w:t>
      </w:r>
    </w:p>
    <w:p>
      <w:pPr>
        <w:spacing w:after="0" w:line="18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Clinical Development Funding Commitment</w:t>
      </w:r>
      <w:r>
        <w:rPr>
          <w:rFonts w:ascii="Arial" w:cs="Arial" w:eastAsia="Arial" w:hAnsi="Arial"/>
          <w:sz w:val="18"/>
          <w:szCs w:val="18"/>
          <w:color w:val="auto"/>
        </w:rPr>
        <w:t>. Section 3.4 of the Co-Promotion Agreement shall be amended to provide that Genzyme shall fund the Dutch</w:t>
      </w:r>
      <w:r>
        <w:rPr>
          <w:rFonts w:ascii="Arial" w:cs="Arial" w:eastAsia="Arial" w:hAnsi="Arial"/>
          <w:sz w:val="18"/>
          <w:szCs w:val="18"/>
          <w:b w:val="1"/>
          <w:bCs w:val="1"/>
          <w:color w:val="auto"/>
        </w:rPr>
        <w:t xml:space="preserve"> </w:t>
      </w:r>
      <w:r>
        <w:rPr>
          <w:rFonts w:ascii="Arial" w:cs="Arial" w:eastAsia="Arial" w:hAnsi="Arial"/>
          <w:sz w:val="18"/>
          <w:szCs w:val="18"/>
          <w:color w:val="auto"/>
        </w:rPr>
        <w:t>study in accordance with the protocol and budget (approximately US$170,000) already agreed upon by the parties, which funding shall constitute satisfaction in full of Genzyme’s obligations in Section 3.4 of the Co-Promotion Agreement, with no payments due or payable to Veracyte under this provision other than the costs of the Dutch study. For the avoidance of doubt, funding from Genzyme for the Dutch Study will not extend beyond the end of 2015 and will not exceed US$170,000 in total.</w:t>
      </w:r>
    </w:p>
    <w:p>
      <w:pPr>
        <w:spacing w:after="0" w:line="184"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 xml:space="preserve">Management and Governance: </w:t>
      </w:r>
      <w:r>
        <w:rPr>
          <w:rFonts w:ascii="Arial" w:cs="Arial" w:eastAsia="Arial" w:hAnsi="Arial"/>
          <w:sz w:val="17"/>
          <w:szCs w:val="17"/>
          <w:color w:val="auto"/>
        </w:rPr>
        <w:t>The structure set forth in Section 5 of the Co-Promotion Agreement for managing and governing the activities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revised to the extent necessary to take into account the revised sales and marketing responsibilities set forth in this Exhibit A.</w:t>
      </w:r>
    </w:p>
    <w:p>
      <w:pPr>
        <w:spacing w:after="0" w:line="13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Document Amendments</w:t>
      </w:r>
      <w:r>
        <w:rPr>
          <w:rFonts w:ascii="Arial" w:cs="Arial" w:eastAsia="Arial" w:hAnsi="Arial"/>
          <w:sz w:val="18"/>
          <w:szCs w:val="18"/>
          <w:color w:val="auto"/>
        </w:rPr>
        <w:t>: The Second Amendment may contain such other terms and conditions that the parties mutually agree upon and shall amend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Co-Promotion Agreement to the extent necessary or desirable to eliminate conflicts with the terms set forth in this Letter Agreement. To the extent conflicts remain, the terms of the Second Amendment shall govern.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74" w:orient="portrait"/>
          <w:cols w:equalWidth="0" w:num="1">
            <w:col w:w="11420"/>
          </w:cols>
          <w:pgMar w:left="240" w:top="341" w:right="239" w:bottom="0"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Bonnie Anderson, certify that:</w:t>
      </w:r>
    </w:p>
    <w:p>
      <w:pPr>
        <w:spacing w:after="0" w:line="225" w:lineRule="exact"/>
        <w:rPr>
          <w:sz w:val="20"/>
          <w:szCs w:val="20"/>
          <w:color w:val="auto"/>
        </w:rPr>
      </w:pPr>
    </w:p>
    <w:p>
      <w:pPr>
        <w:ind w:left="440" w:hanging="173"/>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jc w:val="both"/>
        <w:ind w:right="440" w:firstLine="267"/>
        <w:spacing w:after="0" w:line="342" w:lineRule="auto"/>
        <w:tabs>
          <w:tab w:leader="none" w:pos="439"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60" w:firstLine="267"/>
        <w:spacing w:after="0" w:line="277" w:lineRule="auto"/>
        <w:tabs>
          <w:tab w:leader="none" w:pos="4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00" w:firstLine="267"/>
        <w:spacing w:after="0" w:line="277" w:lineRule="auto"/>
        <w:tabs>
          <w:tab w:leader="none" w:pos="4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60" w:right="420" w:firstLine="266"/>
        <w:spacing w:after="0" w:line="264" w:lineRule="auto"/>
        <w:tabs>
          <w:tab w:leader="none" w:pos="7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right="20" w:firstLine="266"/>
        <w:spacing w:after="0" w:line="308" w:lineRule="auto"/>
        <w:tabs>
          <w:tab w:leader="none" w:pos="714"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260" w:right="60" w:firstLine="266"/>
        <w:spacing w:after="0" w:line="264" w:lineRule="auto"/>
        <w:tabs>
          <w:tab w:leader="none" w:pos="7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267"/>
        <w:spacing w:after="0" w:line="308" w:lineRule="auto"/>
        <w:tabs>
          <w:tab w:leader="none" w:pos="439"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60" w:right="400" w:firstLine="266"/>
        <w:spacing w:after="0" w:line="277" w:lineRule="auto"/>
        <w:tabs>
          <w:tab w:leader="none" w:pos="7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right="340" w:firstLine="266"/>
        <w:spacing w:after="0" w:line="277" w:lineRule="auto"/>
        <w:tabs>
          <w:tab w:leader="none" w:pos="71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Shelly Guyer, certify that:</w:t>
      </w:r>
    </w:p>
    <w:p>
      <w:pPr>
        <w:spacing w:after="0" w:line="225" w:lineRule="exact"/>
        <w:rPr>
          <w:sz w:val="20"/>
          <w:szCs w:val="20"/>
          <w:color w:val="auto"/>
        </w:rPr>
      </w:pPr>
    </w:p>
    <w:p>
      <w:pPr>
        <w:ind w:left="440" w:hanging="173"/>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jc w:val="both"/>
        <w:ind w:right="440" w:firstLine="267"/>
        <w:spacing w:after="0" w:line="342" w:lineRule="auto"/>
        <w:tabs>
          <w:tab w:leader="none" w:pos="4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60" w:firstLine="267"/>
        <w:spacing w:after="0" w:line="277" w:lineRule="auto"/>
        <w:tabs>
          <w:tab w:leader="none" w:pos="4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00" w:firstLine="267"/>
        <w:spacing w:after="0" w:line="277" w:lineRule="auto"/>
        <w:tabs>
          <w:tab w:leader="none" w:pos="4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60" w:right="420" w:firstLine="266"/>
        <w:spacing w:after="0" w:line="264" w:lineRule="auto"/>
        <w:tabs>
          <w:tab w:leader="none" w:pos="70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right="20" w:firstLine="266"/>
        <w:spacing w:after="0" w:line="308" w:lineRule="auto"/>
        <w:tabs>
          <w:tab w:leader="none" w:pos="714"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260" w:right="60" w:firstLine="266"/>
        <w:spacing w:after="0" w:line="264" w:lineRule="auto"/>
        <w:tabs>
          <w:tab w:leader="none" w:pos="70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267"/>
        <w:spacing w:after="0" w:line="308" w:lineRule="auto"/>
        <w:tabs>
          <w:tab w:leader="none" w:pos="439"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60" w:right="400" w:firstLine="266"/>
        <w:spacing w:after="0" w:line="277" w:lineRule="auto"/>
        <w:tabs>
          <w:tab w:leader="none" w:pos="70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right="340" w:firstLine="266"/>
        <w:spacing w:after="0" w:line="277" w:lineRule="auto"/>
        <w:tabs>
          <w:tab w:leader="none" w:pos="71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 connection with the Quarterly Report of Veracyte, Inc. (the “Company”) on Form 10-Q for the quarter ended June 30, 2014,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1" w:lineRule="exact"/>
        <w:rPr>
          <w:sz w:val="20"/>
          <w:szCs w:val="20"/>
          <w:color w:val="auto"/>
        </w:rPr>
      </w:pPr>
    </w:p>
    <w:p>
      <w:pPr>
        <w:ind w:left="520" w:hanging="253"/>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60" w:firstLine="267"/>
        <w:spacing w:after="0" w:line="501" w:lineRule="auto"/>
        <w:tabs>
          <w:tab w:leader="none" w:pos="5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14, 2014</w:t>
      </w:r>
    </w:p>
    <w:p>
      <w:pPr>
        <w:ind w:left="5720"/>
        <w:spacing w:after="0"/>
        <w:rPr>
          <w:sz w:val="20"/>
          <w:szCs w:val="20"/>
          <w:color w:val="auto"/>
        </w:rPr>
      </w:pPr>
      <w:r>
        <w:rPr>
          <w:rFonts w:ascii="Arial" w:cs="Arial" w:eastAsia="Arial" w:hAnsi="Arial"/>
          <w:sz w:val="18"/>
          <w:szCs w:val="18"/>
          <w:color w:val="auto"/>
        </w:rPr>
        <w:t>/s/ Bonnie H. Anderson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In connection with the Quarterly Report of Veracyte, Inc. (the “Company”) on Form 10-Q for the quarter ended June 30, 2014,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1" w:lineRule="exact"/>
        <w:rPr>
          <w:sz w:val="20"/>
          <w:szCs w:val="20"/>
          <w:color w:val="auto"/>
        </w:rPr>
      </w:pPr>
    </w:p>
    <w:p>
      <w:pPr>
        <w:ind w:left="520" w:hanging="253"/>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60" w:firstLine="267"/>
        <w:spacing w:after="0" w:line="501" w:lineRule="auto"/>
        <w:tabs>
          <w:tab w:leader="none" w:pos="5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14, 2014</w:t>
      </w:r>
    </w:p>
    <w:p>
      <w:pPr>
        <w:ind w:left="5720"/>
        <w:spacing w:after="0"/>
        <w:rPr>
          <w:sz w:val="20"/>
          <w:szCs w:val="20"/>
          <w:color w:val="auto"/>
        </w:rPr>
      </w:pPr>
      <w:r>
        <w:rPr>
          <w:rFonts w:ascii="Arial" w:cs="Arial" w:eastAsia="Arial" w:hAnsi="Arial"/>
          <w:sz w:val="18"/>
          <w:szCs w:val="18"/>
          <w:color w:val="auto"/>
        </w:rPr>
        <w:t>/s/ Shelly D. Guyer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3"/>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2"/>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2019-12-07T14:34:02Z</dcterms:created>
  <dcterms:modified xsi:type="dcterms:W3CDTF">2019-12-07T14:34:02Z</dcterms:modified>
</cp:coreProperties>
</file>