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4,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58"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158" w:gutter="0" w:footer="0" w:header="0"/>
          <w:type w:val="continuous"/>
        </w:sectPr>
      </w:pPr>
    </w:p>
    <w:p>
      <w:pPr>
        <w:spacing w:after="0" w:line="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3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80" w:space="720"/>
            <w:col w:w="2620"/>
          </w:cols>
          <w:pgMar w:left="240" w:top="544" w:right="239" w:bottom="158"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4"/>
          <w:szCs w:val="24"/>
          <w:color w:val="auto"/>
        </w:rPr>
      </w:pPr>
    </w:p>
    <w:p>
      <w:pPr>
        <w:ind w:right="160" w:firstLine="441"/>
        <w:spacing w:after="0" w:line="273" w:lineRule="auto"/>
        <w:rPr>
          <w:sz w:val="20"/>
          <w:szCs w:val="20"/>
          <w:color w:val="auto"/>
        </w:rPr>
      </w:pPr>
      <w:r>
        <w:rPr>
          <w:rFonts w:ascii="Arial" w:cs="Arial" w:eastAsia="Arial" w:hAnsi="Arial"/>
          <w:sz w:val="17"/>
          <w:szCs w:val="17"/>
          <w:color w:val="auto"/>
        </w:rPr>
        <w:t>In connection with the closing of an initial public offering by Veracyte, Inc. (the “Company”) on November 4, 2013, the Company’s Restated Certificate of Incorporation (the “Restated Certificate”) became effective. A form of the Restated Certificate was previously filed as Exhibit 3.1(b) to the Company’s Registration Statement on Form S-1(File No. 333-191282). Also on November 4, 2013, the Company’s amended and restated bylaws (the “Amended and Restated Bylaws”), in the form previously filed as Exhibit 3.2(b) to the Registration Statement, became effective. A description of the Company’s capital stock giving effect to the adoption of the Restated Certificate and the Amended and Restated Bylaws has previously been reported by the Company in its Prospectus, dated October 29, 2013, filed pursuant to Rule 424(b) of the Securities Act of 1933 on October 30, 2013.</w:t>
      </w:r>
    </w:p>
    <w:p>
      <w:pPr>
        <w:spacing w:after="0" w:line="178" w:lineRule="exact"/>
        <w:rPr>
          <w:sz w:val="24"/>
          <w:szCs w:val="24"/>
          <w:color w:val="auto"/>
        </w:rPr>
      </w:pPr>
    </w:p>
    <w:p>
      <w:pPr>
        <w:ind w:right="340" w:firstLine="441"/>
        <w:spacing w:after="0" w:line="277" w:lineRule="auto"/>
        <w:rPr>
          <w:sz w:val="20"/>
          <w:szCs w:val="20"/>
          <w:color w:val="auto"/>
        </w:rPr>
      </w:pPr>
      <w:r>
        <w:rPr>
          <w:rFonts w:ascii="Arial" w:cs="Arial" w:eastAsia="Arial" w:hAnsi="Arial"/>
          <w:sz w:val="18"/>
          <w:szCs w:val="18"/>
          <w:color w:val="auto"/>
        </w:rPr>
        <w:t>The Restated Certificate and the Amended and Restated Bylaws are filed herewith as Exhibit 3.1 and Exhibit 3.2, respectively, and are incorporated herein by reference.</w:t>
      </w:r>
    </w:p>
    <w:p>
      <w:pPr>
        <w:spacing w:after="0" w:line="166"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76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Veracyte, Inc.</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Amended and Restated Bylaws of Veracyte, Inc.</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544" w:right="239" w:bottom="158" w:gutter="0" w:footer="0" w:header="0"/>
          <w:type w:val="continuous"/>
        </w:sectPr>
      </w:pPr>
    </w:p>
    <w:bookmarkStart w:id="1" w:name="page2"/>
    <w:bookmarkEnd w:id="1"/>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November 8,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40" w:type="dxa"/>
            <w:vAlign w:val="bottom"/>
          </w:tcPr>
          <w:p>
            <w:pPr>
              <w:ind w:left="4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40" w:type="dxa"/>
            <w:vAlign w:val="bottom"/>
          </w:tcPr>
          <w:p>
            <w:pPr>
              <w:ind w:left="40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40" w:type="dxa"/>
            <w:vAlign w:val="bottom"/>
          </w:tcPr>
          <w:p>
            <w:pPr>
              <w:ind w:left="4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jc w:val="center"/>
              <w:ind w:left="3272"/>
              <w:spacing w:after="0"/>
              <w:rPr>
                <w:sz w:val="20"/>
                <w:szCs w:val="20"/>
                <w:color w:val="auto"/>
              </w:rPr>
            </w:pPr>
            <w:r>
              <w:rPr>
                <w:rFonts w:ascii="Arial" w:cs="Arial" w:eastAsia="Arial" w:hAnsi="Arial"/>
                <w:sz w:val="18"/>
                <w:szCs w:val="18"/>
                <w:color w:val="auto"/>
                <w:w w:val="99"/>
              </w:rPr>
              <w:t>3</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7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760" w:type="dxa"/>
            <w:vAlign w:val="bottom"/>
            <w:gridSpan w:val="2"/>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Veracyte, Inc.</w:t>
            </w:r>
          </w:p>
        </w:tc>
        <w:tc>
          <w:tcPr>
            <w:tcW w:w="5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Amended and Restated Bylaws of Veracyte, Inc.</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jc w:val="center"/>
              <w:ind w:left="3272"/>
              <w:spacing w:after="0"/>
              <w:rPr>
                <w:sz w:val="20"/>
                <w:szCs w:val="20"/>
                <w:color w:val="auto"/>
              </w:rPr>
            </w:pPr>
            <w:r>
              <w:rPr>
                <w:rFonts w:ascii="Arial" w:cs="Arial" w:eastAsia="Arial" w:hAnsi="Arial"/>
                <w:sz w:val="18"/>
                <w:szCs w:val="18"/>
                <w:color w:val="auto"/>
                <w:w w:val="99"/>
              </w:rPr>
              <w:t>4</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-1684655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-1684655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First State</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RESTATED CERTIFICATE OF “VERACYTE, INC.”, FILED IN THIS OFFICE ON THE FOURTH DAY OF NOVEMBER, A.D. 2013, AT 8 O’CLOCK A.M.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FILED COPY OF THIS CERTIFICATE HAS BEEN FORWARDED TO THE KENT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289560</wp:posOffset>
            </wp:positionV>
            <wp:extent cx="1355090" cy="129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509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W. Bullock</w:t>
            </w:r>
          </w:p>
        </w:tc>
        <w:tc>
          <w:tcPr>
            <w:tcW w:w="40" w:type="dxa"/>
            <w:vAlign w:val="bottom"/>
          </w:tcPr>
          <w:p>
            <w:pPr>
              <w:spacing w:after="0"/>
              <w:rPr>
                <w:sz w:val="20"/>
                <w:szCs w:val="20"/>
                <w:color w:val="auto"/>
              </w:rPr>
            </w:pPr>
          </w:p>
        </w:tc>
      </w:tr>
      <w:tr>
        <w:trPr>
          <w:trHeight w:val="195"/>
        </w:trPr>
        <w:tc>
          <w:tcPr>
            <w:tcW w:w="5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980" w:type="dxa"/>
            <w:vAlign w:val="bottom"/>
          </w:tcPr>
          <w:p>
            <w:pPr>
              <w:jc w:val="center"/>
              <w:spacing w:after="0" w:line="195" w:lineRule="exact"/>
              <w:rPr>
                <w:sz w:val="20"/>
                <w:szCs w:val="20"/>
                <w:color w:val="auto"/>
              </w:rPr>
            </w:pPr>
            <w:r>
              <w:rPr>
                <w:rFonts w:ascii="Arial" w:cs="Arial" w:eastAsia="Arial" w:hAnsi="Arial"/>
                <w:sz w:val="18"/>
                <w:szCs w:val="18"/>
                <w:color w:val="auto"/>
                <w:w w:val="91"/>
              </w:rPr>
              <w:t>Jeffrey W. Bullock, Secretary of State</w:t>
            </w:r>
          </w:p>
        </w:tc>
        <w:tc>
          <w:tcPr>
            <w:tcW w:w="40" w:type="dxa"/>
            <w:vAlign w:val="bottom"/>
          </w:tcPr>
          <w:p>
            <w:pPr>
              <w:spacing w:after="0"/>
              <w:rPr>
                <w:sz w:val="16"/>
                <w:szCs w:val="16"/>
                <w:color w:val="auto"/>
              </w:rPr>
            </w:pPr>
          </w:p>
        </w:tc>
      </w:tr>
      <w:tr>
        <w:trPr>
          <w:trHeight w:val="230"/>
        </w:trPr>
        <w:tc>
          <w:tcPr>
            <w:tcW w:w="5360" w:type="dxa"/>
            <w:vAlign w:val="bottom"/>
          </w:tcPr>
          <w:p>
            <w:pPr>
              <w:ind w:left="780"/>
              <w:spacing w:after="0"/>
              <w:rPr>
                <w:sz w:val="20"/>
                <w:szCs w:val="20"/>
                <w:color w:val="auto"/>
              </w:rPr>
            </w:pPr>
            <w:r>
              <w:rPr>
                <w:rFonts w:ascii="Arial" w:cs="Arial" w:eastAsia="Arial" w:hAnsi="Arial"/>
                <w:sz w:val="18"/>
                <w:szCs w:val="18"/>
                <w:i w:val="1"/>
                <w:iCs w:val="1"/>
                <w:color w:val="auto"/>
              </w:rPr>
              <w:t>4198998 8100</w:t>
            </w:r>
          </w:p>
        </w:tc>
        <w:tc>
          <w:tcPr>
            <w:tcW w:w="6060" w:type="dxa"/>
            <w:vAlign w:val="bottom"/>
            <w:gridSpan w:val="2"/>
          </w:tcPr>
          <w:p>
            <w:pPr>
              <w:ind w:left="2080"/>
              <w:spacing w:after="0"/>
              <w:rPr>
                <w:sz w:val="20"/>
                <w:szCs w:val="20"/>
                <w:color w:val="auto"/>
              </w:rPr>
            </w:pPr>
            <w:r>
              <w:rPr>
                <w:rFonts w:ascii="Arial" w:cs="Arial" w:eastAsia="Arial" w:hAnsi="Arial"/>
                <w:sz w:val="18"/>
                <w:szCs w:val="18"/>
                <w:i w:val="1"/>
                <w:iCs w:val="1"/>
                <w:color w:val="auto"/>
              </w:rPr>
              <w:t>AUTHENTICATION: 0863312</w:t>
            </w:r>
          </w:p>
        </w:tc>
        <w:tc>
          <w:tcPr>
            <w:tcW w:w="40" w:type="dxa"/>
            <w:vAlign w:val="bottom"/>
          </w:tcPr>
          <w:p>
            <w:pPr>
              <w:spacing w:after="0"/>
              <w:rPr>
                <w:sz w:val="20"/>
                <w:szCs w:val="20"/>
                <w:color w:val="auto"/>
              </w:rPr>
            </w:pPr>
          </w:p>
        </w:tc>
      </w:tr>
      <w:tr>
        <w:trPr>
          <w:trHeight w:val="432"/>
        </w:trPr>
        <w:tc>
          <w:tcPr>
            <w:tcW w:w="5360" w:type="dxa"/>
            <w:vAlign w:val="bottom"/>
          </w:tcPr>
          <w:p>
            <w:pPr>
              <w:ind w:left="780"/>
              <w:spacing w:after="0"/>
              <w:rPr>
                <w:sz w:val="20"/>
                <w:szCs w:val="20"/>
                <w:color w:val="auto"/>
              </w:rPr>
            </w:pPr>
            <w:r>
              <w:rPr>
                <w:rFonts w:ascii="Arial" w:cs="Arial" w:eastAsia="Arial" w:hAnsi="Arial"/>
                <w:sz w:val="18"/>
                <w:szCs w:val="18"/>
                <w:i w:val="1"/>
                <w:iCs w:val="1"/>
                <w:color w:val="auto"/>
              </w:rPr>
              <w:t>131264498</w:t>
            </w:r>
          </w:p>
        </w:tc>
        <w:tc>
          <w:tcPr>
            <w:tcW w:w="208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i w:val="1"/>
                <w:iCs w:val="1"/>
                <w:color w:val="auto"/>
                <w:w w:val="92"/>
              </w:rPr>
              <w:t>DATE: 11-04-13</w:t>
            </w:r>
          </w:p>
        </w:tc>
        <w:tc>
          <w:tcPr>
            <w:tcW w:w="40" w:type="dxa"/>
            <w:vAlign w:val="bottom"/>
          </w:tcPr>
          <w:p>
            <w:pPr>
              <w:spacing w:after="0"/>
              <w:rPr>
                <w:sz w:val="24"/>
                <w:szCs w:val="24"/>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i w:val="1"/>
                <w:iCs w:val="1"/>
                <w:color w:val="auto"/>
              </w:rPr>
              <w:t>You may verify this certificate online at corp.</w:t>
            </w:r>
          </w:p>
        </w:tc>
        <w:tc>
          <w:tcPr>
            <w:tcW w:w="2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delaware.gov/authver.shtml</w:t>
            </w:r>
          </w:p>
        </w:tc>
        <w:tc>
          <w:tcPr>
            <w:tcW w:w="2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536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3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i w:val="1"/>
          <w:iCs w:val="1"/>
          <w:color w:val="auto"/>
        </w:rPr>
        <w:t>Delivered 07:50 AM 11/04/2013</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i w:val="1"/>
          <w:iCs w:val="1"/>
          <w:color w:val="auto"/>
        </w:rPr>
        <w:t>FILED 08:00 AM 11/04/2013</w:t>
      </w:r>
    </w:p>
    <w:p>
      <w:pPr>
        <w:spacing w:after="0" w:line="9"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i w:val="1"/>
          <w:iCs w:val="1"/>
          <w:color w:val="auto"/>
        </w:rPr>
        <w:t>SRV 131264498 - 4198998 FILE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VERACYTE,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Veracyte, Inc., a corporation organized and existing under the laws of the State of Delaware, hereby certifies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Veracyte, Inc.</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SECOND: The original Certificate of Incorporation of the corporation was filed with the Secretary of State of the State of Delaware on August 15, 2006 and the original name of the corporation was Calderome, Inc.</w:t>
      </w:r>
    </w:p>
    <w:p>
      <w:pPr>
        <w:spacing w:after="0" w:line="170" w:lineRule="exact"/>
        <w:rPr>
          <w:sz w:val="20"/>
          <w:szCs w:val="20"/>
          <w:color w:val="auto"/>
        </w:rPr>
      </w:pPr>
    </w:p>
    <w:p>
      <w:pPr>
        <w:ind w:right="940" w:firstLine="648"/>
        <w:spacing w:after="0" w:line="308" w:lineRule="auto"/>
        <w:rPr>
          <w:sz w:val="20"/>
          <w:szCs w:val="20"/>
          <w:color w:val="auto"/>
        </w:rPr>
      </w:pPr>
      <w:r>
        <w:rPr>
          <w:rFonts w:ascii="Arial" w:cs="Arial" w:eastAsia="Arial" w:hAnsi="Arial"/>
          <w:sz w:val="17"/>
          <w:szCs w:val="17"/>
          <w:color w:val="auto"/>
        </w:rPr>
        <w:t>THIRD: Pursuant to Sections 242 and 245 of the General Corporation Law of the State of Delaware, this Restated Certificate of Incorporation restates, integrates and further amends the provisions of the Certificate of Incorporation of the corporation.</w:t>
      </w:r>
    </w:p>
    <w:p>
      <w:pPr>
        <w:sectPr>
          <w:pgSz w:w="11900" w:h="16838" w:orient="portrait"/>
          <w:cols w:equalWidth="0" w:num="1">
            <w:col w:w="11460"/>
          </w:cols>
          <w:pgMar w:left="240" w:top="121" w:right="199" w:bottom="451"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FOURTH:</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of Incorporation of the corporation shall be amended and restated to read in full as follows:</w:t>
      </w:r>
    </w:p>
    <w:p>
      <w:pPr>
        <w:spacing w:after="0" w:line="211" w:lineRule="exact"/>
        <w:rPr>
          <w:sz w:val="20"/>
          <w:szCs w:val="20"/>
          <w:color w:val="auto"/>
        </w:rPr>
      </w:pPr>
    </w:p>
    <w:p>
      <w:pPr>
        <w:sectPr>
          <w:pgSz w:w="11900" w:h="16838" w:orient="portrait"/>
          <w:cols w:equalWidth="0" w:num="2">
            <w:col w:w="1420" w:space="540"/>
            <w:col w:w="9500"/>
          </w:cols>
          <w:pgMar w:left="240" w:top="121" w:right="199" w:bottom="451" w:gutter="0" w:footer="0" w:header="0"/>
          <w:type w:val="continuous"/>
        </w:sectPr>
      </w:pP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ectPr>
          <w:pgSz w:w="11900" w:h="16838" w:orient="portrait"/>
          <w:cols w:equalWidth="0" w:num="1">
            <w:col w:w="11460"/>
          </w:cols>
          <w:pgMar w:left="240" w:top="121" w:right="199" w:bottom="451"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Veracyte,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160 Greentree Drive, Suite 101, in the City of Dover, County of Kent, 19904. The name of its registered agent at such address is National Registered Agents, Inc.</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the State of Delaware (the “DGCL”).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right="40" w:firstLine="1305"/>
        <w:spacing w:after="0" w:line="297" w:lineRule="auto"/>
        <w:tabs>
          <w:tab w:leader="none" w:pos="195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Classes of Stock</w:t>
      </w:r>
      <w:r>
        <w:rPr>
          <w:rFonts w:ascii="Arial" w:cs="Arial" w:eastAsia="Arial" w:hAnsi="Arial"/>
          <w:sz w:val="16"/>
          <w:szCs w:val="16"/>
          <w:color w:val="auto"/>
        </w:rPr>
        <w:t>. The total number of shares of all classes of classes of capital stock that the corporation shall have authority to issue is one hundred thirty million (130,000,000), of which one hundred twenty-five million (125,000,000) shares of the par value of one-tenth of one cent ($0.001) each shall be Common Stock (the “Common Stock”) and five million (5,000,000) shares of the par value of one-tenth of one cent ($0.001) each shall be Preferred Stock (the “Preferred Stock”). The number of authorized shares of Common Stock or Preferred Stock may be increased or decreased (but not below the number of shares thereof then outstanding) by the affirmative vote of the holders of a majority of the then outstanding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451" w:gutter="0" w:footer="0" w:header="0"/>
          <w:type w:val="continuous"/>
        </w:sectPr>
      </w:pPr>
    </w:p>
    <w:bookmarkStart w:id="3" w:name="page4"/>
    <w:bookmarkEnd w:id="3"/>
    <w:p>
      <w:pPr>
        <w:ind w:right="40"/>
        <w:spacing w:after="0" w:line="257" w:lineRule="auto"/>
        <w:rPr>
          <w:sz w:val="20"/>
          <w:szCs w:val="20"/>
          <w:color w:val="auto"/>
        </w:rPr>
      </w:pPr>
      <w:r>
        <w:rPr>
          <w:rFonts w:ascii="Arial" w:cs="Arial" w:eastAsia="Arial" w:hAnsi="Arial"/>
          <w:sz w:val="18"/>
          <w:szCs w:val="18"/>
          <w:color w:val="auto"/>
        </w:rPr>
        <w:t>Common Stock, without a vote of the holders of the Preferred Stock, or of any series thereof, unless a vote of any such Preferred Stock holders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88" w:lineRule="exact"/>
        <w:rPr>
          <w:sz w:val="20"/>
          <w:szCs w:val="20"/>
          <w:color w:val="auto"/>
        </w:rPr>
      </w:pPr>
    </w:p>
    <w:p>
      <w:pPr>
        <w:ind w:right="80" w:firstLine="1305"/>
        <w:spacing w:after="0" w:line="270" w:lineRule="auto"/>
        <w:tabs>
          <w:tab w:leader="none" w:pos="1948"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as determined by the Board of Directors. The Board of Directors is expressly authorized to provide for the issue, in one or more series, of all or any of the remaining shares of Preferred Stock and, in the resolution or resolutions providing for such issue, to establish for each such series the number of its shares,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The Board of Directors is also expressly authorized (unless forbidden in the resolution or resolutions providing for such issue) to increase or decrease (but not below the number of shares of such series then outstanding) the number of shares of any series subsequent to the issuance of shares of that series. In case the number of shares of any such series shall be so decreased, the shares constituting such decrease shall resume the status that they had prior to the adoption of the resolution originally fixing the number of shares of such series.</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280" w:firstLine="1305"/>
        <w:spacing w:after="0" w:line="264" w:lineRule="auto"/>
        <w:tabs>
          <w:tab w:leader="none" w:pos="194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Relative Rights of Preferred Stock and Common Stock</w:t>
      </w:r>
      <w:r>
        <w:rPr>
          <w:rFonts w:ascii="Arial" w:cs="Arial" w:eastAsia="Arial" w:hAnsi="Arial"/>
          <w:sz w:val="18"/>
          <w:szCs w:val="18"/>
          <w:color w:val="auto"/>
        </w:rPr>
        <w:t>. All preferences, voting powers, relative, participating, optional or other special rights and privileges, and qualifications, limitations, or restrictions of the Common Stock are expressly made subject and subordinate to those that may be fixed with respect to any shares of the Preferred Stock.</w:t>
      </w:r>
    </w:p>
    <w:p>
      <w:pPr>
        <w:spacing w:after="0" w:line="181" w:lineRule="exact"/>
        <w:rPr>
          <w:rFonts w:ascii="Arial" w:cs="Arial" w:eastAsia="Arial" w:hAnsi="Arial"/>
          <w:sz w:val="18"/>
          <w:szCs w:val="18"/>
          <w:color w:val="auto"/>
        </w:rPr>
      </w:pPr>
    </w:p>
    <w:p>
      <w:pPr>
        <w:ind w:right="300" w:firstLine="1305"/>
        <w:spacing w:after="0" w:line="264" w:lineRule="auto"/>
        <w:tabs>
          <w:tab w:leader="none" w:pos="194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 or this Restated Certificate of Incorporation, each holder of Common Stock shall have one vote in respect of each share of stock held by such holder of record on the books of the corporation for the election of directors and on all matters submitted to a vote of stockholders of the corporation.</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the holders of shares of Common Stock shall be entitled to receive, when and if declared by the Board of Directors, out of the assets of the corporation which are by law available therefor, dividends payable either in cash, in property or in shares of capital stock.</w:t>
      </w:r>
    </w:p>
    <w:p>
      <w:pPr>
        <w:spacing w:after="0" w:line="181" w:lineRule="exact"/>
        <w:rPr>
          <w:rFonts w:ascii="Arial" w:cs="Arial" w:eastAsia="Arial" w:hAnsi="Arial"/>
          <w:sz w:val="18"/>
          <w:szCs w:val="18"/>
          <w:color w:val="auto"/>
        </w:rPr>
      </w:pPr>
    </w:p>
    <w:p>
      <w:pPr>
        <w:jc w:val="both"/>
        <w:ind w:right="40" w:firstLine="1305"/>
        <w:spacing w:after="0" w:line="312" w:lineRule="auto"/>
        <w:tabs>
          <w:tab w:leader="none" w:pos="194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Winding Up</w:t>
      </w:r>
      <w:r>
        <w:rPr>
          <w:rFonts w:ascii="Arial" w:cs="Arial" w:eastAsia="Arial" w:hAnsi="Arial"/>
          <w:sz w:val="16"/>
          <w:szCs w:val="16"/>
          <w:color w:val="auto"/>
        </w:rPr>
        <w:t>. In the event of any dissolution, liquidation or winding up of the affairs of the corporation, after distribution in full of the preferential amounts, if any, to be distributed to the holders of shares of the Preferred Stock, holders of Common Stock shall be entitled, unless otherwise provided by law or this Restated Certificate of Incorporation, to receive all of the remaining assets of the corporation of whatever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kind available for distribution to stockholders ratably in proportion to the number of shares of Common Stock held by them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furtherance and not in limitation of the powers conferred by the laws of the State of Delaware:</w:t>
      </w:r>
    </w:p>
    <w:p>
      <w:pPr>
        <w:spacing w:after="0" w:line="225"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of Directors.</w:t>
      </w:r>
    </w:p>
    <w:p>
      <w:pPr>
        <w:spacing w:after="0" w:line="225" w:lineRule="exact"/>
        <w:rPr>
          <w:rFonts w:ascii="Arial" w:cs="Arial" w:eastAsia="Arial" w:hAnsi="Arial"/>
          <w:sz w:val="18"/>
          <w:szCs w:val="18"/>
          <w:color w:val="auto"/>
        </w:rPr>
      </w:pPr>
    </w:p>
    <w:p>
      <w:pPr>
        <w:ind w:right="60" w:firstLine="1305"/>
        <w:spacing w:after="0" w:line="270" w:lineRule="auto"/>
        <w:tabs>
          <w:tab w:leader="none" w:pos="194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Board of Directors is expressly authorized to adopt, amend or repeal the bylaws of the corporation without any action on the part of the stockholders, by the vote of at least a majority of the directors of the corporation then in office; which shall include the affirmative vote of at least one director from each class of the Board of Directors if the Board of Directors shall then be divided into classes. In addition to any vote of the holders of any class or series of stock of the corporation required by law or the certificate of incorporation of the corporation, the bylaws may also be adopted, amended or repealed by the affirmative vote of the holders of at least sixty-six and two-thirds percent (66-2/3%) of the voting power of all of the then outstanding shares of the shares of the capital stock of the corporation entitled to vote generally in the election of directors, voting as a single class; provided,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(2/3) of the directors of the corporation then in office.</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rFonts w:ascii="Arial" w:cs="Arial" w:eastAsia="Arial" w:hAnsi="Arial"/>
          <w:sz w:val="18"/>
          <w:szCs w:val="18"/>
          <w:color w:val="auto"/>
        </w:rPr>
      </w:pPr>
    </w:p>
    <w:p>
      <w:pPr>
        <w:ind w:right="220" w:firstLine="1305"/>
        <w:spacing w:after="0" w:line="277" w:lineRule="auto"/>
        <w:tabs>
          <w:tab w:leader="none" w:pos="195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books of the corporation may be kept at such place within or without the State of Delaware as the bylaws of the corporation may provide or as may be designated from time to time by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firstLine="1305"/>
        <w:spacing w:after="0" w:line="264" w:lineRule="auto"/>
        <w:tabs>
          <w:tab w:leader="none" w:pos="195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Number of Directors</w:t>
      </w:r>
      <w:r>
        <w:rPr>
          <w:rFonts w:ascii="Arial" w:cs="Arial" w:eastAsia="Arial" w:hAnsi="Arial"/>
          <w:sz w:val="18"/>
          <w:szCs w:val="18"/>
          <w:color w:val="auto"/>
        </w:rPr>
        <w:t>. Subject to the rights of holders of any series of Preferred Stock with respect to the election of directors, the number of directors that constitutes the entire Board of Directors of the corporation shall be fixed exclusively by one or more resolutions adopted from time to time by the Board of Directors.</w:t>
      </w:r>
    </w:p>
    <w:p>
      <w:pPr>
        <w:spacing w:after="0" w:line="181" w:lineRule="exact"/>
        <w:rPr>
          <w:rFonts w:ascii="Arial" w:cs="Arial" w:eastAsia="Arial" w:hAnsi="Arial"/>
          <w:sz w:val="18"/>
          <w:szCs w:val="18"/>
          <w:color w:val="auto"/>
        </w:rPr>
      </w:pPr>
    </w:p>
    <w:p>
      <w:pPr>
        <w:ind w:right="40" w:firstLine="1305"/>
        <w:spacing w:after="0" w:line="257" w:lineRule="auto"/>
        <w:tabs>
          <w:tab w:leader="none" w:pos="194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The Board of Directors, other than those directors elected by the holders of any series of Preferred Stock as provided for or fixed pursuant to the provisions of Article IV of this Restated Certificate of Incorporation, shall be divided into three classes, designated Class I, Class II and Class III, as nearly equal in number as possible, and the term of office of directors of one class shall expire at each annual meeting of stockholders, and in all cases as to each director until his or her successor shall be duly elected and qualified or until his or her earlier resignation, removal from office, death or incapacity. Upon the effectiveness of</w:t>
      </w:r>
    </w:p>
    <w:p>
      <w:pPr>
        <w:sectPr>
          <w:pgSz w:w="11900" w:h="16838" w:orient="portrait"/>
          <w:cols w:equalWidth="0" w:num="1">
            <w:col w:w="11420"/>
          </w:cols>
          <w:pgMar w:left="240" w:top="125" w:right="239" w:bottom="111"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4" w:name="page5"/>
    <w:bookmarkEnd w:id="4"/>
    <w:p>
      <w:pPr>
        <w:ind w:right="40"/>
        <w:spacing w:after="0" w:line="272" w:lineRule="auto"/>
        <w:rPr>
          <w:sz w:val="20"/>
          <w:szCs w:val="20"/>
          <w:color w:val="auto"/>
        </w:rPr>
      </w:pPr>
      <w:r>
        <w:rPr>
          <w:rFonts w:ascii="Arial" w:cs="Arial" w:eastAsia="Arial" w:hAnsi="Arial"/>
          <w:sz w:val="17"/>
          <w:szCs w:val="17"/>
          <w:color w:val="auto"/>
        </w:rPr>
        <w:t>this Restated Certificate of Incorporation (the “Effective Time”), the Board of Directors shall assign all members of the Board of Directors then in office to a class, and those directors assigned to Class I shall hold office for a term expiring at the first regularly scheduled annual meeting of stockholders following the Effective Time, those directors assigned to Class II shall hold office for a term expiring at the second regularly scheduled annual meeting of stockholders following the Effective Time, and those directors assigned to Class III shall hold office for a term expiring at the third regularly scheduled annual meeting of stockholders following the Effective Time. At each succeeding annual meeting of stockholders, a number of directors equal to the number of directors of the class whose term expires at the time of such meeting (or, if less, the number of directors properly nominated and qualified for election) shall be elected to hold office until the third succeeding annual meeting of stockholders after their election.</w:t>
      </w:r>
    </w:p>
    <w:p>
      <w:pPr>
        <w:spacing w:after="0" w:line="178" w:lineRule="exact"/>
        <w:rPr>
          <w:sz w:val="20"/>
          <w:szCs w:val="20"/>
          <w:color w:val="auto"/>
        </w:rPr>
      </w:pPr>
    </w:p>
    <w:p>
      <w:pPr>
        <w:ind w:right="40" w:firstLine="1305"/>
        <w:spacing w:after="0" w:line="287" w:lineRule="auto"/>
        <w:tabs>
          <w:tab w:leader="none" w:pos="194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any vacancies on the Board of Directors resulting from death, resignation, retirement, disqualification, removal, or other cause, shall be filled only by the affirmative vote of a majority of the remaining directors then in office, even though less than a quorum of the Board of Directors, or by a sole remaining director. Any director elected in accordance with the preceding sentence shall hold office for the remainder of the full term of the class of directors in which the new directorship was created or in which the vacancy occurred, and until such director’s successor shall have been duly elected and qualified or until his or her earlier resignation, removal from office, death or incapacity. Additional directorships resulting from an increase in the number of directors pursuant to paragraph A of this Article VI shall be apportioned among the three classes as equally as possible. Subject to the provisions of this Restated Certificate of Incorporation, no decrease in the number of directors constituting the Board of Directors shall shorten the term of any incumbent director. In the event of a vacancy in the Board of Directors, the remaining directors, except as otherwise provided by law, or by the certificate of incorporation or the bylaws of the corporation, may exercise the powers of the full board until the vacancy is filled.</w:t>
      </w:r>
    </w:p>
    <w:p>
      <w:pPr>
        <w:spacing w:after="0" w:line="172" w:lineRule="exact"/>
        <w:rPr>
          <w:rFonts w:ascii="Arial" w:cs="Arial" w:eastAsia="Arial" w:hAnsi="Arial"/>
          <w:sz w:val="16"/>
          <w:szCs w:val="16"/>
          <w:color w:val="auto"/>
        </w:rPr>
      </w:pPr>
    </w:p>
    <w:p>
      <w:pPr>
        <w:ind w:right="100" w:firstLine="1305"/>
        <w:spacing w:after="0" w:line="259" w:lineRule="auto"/>
        <w:tabs>
          <w:tab w:leader="none" w:pos="19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Subject to the special rights of the holders of one or more series of Preferred Stock with respect to the election of directors, any director or the entire Board of Directors may be removed only for cause and only by the affirmative vote of the holders of sixty-six and two-thirds percent (66-2/3%) of the voting power of all of the then outstanding shares of the shares of the capital stock of the corporation entitled to vote generally in the election of directors, voting as a single class.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right="160" w:firstLine="1305"/>
        <w:spacing w:after="0" w:line="259" w:lineRule="auto"/>
        <w:tabs>
          <w:tab w:leader="none" w:pos="195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provided for or fixed pursuant to the provisions of Article IV of this Restated Certificate of Incorporation relating to the rights of the holders of any series of Preferred Stock to act by written consent, no action required or permitted to be taken by the stockholders of the corporation at any annual or special meeting of the stockholders of the corporation may be taken without a meeting, and the power of stockholders to consent in writing, without a meeting, to the taking of any action is specifically denied.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302" w:lineRule="auto"/>
        <w:tabs>
          <w:tab w:leader="none" w:pos="1948"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otherwise provided for or fixed pursuant to the provisions of Article IV of this Restated Certificate of Incorporation relating to the rights of the holders of any series of Preferred Stock to call a special meeting of the holders of such series, special meetings of the stockholders of the corporation may be called only by the Chairman of the Board or the Chief Executive Officer of the corporation or by a resolution adopted by the affirmative vote of a majority of the Board of Directors, and any power of stockholders to call a special meeting of stockholders is specifically denied.</w:t>
      </w:r>
    </w:p>
    <w:p>
      <w:pPr>
        <w:spacing w:after="0" w:line="154" w:lineRule="exact"/>
        <w:rPr>
          <w:rFonts w:ascii="Arial" w:cs="Arial" w:eastAsia="Arial" w:hAnsi="Arial"/>
          <w:sz w:val="16"/>
          <w:szCs w:val="16"/>
          <w:color w:val="auto"/>
        </w:rPr>
      </w:pPr>
    </w:p>
    <w:p>
      <w:pPr>
        <w:ind w:right="160" w:firstLine="1305"/>
        <w:spacing w:after="0" w:line="308" w:lineRule="auto"/>
        <w:tabs>
          <w:tab w:leader="none" w:pos="1948"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right="40" w:firstLine="1305"/>
        <w:spacing w:after="0" w:line="279" w:lineRule="auto"/>
        <w:tabs>
          <w:tab w:leader="none" w:pos="195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Limitation on Liability</w:t>
      </w:r>
      <w:r>
        <w:rPr>
          <w:rFonts w:ascii="Arial" w:cs="Arial" w:eastAsia="Arial" w:hAnsi="Arial"/>
          <w:sz w:val="17"/>
          <w:szCs w:val="17"/>
          <w:color w:val="auto"/>
        </w:rPr>
        <w:t>. To the fullest extent permitted by the DGCL, as the same exists or as may hereafter be amended,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1" w:lineRule="exact"/>
        <w:rPr>
          <w:rFonts w:ascii="Arial" w:cs="Arial" w:eastAsia="Arial" w:hAnsi="Arial"/>
          <w:sz w:val="17"/>
          <w:szCs w:val="17"/>
          <w:color w:val="auto"/>
        </w:rPr>
      </w:pPr>
    </w:p>
    <w:p>
      <w:pPr>
        <w:ind w:right="20" w:firstLine="1305"/>
        <w:spacing w:after="0" w:line="271" w:lineRule="auto"/>
        <w:tabs>
          <w:tab w:leader="none" w:pos="194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was a director or officer of the corporation or is or was serving at the request of the corporation as a director, officer, employee or agent of another corporation or of a partnership, joint venture, trust, employee benefit plan or other enterprise (including the heirs, executors, administrators or estate of such person), shall be indemnified and advanced expenses by the corporation, in accordance with the bylaws of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any other applicable laws as presently or hereinafter in effect. The right to indemnification and advancement of expenses hereunder shall not be exclusive of any other right that any person may have or hereafter acquire under any statute, provision of the Restated Certificate of Incorporation, bylaw, agreement, vote of stockholders or disinterested directors or otherwise.</w:t>
      </w:r>
    </w:p>
    <w:p>
      <w:pPr>
        <w:spacing w:after="0" w:line="178" w:lineRule="exact"/>
        <w:rPr>
          <w:rFonts w:ascii="Arial" w:cs="Arial" w:eastAsia="Arial" w:hAnsi="Arial"/>
          <w:sz w:val="17"/>
          <w:szCs w:val="17"/>
          <w:color w:val="auto"/>
        </w:rPr>
      </w:pPr>
    </w:p>
    <w:p>
      <w:pPr>
        <w:ind w:right="100" w:firstLine="1305"/>
        <w:spacing w:after="0" w:line="279" w:lineRule="auto"/>
        <w:tabs>
          <w:tab w:leader="none" w:pos="194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to the fullest extent permitted by law, purchase and maintain insurance on behalf of any person who is or was a director, officer, employee or agent of the corporation or another corporation, partnership, joint venture, trust, employee benefit plan or other enterprise against any expense, liability or loss incurred by such person in any such capacity or arising out of such person’s status as such, whether or not the corporation would have the power to indemnify such person against such expense, liability or loss under the DGCL.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195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Repeal and Modification</w:t>
      </w:r>
      <w:r>
        <w:rPr>
          <w:rFonts w:ascii="Arial" w:cs="Arial" w:eastAsia="Arial" w:hAnsi="Arial"/>
          <w:sz w:val="18"/>
          <w:szCs w:val="18"/>
          <w:color w:val="auto"/>
        </w:rPr>
        <w:t>. Any repeal or modification of the foregoing provisions of this Article VIII shall not adversely affect any right or protection existing hereunder immediately prior to such repeal or modification.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ectPr>
          <w:pgSz w:w="11900" w:h="16838" w:orient="portrait"/>
          <w:cols w:equalWidth="0" w:num="1">
            <w:col w:w="11400"/>
          </w:cols>
          <w:pgMar w:left="240" w:top="341" w:right="259" w:bottom="32" w:gutter="0" w:footer="0" w:header="0"/>
        </w:sectPr>
      </w:pPr>
    </w:p>
    <w:bookmarkStart w:id="5" w:name="page6"/>
    <w:bookmarkEnd w:id="5"/>
    <w:p>
      <w:pPr>
        <w:ind w:right="60" w:firstLine="1297"/>
        <w:spacing w:after="0" w:line="255"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Any person or entity purchasing or otherwise acquiring any interest in shares of capital stock of the corporation shall be deemed to have notice of and consented to the provisions of this Article IX.</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Notwithstanding any other provision of this Restated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 shall be required to amend in any respect or repeal this Article X, or paragraph A of Article V, or Article VI, VII, VIII or IX.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860" w:type="dxa"/>
            <w:vAlign w:val="bottom"/>
          </w:tcPr>
          <w:p>
            <w:pPr>
              <w:jc w:val="right"/>
              <w:ind w:right="5390"/>
              <w:spacing w:after="0"/>
              <w:rPr>
                <w:sz w:val="20"/>
                <w:szCs w:val="20"/>
                <w:color w:val="auto"/>
              </w:rPr>
            </w:pPr>
            <w:r>
              <w:rPr>
                <w:rFonts w:ascii="Arial" w:cs="Arial" w:eastAsia="Arial" w:hAnsi="Arial"/>
                <w:sz w:val="18"/>
                <w:szCs w:val="18"/>
                <w:color w:val="auto"/>
              </w:rPr>
              <w:t>*  *  *</w:t>
            </w:r>
          </w:p>
        </w:tc>
      </w:tr>
      <w:tr>
        <w:trPr>
          <w:trHeight w:val="432"/>
        </w:trPr>
        <w:tc>
          <w:tcPr>
            <w:tcW w:w="1600" w:type="dxa"/>
            <w:vAlign w:val="bottom"/>
          </w:tcPr>
          <w:p>
            <w:pPr>
              <w:ind w:left="660"/>
              <w:spacing w:after="0"/>
              <w:rPr>
                <w:sz w:val="20"/>
                <w:szCs w:val="20"/>
                <w:color w:val="auto"/>
              </w:rPr>
            </w:pPr>
            <w:r>
              <w:rPr>
                <w:rFonts w:ascii="Arial" w:cs="Arial" w:eastAsia="Arial" w:hAnsi="Arial"/>
                <w:sz w:val="18"/>
                <w:szCs w:val="18"/>
                <w:color w:val="auto"/>
              </w:rPr>
              <w:t>FIFTH:</w:t>
            </w:r>
          </w:p>
        </w:tc>
        <w:tc>
          <w:tcPr>
            <w:tcW w:w="9860" w:type="dxa"/>
            <w:vAlign w:val="bottom"/>
          </w:tcPr>
          <w:p>
            <w:pPr>
              <w:ind w:left="340"/>
              <w:spacing w:after="0"/>
              <w:rPr>
                <w:sz w:val="20"/>
                <w:szCs w:val="20"/>
                <w:color w:val="auto"/>
              </w:rPr>
            </w:pPr>
            <w:r>
              <w:rPr>
                <w:rFonts w:ascii="Arial" w:cs="Arial" w:eastAsia="Arial" w:hAnsi="Arial"/>
                <w:sz w:val="18"/>
                <w:szCs w:val="18"/>
                <w:color w:val="auto"/>
              </w:rPr>
              <w:t>This Restated Certificate of Incorporation was duly adopted by the Board of Directors of the corporation.</w:t>
            </w:r>
          </w:p>
        </w:tc>
      </w:tr>
      <w:tr>
        <w:trPr>
          <w:trHeight w:val="432"/>
        </w:trPr>
        <w:tc>
          <w:tcPr>
            <w:tcW w:w="1600" w:type="dxa"/>
            <w:vAlign w:val="bottom"/>
          </w:tcPr>
          <w:p>
            <w:pPr>
              <w:spacing w:after="0"/>
              <w:rPr>
                <w:sz w:val="24"/>
                <w:szCs w:val="24"/>
                <w:color w:val="auto"/>
              </w:rPr>
            </w:pPr>
          </w:p>
        </w:tc>
        <w:tc>
          <w:tcPr>
            <w:tcW w:w="9860" w:type="dxa"/>
            <w:vAlign w:val="bottom"/>
          </w:tcPr>
          <w:p>
            <w:pPr>
              <w:jc w:val="right"/>
              <w:ind w:right="5610"/>
              <w:spacing w:after="0"/>
              <w:rPr>
                <w:sz w:val="20"/>
                <w:szCs w:val="20"/>
                <w:color w:val="auto"/>
              </w:rPr>
            </w:pPr>
            <w:r>
              <w:rPr>
                <w:rFonts w:ascii="Arial" w:cs="Arial" w:eastAsia="Arial" w:hAnsi="Arial"/>
                <w:sz w:val="18"/>
                <w:szCs w:val="18"/>
                <w:color w:val="auto"/>
              </w:rPr>
              <w:t>6</w:t>
            </w:r>
          </w:p>
        </w:tc>
      </w:tr>
      <w:tr>
        <w:trPr>
          <w:trHeight w:val="132"/>
        </w:trPr>
        <w:tc>
          <w:tcPr>
            <w:tcW w:w="1600" w:type="dxa"/>
            <w:vAlign w:val="bottom"/>
            <w:tcBorders>
              <w:bottom w:val="single" w:sz="8" w:color="010101"/>
            </w:tcBorders>
          </w:tcPr>
          <w:p>
            <w:pPr>
              <w:spacing w:after="0"/>
              <w:rPr>
                <w:sz w:val="11"/>
                <w:szCs w:val="11"/>
                <w:color w:val="auto"/>
              </w:rPr>
            </w:pPr>
          </w:p>
        </w:tc>
        <w:tc>
          <w:tcPr>
            <w:tcW w:w="9860" w:type="dxa"/>
            <w:vAlign w:val="bottom"/>
            <w:tcBorders>
              <w:bottom w:val="single" w:sz="8" w:color="010101"/>
            </w:tcBorders>
          </w:tcPr>
          <w:p>
            <w:pPr>
              <w:spacing w:after="0"/>
              <w:rPr>
                <w:sz w:val="11"/>
                <w:szCs w:val="11"/>
                <w:color w:val="auto"/>
              </w:rPr>
            </w:pPr>
          </w:p>
        </w:tc>
      </w:tr>
      <w:tr>
        <w:trPr>
          <w:trHeight w:val="780"/>
        </w:trPr>
        <w:tc>
          <w:tcPr>
            <w:tcW w:w="1600" w:type="dxa"/>
            <w:vAlign w:val="bottom"/>
          </w:tcPr>
          <w:p>
            <w:pPr>
              <w:ind w:left="660"/>
              <w:spacing w:after="0"/>
              <w:rPr>
                <w:sz w:val="20"/>
                <w:szCs w:val="20"/>
                <w:color w:val="auto"/>
              </w:rPr>
            </w:pPr>
            <w:r>
              <w:rPr>
                <w:rFonts w:ascii="Arial" w:cs="Arial" w:eastAsia="Arial" w:hAnsi="Arial"/>
                <w:sz w:val="18"/>
                <w:szCs w:val="18"/>
                <w:color w:val="auto"/>
              </w:rPr>
              <w:t>SIXTH:</w:t>
            </w:r>
          </w:p>
        </w:tc>
        <w:tc>
          <w:tcPr>
            <w:tcW w:w="9860" w:type="dxa"/>
            <w:vAlign w:val="bottom"/>
          </w:tcPr>
          <w:p>
            <w:pPr>
              <w:ind w:left="360"/>
              <w:spacing w:after="0"/>
              <w:rPr>
                <w:sz w:val="20"/>
                <w:szCs w:val="20"/>
                <w:color w:val="auto"/>
              </w:rPr>
            </w:pPr>
            <w:r>
              <w:rPr>
                <w:rFonts w:ascii="Arial" w:cs="Arial" w:eastAsia="Arial" w:hAnsi="Arial"/>
                <w:sz w:val="18"/>
                <w:szCs w:val="18"/>
                <w:color w:val="auto"/>
                <w:w w:val="91"/>
              </w:rPr>
              <w:t>This Restated Certificate of Incorporation was duly adopted by the stockholders in accordance with the provisions of Sections 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40"/>
        <w:spacing w:after="0" w:line="255" w:lineRule="auto"/>
        <w:rPr>
          <w:sz w:val="20"/>
          <w:szCs w:val="20"/>
          <w:color w:val="auto"/>
        </w:rPr>
      </w:pPr>
      <w:r>
        <w:rPr>
          <w:rFonts w:ascii="Arial" w:cs="Arial" w:eastAsia="Arial" w:hAnsi="Arial"/>
          <w:sz w:val="18"/>
          <w:szCs w:val="18"/>
          <w:color w:val="auto"/>
        </w:rPr>
        <w:t>and 245 of the General Corporation Law of the State of Delaware. Written consent of the stockholders has been given with respect to this Restated Certificate of Incorporation in accordance with Section 228 of the General Corporation Law of the State of Delaware, and written notice has been given as provided in Section 228.</w:t>
      </w:r>
    </w:p>
    <w:p>
      <w:pPr>
        <w:spacing w:after="0" w:line="190"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IN WITNESS WHEREOF, the corporation has caused this certificate to be signed by its Chief Executive Officer and attested by its Secretary this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November, 2013.</w:t>
      </w:r>
    </w:p>
    <w:p>
      <w:pPr>
        <w:spacing w:after="0" w:line="29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6000"/>
        <w:spacing w:after="0"/>
        <w:tabs>
          <w:tab w:leader="none" w:pos="6440" w:val="left"/>
        </w:tabs>
        <w:rPr>
          <w:sz w:val="20"/>
          <w:szCs w:val="20"/>
          <w:color w:val="auto"/>
        </w:rPr>
      </w:pPr>
      <w:r>
        <w:rPr>
          <w:rFonts w:ascii="Arial" w:cs="Arial" w:eastAsia="Arial" w:hAnsi="Arial"/>
          <w:sz w:val="18"/>
          <w:szCs w:val="18"/>
          <w:color w:val="auto"/>
        </w:rPr>
        <w:t>By</w:t>
        <w:tab/>
        <w:t>/s/ Bonnie Anderson</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7"/>
              </w:rPr>
              <w:t>Attest:</w:t>
            </w:r>
          </w:p>
        </w:tc>
        <w:tc>
          <w:tcPr>
            <w:tcW w:w="5200" w:type="dxa"/>
            <w:vAlign w:val="bottom"/>
          </w:tcPr>
          <w:p>
            <w:pPr>
              <w:spacing w:after="0"/>
              <w:rPr>
                <w:sz w:val="20"/>
                <w:szCs w:val="20"/>
                <w:color w:val="auto"/>
              </w:rPr>
            </w:pP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52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5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 w:name="page7"/>
    <w:bookmarkEnd w:id="6"/>
    <w:p>
      <w:pPr>
        <w:ind w:left="1058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958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AMENDED AND RESTATED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9580" w:type="dxa"/>
            <w:vAlign w:val="bottom"/>
          </w:tcPr>
          <w:p>
            <w:pPr>
              <w:jc w:val="center"/>
              <w:ind w:right="450"/>
              <w:spacing w:after="0"/>
              <w:rPr>
                <w:sz w:val="20"/>
                <w:szCs w:val="20"/>
                <w:color w:val="auto"/>
              </w:rPr>
            </w:pPr>
            <w:r>
              <w:rPr>
                <w:rFonts w:ascii="Arial" w:cs="Arial" w:eastAsia="Arial" w:hAnsi="Arial"/>
                <w:sz w:val="18"/>
                <w:szCs w:val="18"/>
                <w:b w:val="1"/>
                <w:bCs w:val="1"/>
                <w:color w:val="auto"/>
                <w:w w:val="97"/>
              </w:rPr>
              <w:t>B Y L A W 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580" w:type="dxa"/>
            <w:vAlign w:val="bottom"/>
          </w:tcPr>
          <w:p>
            <w:pPr>
              <w:jc w:val="center"/>
              <w:ind w:right="470"/>
              <w:spacing w:after="0"/>
              <w:rPr>
                <w:sz w:val="20"/>
                <w:szCs w:val="20"/>
                <w:color w:val="auto"/>
              </w:rPr>
            </w:pPr>
            <w:r>
              <w:rPr>
                <w:rFonts w:ascii="Arial" w:cs="Arial" w:eastAsia="Arial" w:hAnsi="Arial"/>
                <w:sz w:val="18"/>
                <w:szCs w:val="18"/>
                <w:b w:val="1"/>
                <w:bCs w:val="1"/>
                <w:color w:val="auto"/>
              </w:rPr>
              <w:t>OF</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580" w:type="dxa"/>
            <w:vAlign w:val="bottom"/>
          </w:tcPr>
          <w:p>
            <w:pPr>
              <w:jc w:val="center"/>
              <w:ind w:right="450"/>
              <w:spacing w:after="0"/>
              <w:rPr>
                <w:sz w:val="20"/>
                <w:szCs w:val="20"/>
                <w:color w:val="auto"/>
              </w:rPr>
            </w:pPr>
            <w:r>
              <w:rPr>
                <w:rFonts w:ascii="Arial" w:cs="Arial" w:eastAsia="Arial" w:hAnsi="Arial"/>
                <w:sz w:val="18"/>
                <w:szCs w:val="18"/>
                <w:b w:val="1"/>
                <w:bCs w:val="1"/>
                <w:color w:val="auto"/>
              </w:rPr>
              <w:t>VERACYTE, INC.</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58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(a Delaware corporation)</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20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80"/>
        </w:trPr>
        <w:tc>
          <w:tcPr>
            <w:tcW w:w="1200" w:type="dxa"/>
            <w:vAlign w:val="bottom"/>
          </w:tcPr>
          <w:p>
            <w:pPr>
              <w:spacing w:after="0"/>
              <w:rPr>
                <w:sz w:val="24"/>
                <w:szCs w:val="24"/>
                <w:color w:val="auto"/>
              </w:rPr>
            </w:pPr>
          </w:p>
        </w:tc>
        <w:tc>
          <w:tcPr>
            <w:tcW w:w="958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0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780" w:type="dxa"/>
            <w:vAlign w:val="bottom"/>
            <w:gridSpan w:val="2"/>
          </w:tcPr>
          <w:p>
            <w:pPr>
              <w:spacing w:after="0"/>
              <w:rPr>
                <w:sz w:val="20"/>
                <w:szCs w:val="20"/>
                <w:color w:val="auto"/>
              </w:rPr>
            </w:pPr>
            <w:r>
              <w:rPr>
                <w:rFonts w:ascii="Arial" w:cs="Arial" w:eastAsia="Arial" w:hAnsi="Arial"/>
                <w:sz w:val="18"/>
                <w:szCs w:val="18"/>
                <w:color w:val="auto"/>
              </w:rPr>
              <w:t>ARTICLE 1 Offices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1.1</w:t>
            </w:r>
          </w:p>
        </w:tc>
        <w:tc>
          <w:tcPr>
            <w:tcW w:w="9580" w:type="dxa"/>
            <w:vAlign w:val="bottom"/>
          </w:tcPr>
          <w:p>
            <w:pPr>
              <w:ind w:left="220"/>
              <w:spacing w:after="0"/>
              <w:rPr>
                <w:sz w:val="20"/>
                <w:szCs w:val="20"/>
                <w:color w:val="auto"/>
              </w:rPr>
            </w:pPr>
            <w:r>
              <w:rPr>
                <w:rFonts w:ascii="Arial" w:cs="Arial" w:eastAsia="Arial" w:hAnsi="Arial"/>
                <w:sz w:val="18"/>
                <w:szCs w:val="18"/>
                <w:color w:val="auto"/>
              </w:rPr>
              <w:t>Registered Office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1.2</w:t>
            </w:r>
          </w:p>
        </w:tc>
        <w:tc>
          <w:tcPr>
            <w:tcW w:w="9580" w:type="dxa"/>
            <w:vAlign w:val="bottom"/>
          </w:tcPr>
          <w:p>
            <w:pPr>
              <w:ind w:left="220"/>
              <w:spacing w:after="0"/>
              <w:rPr>
                <w:sz w:val="20"/>
                <w:szCs w:val="20"/>
                <w:color w:val="auto"/>
              </w:rPr>
            </w:pPr>
            <w:r>
              <w:rPr>
                <w:rFonts w:ascii="Arial" w:cs="Arial" w:eastAsia="Arial" w:hAnsi="Arial"/>
                <w:sz w:val="18"/>
                <w:szCs w:val="18"/>
                <w:color w:val="auto"/>
              </w:rPr>
              <w:t>Other Offices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auto"/>
              </w:rPr>
              <w:t>ARTICLE 2 Meeting of Stockholders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2.1</w:t>
            </w:r>
          </w:p>
        </w:tc>
        <w:tc>
          <w:tcPr>
            <w:tcW w:w="9580" w:type="dxa"/>
            <w:vAlign w:val="bottom"/>
          </w:tcPr>
          <w:p>
            <w:pPr>
              <w:ind w:left="220"/>
              <w:spacing w:after="0"/>
              <w:rPr>
                <w:sz w:val="20"/>
                <w:szCs w:val="20"/>
                <w:color w:val="auto"/>
              </w:rPr>
            </w:pPr>
            <w:r>
              <w:rPr>
                <w:rFonts w:ascii="Arial" w:cs="Arial" w:eastAsia="Arial" w:hAnsi="Arial"/>
                <w:sz w:val="18"/>
                <w:szCs w:val="18"/>
                <w:color w:val="auto"/>
              </w:rPr>
              <w:t>Place of Meeting</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2.2</w:t>
            </w:r>
          </w:p>
        </w:tc>
        <w:tc>
          <w:tcPr>
            <w:tcW w:w="9580" w:type="dxa"/>
            <w:vAlign w:val="bottom"/>
          </w:tcPr>
          <w:p>
            <w:pPr>
              <w:ind w:left="220"/>
              <w:spacing w:after="0"/>
              <w:rPr>
                <w:sz w:val="20"/>
                <w:szCs w:val="20"/>
                <w:color w:val="auto"/>
              </w:rPr>
            </w:pPr>
            <w:r>
              <w:rPr>
                <w:rFonts w:ascii="Arial" w:cs="Arial" w:eastAsia="Arial" w:hAnsi="Arial"/>
                <w:sz w:val="18"/>
                <w:szCs w:val="18"/>
                <w:color w:val="auto"/>
              </w:rPr>
              <w:t>Annual Meeting</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2.3</w:t>
            </w:r>
          </w:p>
        </w:tc>
        <w:tc>
          <w:tcPr>
            <w:tcW w:w="9580" w:type="dxa"/>
            <w:vAlign w:val="bottom"/>
          </w:tcPr>
          <w:p>
            <w:pPr>
              <w:ind w:left="220"/>
              <w:spacing w:after="0"/>
              <w:rPr>
                <w:sz w:val="20"/>
                <w:szCs w:val="20"/>
                <w:color w:val="auto"/>
              </w:rPr>
            </w:pPr>
            <w:r>
              <w:rPr>
                <w:rFonts w:ascii="Arial" w:cs="Arial" w:eastAsia="Arial" w:hAnsi="Arial"/>
                <w:sz w:val="18"/>
                <w:szCs w:val="18"/>
                <w:color w:val="auto"/>
              </w:rPr>
              <w:t>Special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2.4</w:t>
            </w:r>
          </w:p>
        </w:tc>
        <w:tc>
          <w:tcPr>
            <w:tcW w:w="9580" w:type="dxa"/>
            <w:vAlign w:val="bottom"/>
          </w:tcPr>
          <w:p>
            <w:pPr>
              <w:ind w:left="220"/>
              <w:spacing w:after="0"/>
              <w:rPr>
                <w:sz w:val="20"/>
                <w:szCs w:val="20"/>
                <w:color w:val="auto"/>
              </w:rPr>
            </w:pPr>
            <w:r>
              <w:rPr>
                <w:rFonts w:ascii="Arial" w:cs="Arial" w:eastAsia="Arial" w:hAnsi="Arial"/>
                <w:sz w:val="18"/>
                <w:szCs w:val="18"/>
                <w:color w:val="auto"/>
              </w:rPr>
              <w:t>Notice of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2.5</w:t>
            </w:r>
          </w:p>
        </w:tc>
        <w:tc>
          <w:tcPr>
            <w:tcW w:w="9580" w:type="dxa"/>
            <w:vAlign w:val="bottom"/>
          </w:tcPr>
          <w:p>
            <w:pPr>
              <w:ind w:left="220"/>
              <w:spacing w:after="0"/>
              <w:rPr>
                <w:sz w:val="20"/>
                <w:szCs w:val="20"/>
                <w:color w:val="auto"/>
              </w:rPr>
            </w:pPr>
            <w:r>
              <w:rPr>
                <w:rFonts w:ascii="Arial" w:cs="Arial" w:eastAsia="Arial" w:hAnsi="Arial"/>
                <w:sz w:val="18"/>
                <w:szCs w:val="18"/>
                <w:color w:val="auto"/>
              </w:rPr>
              <w:t>List of Stockholders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2.6</w:t>
            </w:r>
          </w:p>
        </w:tc>
        <w:tc>
          <w:tcPr>
            <w:tcW w:w="9580" w:type="dxa"/>
            <w:vAlign w:val="bottom"/>
          </w:tcPr>
          <w:p>
            <w:pPr>
              <w:ind w:left="220"/>
              <w:spacing w:after="0"/>
              <w:rPr>
                <w:sz w:val="20"/>
                <w:szCs w:val="20"/>
                <w:color w:val="auto"/>
              </w:rPr>
            </w:pPr>
            <w:r>
              <w:rPr>
                <w:rFonts w:ascii="Arial" w:cs="Arial" w:eastAsia="Arial" w:hAnsi="Arial"/>
                <w:sz w:val="18"/>
                <w:szCs w:val="18"/>
                <w:color w:val="auto"/>
              </w:rPr>
              <w:t>Organization and Conduct of Business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2.7</w:t>
            </w:r>
          </w:p>
        </w:tc>
        <w:tc>
          <w:tcPr>
            <w:tcW w:w="9580" w:type="dxa"/>
            <w:vAlign w:val="bottom"/>
          </w:tcPr>
          <w:p>
            <w:pPr>
              <w:ind w:left="220"/>
              <w:spacing w:after="0"/>
              <w:rPr>
                <w:sz w:val="20"/>
                <w:szCs w:val="20"/>
                <w:color w:val="auto"/>
              </w:rPr>
            </w:pPr>
            <w:r>
              <w:rPr>
                <w:rFonts w:ascii="Arial" w:cs="Arial" w:eastAsia="Arial" w:hAnsi="Arial"/>
                <w:sz w:val="18"/>
                <w:szCs w:val="18"/>
                <w:color w:val="auto"/>
              </w:rPr>
              <w:t>Quorum</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2.8</w:t>
            </w:r>
          </w:p>
        </w:tc>
        <w:tc>
          <w:tcPr>
            <w:tcW w:w="9580" w:type="dxa"/>
            <w:vAlign w:val="bottom"/>
          </w:tcPr>
          <w:p>
            <w:pPr>
              <w:ind w:left="220"/>
              <w:spacing w:after="0"/>
              <w:rPr>
                <w:sz w:val="20"/>
                <w:szCs w:val="20"/>
                <w:color w:val="auto"/>
              </w:rPr>
            </w:pPr>
            <w:r>
              <w:rPr>
                <w:rFonts w:ascii="Arial" w:cs="Arial" w:eastAsia="Arial" w:hAnsi="Arial"/>
                <w:sz w:val="18"/>
                <w:szCs w:val="18"/>
                <w:color w:val="auto"/>
              </w:rPr>
              <w:t>Adjournments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2.9</w:t>
            </w:r>
          </w:p>
        </w:tc>
        <w:tc>
          <w:tcPr>
            <w:tcW w:w="9580" w:type="dxa"/>
            <w:vAlign w:val="bottom"/>
          </w:tcPr>
          <w:p>
            <w:pPr>
              <w:ind w:left="220"/>
              <w:spacing w:after="0"/>
              <w:rPr>
                <w:sz w:val="20"/>
                <w:szCs w:val="20"/>
                <w:color w:val="auto"/>
              </w:rPr>
            </w:pPr>
            <w:r>
              <w:rPr>
                <w:rFonts w:ascii="Arial" w:cs="Arial" w:eastAsia="Arial" w:hAnsi="Arial"/>
                <w:sz w:val="18"/>
                <w:szCs w:val="18"/>
                <w:color w:val="auto"/>
              </w:rPr>
              <w:t>Voting Rights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2.10</w:t>
            </w:r>
          </w:p>
        </w:tc>
        <w:tc>
          <w:tcPr>
            <w:tcW w:w="9580" w:type="dxa"/>
            <w:vAlign w:val="bottom"/>
          </w:tcPr>
          <w:p>
            <w:pPr>
              <w:ind w:left="220"/>
              <w:spacing w:after="0"/>
              <w:rPr>
                <w:sz w:val="20"/>
                <w:szCs w:val="20"/>
                <w:color w:val="auto"/>
              </w:rPr>
            </w:pPr>
            <w:r>
              <w:rPr>
                <w:rFonts w:ascii="Arial" w:cs="Arial" w:eastAsia="Arial" w:hAnsi="Arial"/>
                <w:sz w:val="18"/>
                <w:szCs w:val="18"/>
                <w:color w:val="auto"/>
              </w:rPr>
              <w:t>Action at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2.11</w:t>
            </w:r>
          </w:p>
        </w:tc>
        <w:tc>
          <w:tcPr>
            <w:tcW w:w="9580" w:type="dxa"/>
            <w:vAlign w:val="bottom"/>
          </w:tcPr>
          <w:p>
            <w:pPr>
              <w:ind w:left="220"/>
              <w:spacing w:after="0"/>
              <w:rPr>
                <w:sz w:val="20"/>
                <w:szCs w:val="20"/>
                <w:color w:val="auto"/>
              </w:rPr>
            </w:pPr>
            <w:r>
              <w:rPr>
                <w:rFonts w:ascii="Arial" w:cs="Arial" w:eastAsia="Arial" w:hAnsi="Arial"/>
                <w:sz w:val="18"/>
                <w:szCs w:val="18"/>
                <w:color w:val="auto"/>
              </w:rPr>
              <w:t>Record Date for Stockholder Notice and Voting</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2.12</w:t>
            </w:r>
          </w:p>
        </w:tc>
        <w:tc>
          <w:tcPr>
            <w:tcW w:w="9580" w:type="dxa"/>
            <w:vAlign w:val="bottom"/>
          </w:tcPr>
          <w:p>
            <w:pPr>
              <w:ind w:left="220"/>
              <w:spacing w:after="0"/>
              <w:rPr>
                <w:sz w:val="20"/>
                <w:szCs w:val="20"/>
                <w:color w:val="auto"/>
              </w:rPr>
            </w:pPr>
            <w:r>
              <w:rPr>
                <w:rFonts w:ascii="Arial" w:cs="Arial" w:eastAsia="Arial" w:hAnsi="Arial"/>
                <w:sz w:val="18"/>
                <w:szCs w:val="18"/>
                <w:color w:val="auto"/>
              </w:rPr>
              <w:t>Proxies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2.13</w:t>
            </w:r>
          </w:p>
        </w:tc>
        <w:tc>
          <w:tcPr>
            <w:tcW w:w="9580" w:type="dxa"/>
            <w:vAlign w:val="bottom"/>
          </w:tcPr>
          <w:p>
            <w:pPr>
              <w:ind w:left="220"/>
              <w:spacing w:after="0"/>
              <w:rPr>
                <w:sz w:val="20"/>
                <w:szCs w:val="20"/>
                <w:color w:val="auto"/>
              </w:rPr>
            </w:pPr>
            <w:r>
              <w:rPr>
                <w:rFonts w:ascii="Arial" w:cs="Arial" w:eastAsia="Arial" w:hAnsi="Arial"/>
                <w:sz w:val="18"/>
                <w:szCs w:val="18"/>
                <w:color w:val="auto"/>
              </w:rPr>
              <w:t>Inspectors of Election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2.14</w:t>
            </w:r>
          </w:p>
        </w:tc>
        <w:tc>
          <w:tcPr>
            <w:tcW w:w="9580" w:type="dxa"/>
            <w:vAlign w:val="bottom"/>
          </w:tcPr>
          <w:p>
            <w:pPr>
              <w:ind w:left="220"/>
              <w:spacing w:after="0"/>
              <w:rPr>
                <w:sz w:val="20"/>
                <w:szCs w:val="20"/>
                <w:color w:val="auto"/>
              </w:rPr>
            </w:pPr>
            <w:r>
              <w:rPr>
                <w:rFonts w:ascii="Arial" w:cs="Arial" w:eastAsia="Arial" w:hAnsi="Arial"/>
                <w:sz w:val="18"/>
                <w:szCs w:val="18"/>
                <w:color w:val="auto"/>
              </w:rPr>
              <w:t>Action Without a Meeting</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auto"/>
              </w:rPr>
              <w:t>ARTICLE 3 Directors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3.1</w:t>
            </w:r>
          </w:p>
        </w:tc>
        <w:tc>
          <w:tcPr>
            <w:tcW w:w="9580" w:type="dxa"/>
            <w:vAlign w:val="bottom"/>
          </w:tcPr>
          <w:p>
            <w:pPr>
              <w:ind w:left="220"/>
              <w:spacing w:after="0"/>
              <w:rPr>
                <w:sz w:val="20"/>
                <w:szCs w:val="20"/>
                <w:color w:val="auto"/>
              </w:rPr>
            </w:pPr>
            <w:r>
              <w:rPr>
                <w:rFonts w:ascii="Arial" w:cs="Arial" w:eastAsia="Arial" w:hAnsi="Arial"/>
                <w:sz w:val="18"/>
                <w:szCs w:val="18"/>
                <w:color w:val="auto"/>
              </w:rPr>
              <w:t>Number, Election, Tenure and Qualifications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3.2</w:t>
            </w:r>
          </w:p>
        </w:tc>
        <w:tc>
          <w:tcPr>
            <w:tcW w:w="9580" w:type="dxa"/>
            <w:vAlign w:val="bottom"/>
          </w:tcPr>
          <w:p>
            <w:pPr>
              <w:ind w:left="220"/>
              <w:spacing w:after="0"/>
              <w:rPr>
                <w:sz w:val="20"/>
                <w:szCs w:val="20"/>
                <w:color w:val="auto"/>
              </w:rPr>
            </w:pPr>
            <w:r>
              <w:rPr>
                <w:rFonts w:ascii="Arial" w:cs="Arial" w:eastAsia="Arial" w:hAnsi="Arial"/>
                <w:sz w:val="18"/>
                <w:szCs w:val="18"/>
                <w:color w:val="auto"/>
              </w:rPr>
              <w:t>Enlargement and Vacancies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3.3</w:t>
            </w:r>
          </w:p>
        </w:tc>
        <w:tc>
          <w:tcPr>
            <w:tcW w:w="9580" w:type="dxa"/>
            <w:vAlign w:val="bottom"/>
          </w:tcPr>
          <w:p>
            <w:pPr>
              <w:ind w:left="220"/>
              <w:spacing w:after="0"/>
              <w:rPr>
                <w:sz w:val="20"/>
                <w:szCs w:val="20"/>
                <w:color w:val="auto"/>
              </w:rPr>
            </w:pPr>
            <w:r>
              <w:rPr>
                <w:rFonts w:ascii="Arial" w:cs="Arial" w:eastAsia="Arial" w:hAnsi="Arial"/>
                <w:sz w:val="18"/>
                <w:szCs w:val="18"/>
                <w:color w:val="auto"/>
              </w:rPr>
              <w:t>Resignation and Removal</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3.4</w:t>
            </w:r>
          </w:p>
        </w:tc>
        <w:tc>
          <w:tcPr>
            <w:tcW w:w="9580" w:type="dxa"/>
            <w:vAlign w:val="bottom"/>
          </w:tcPr>
          <w:p>
            <w:pPr>
              <w:ind w:left="220"/>
              <w:spacing w:after="0"/>
              <w:rPr>
                <w:sz w:val="20"/>
                <w:szCs w:val="20"/>
                <w:color w:val="auto"/>
              </w:rPr>
            </w:pPr>
            <w:r>
              <w:rPr>
                <w:rFonts w:ascii="Arial" w:cs="Arial" w:eastAsia="Arial" w:hAnsi="Arial"/>
                <w:sz w:val="18"/>
                <w:szCs w:val="18"/>
                <w:color w:val="auto"/>
              </w:rPr>
              <w:t>Powers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3.5</w:t>
            </w:r>
          </w:p>
        </w:tc>
        <w:tc>
          <w:tcPr>
            <w:tcW w:w="958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3.6</w:t>
            </w:r>
          </w:p>
        </w:tc>
        <w:tc>
          <w:tcPr>
            <w:tcW w:w="9580" w:type="dxa"/>
            <w:vAlign w:val="bottom"/>
          </w:tcPr>
          <w:p>
            <w:pPr>
              <w:ind w:left="220"/>
              <w:spacing w:after="0"/>
              <w:rPr>
                <w:sz w:val="20"/>
                <w:szCs w:val="20"/>
                <w:color w:val="auto"/>
              </w:rPr>
            </w:pPr>
            <w:r>
              <w:rPr>
                <w:rFonts w:ascii="Arial" w:cs="Arial" w:eastAsia="Arial" w:hAnsi="Arial"/>
                <w:sz w:val="18"/>
                <w:szCs w:val="18"/>
                <w:color w:val="auto"/>
              </w:rPr>
              <w:t>Place of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3.7</w:t>
            </w:r>
          </w:p>
        </w:tc>
        <w:tc>
          <w:tcPr>
            <w:tcW w:w="9580" w:type="dxa"/>
            <w:vAlign w:val="bottom"/>
          </w:tcPr>
          <w:p>
            <w:pPr>
              <w:ind w:left="220"/>
              <w:spacing w:after="0"/>
              <w:rPr>
                <w:sz w:val="20"/>
                <w:szCs w:val="20"/>
                <w:color w:val="auto"/>
              </w:rPr>
            </w:pPr>
            <w:r>
              <w:rPr>
                <w:rFonts w:ascii="Arial" w:cs="Arial" w:eastAsia="Arial" w:hAnsi="Arial"/>
                <w:sz w:val="18"/>
                <w:szCs w:val="18"/>
                <w:color w:val="auto"/>
              </w:rPr>
              <w:t>Annual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3.8</w:t>
            </w:r>
          </w:p>
        </w:tc>
        <w:tc>
          <w:tcPr>
            <w:tcW w:w="9580" w:type="dxa"/>
            <w:vAlign w:val="bottom"/>
          </w:tcPr>
          <w:p>
            <w:pPr>
              <w:ind w:left="220"/>
              <w:spacing w:after="0"/>
              <w:rPr>
                <w:sz w:val="20"/>
                <w:szCs w:val="20"/>
                <w:color w:val="auto"/>
              </w:rPr>
            </w:pPr>
            <w:r>
              <w:rPr>
                <w:rFonts w:ascii="Arial" w:cs="Arial" w:eastAsia="Arial" w:hAnsi="Arial"/>
                <w:sz w:val="18"/>
                <w:szCs w:val="18"/>
                <w:color w:val="auto"/>
              </w:rPr>
              <w:t>Regular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3.9</w:t>
            </w:r>
          </w:p>
        </w:tc>
        <w:tc>
          <w:tcPr>
            <w:tcW w:w="9580" w:type="dxa"/>
            <w:vAlign w:val="bottom"/>
          </w:tcPr>
          <w:p>
            <w:pPr>
              <w:ind w:left="220"/>
              <w:spacing w:after="0"/>
              <w:rPr>
                <w:sz w:val="20"/>
                <w:szCs w:val="20"/>
                <w:color w:val="auto"/>
              </w:rPr>
            </w:pPr>
            <w:r>
              <w:rPr>
                <w:rFonts w:ascii="Arial" w:cs="Arial" w:eastAsia="Arial" w:hAnsi="Arial"/>
                <w:sz w:val="18"/>
                <w:szCs w:val="18"/>
                <w:color w:val="auto"/>
              </w:rPr>
              <w:t>Special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3.10</w:t>
            </w:r>
          </w:p>
        </w:tc>
        <w:tc>
          <w:tcPr>
            <w:tcW w:w="9580" w:type="dxa"/>
            <w:vAlign w:val="bottom"/>
          </w:tcPr>
          <w:p>
            <w:pPr>
              <w:ind w:left="220"/>
              <w:spacing w:after="0"/>
              <w:rPr>
                <w:sz w:val="20"/>
                <w:szCs w:val="20"/>
                <w:color w:val="auto"/>
              </w:rPr>
            </w:pPr>
            <w:r>
              <w:rPr>
                <w:rFonts w:ascii="Arial" w:cs="Arial" w:eastAsia="Arial" w:hAnsi="Arial"/>
                <w:sz w:val="18"/>
                <w:szCs w:val="18"/>
                <w:color w:val="auto"/>
              </w:rPr>
              <w:t>Quorum, Action at Meeting, Adjournments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3.11</w:t>
            </w:r>
          </w:p>
        </w:tc>
        <w:tc>
          <w:tcPr>
            <w:tcW w:w="9580" w:type="dxa"/>
            <w:vAlign w:val="bottom"/>
          </w:tcPr>
          <w:p>
            <w:pPr>
              <w:ind w:left="220"/>
              <w:spacing w:after="0"/>
              <w:rPr>
                <w:sz w:val="20"/>
                <w:szCs w:val="20"/>
                <w:color w:val="auto"/>
              </w:rPr>
            </w:pPr>
            <w:r>
              <w:rPr>
                <w:rFonts w:ascii="Arial" w:cs="Arial" w:eastAsia="Arial" w:hAnsi="Arial"/>
                <w:sz w:val="18"/>
                <w:szCs w:val="18"/>
                <w:color w:val="auto"/>
              </w:rPr>
              <w:t>Action Without Meeting</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3.12</w:t>
            </w:r>
          </w:p>
        </w:tc>
        <w:tc>
          <w:tcPr>
            <w:tcW w:w="9580" w:type="dxa"/>
            <w:vAlign w:val="bottom"/>
          </w:tcPr>
          <w:p>
            <w:pPr>
              <w:ind w:left="220"/>
              <w:spacing w:after="0"/>
              <w:rPr>
                <w:sz w:val="20"/>
                <w:szCs w:val="20"/>
                <w:color w:val="auto"/>
              </w:rPr>
            </w:pPr>
            <w:r>
              <w:rPr>
                <w:rFonts w:ascii="Arial" w:cs="Arial" w:eastAsia="Arial" w:hAnsi="Arial"/>
                <w:sz w:val="18"/>
                <w:szCs w:val="18"/>
                <w:color w:val="auto"/>
              </w:rPr>
              <w:t>Telephone Meetings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3.13</w:t>
            </w:r>
          </w:p>
        </w:tc>
        <w:tc>
          <w:tcPr>
            <w:tcW w:w="9580" w:type="dxa"/>
            <w:vAlign w:val="bottom"/>
          </w:tcPr>
          <w:p>
            <w:pPr>
              <w:ind w:left="220"/>
              <w:spacing w:after="0"/>
              <w:rPr>
                <w:sz w:val="20"/>
                <w:szCs w:val="20"/>
                <w:color w:val="auto"/>
              </w:rPr>
            </w:pPr>
            <w:r>
              <w:rPr>
                <w:rFonts w:ascii="Arial" w:cs="Arial" w:eastAsia="Arial" w:hAnsi="Arial"/>
                <w:sz w:val="18"/>
                <w:szCs w:val="18"/>
                <w:color w:val="auto"/>
              </w:rPr>
              <w:t>Committees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3.14</w:t>
            </w:r>
          </w:p>
        </w:tc>
        <w:tc>
          <w:tcPr>
            <w:tcW w:w="9580" w:type="dxa"/>
            <w:vAlign w:val="bottom"/>
          </w:tcPr>
          <w:p>
            <w:pPr>
              <w:ind w:left="220"/>
              <w:spacing w:after="0"/>
              <w:rPr>
                <w:sz w:val="20"/>
                <w:szCs w:val="20"/>
                <w:color w:val="auto"/>
              </w:rPr>
            </w:pPr>
            <w:r>
              <w:rPr>
                <w:rFonts w:ascii="Arial" w:cs="Arial" w:eastAsia="Arial" w:hAnsi="Arial"/>
                <w:sz w:val="18"/>
                <w:szCs w:val="18"/>
                <w:color w:val="auto"/>
              </w:rPr>
              <w:t>Fees and Compensation of Directors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auto"/>
              </w:rPr>
              <w:t>ARTICLE 4 Officers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4.1</w:t>
            </w:r>
          </w:p>
        </w:tc>
        <w:tc>
          <w:tcPr>
            <w:tcW w:w="9580" w:type="dxa"/>
            <w:vAlign w:val="bottom"/>
          </w:tcPr>
          <w:p>
            <w:pPr>
              <w:ind w:left="220"/>
              <w:spacing w:after="0"/>
              <w:rPr>
                <w:sz w:val="20"/>
                <w:szCs w:val="20"/>
                <w:color w:val="auto"/>
              </w:rPr>
            </w:pPr>
            <w:r>
              <w:rPr>
                <w:rFonts w:ascii="Arial" w:cs="Arial" w:eastAsia="Arial" w:hAnsi="Arial"/>
                <w:sz w:val="18"/>
                <w:szCs w:val="18"/>
                <w:color w:val="auto"/>
              </w:rPr>
              <w:t>Officers Designated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4.2</w:t>
            </w:r>
          </w:p>
        </w:tc>
        <w:tc>
          <w:tcPr>
            <w:tcW w:w="9580" w:type="dxa"/>
            <w:vAlign w:val="bottom"/>
          </w:tcPr>
          <w:p>
            <w:pPr>
              <w:ind w:left="220"/>
              <w:spacing w:after="0"/>
              <w:rPr>
                <w:sz w:val="20"/>
                <w:szCs w:val="20"/>
                <w:color w:val="auto"/>
              </w:rPr>
            </w:pPr>
            <w:r>
              <w:rPr>
                <w:rFonts w:ascii="Arial" w:cs="Arial" w:eastAsia="Arial" w:hAnsi="Arial"/>
                <w:sz w:val="18"/>
                <w:szCs w:val="18"/>
                <w:color w:val="auto"/>
              </w:rPr>
              <w:t>Election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4.3</w:t>
            </w:r>
          </w:p>
        </w:tc>
        <w:tc>
          <w:tcPr>
            <w:tcW w:w="9580" w:type="dxa"/>
            <w:vAlign w:val="bottom"/>
          </w:tcPr>
          <w:p>
            <w:pPr>
              <w:ind w:left="220"/>
              <w:spacing w:after="0"/>
              <w:rPr>
                <w:sz w:val="20"/>
                <w:szCs w:val="20"/>
                <w:color w:val="auto"/>
              </w:rPr>
            </w:pPr>
            <w:r>
              <w:rPr>
                <w:rFonts w:ascii="Arial" w:cs="Arial" w:eastAsia="Arial" w:hAnsi="Arial"/>
                <w:sz w:val="18"/>
                <w:szCs w:val="18"/>
                <w:color w:val="auto"/>
              </w:rPr>
              <w:t>Tenure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4.4</w:t>
            </w:r>
          </w:p>
        </w:tc>
        <w:tc>
          <w:tcPr>
            <w:tcW w:w="95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-7076440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-7076440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p>
      <w:pPr>
        <w:ind w:left="109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6840220</wp:posOffset>
            </wp:positionH>
            <wp:positionV relativeFrom="paragraph">
              <wp:posOffset>6350</wp:posOffset>
            </wp:positionV>
            <wp:extent cx="411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0" w:type="dxa"/>
            <w:vAlign w:val="bottom"/>
          </w:tcPr>
          <w:p>
            <w:pPr>
              <w:jc w:val="right"/>
              <w:ind w:right="170"/>
              <w:spacing w:after="0"/>
              <w:rPr>
                <w:sz w:val="20"/>
                <w:szCs w:val="20"/>
                <w:color w:val="auto"/>
              </w:rPr>
            </w:pPr>
            <w:r>
              <w:rPr>
                <w:rFonts w:ascii="Arial" w:cs="Arial" w:eastAsia="Arial" w:hAnsi="Arial"/>
                <w:sz w:val="18"/>
                <w:szCs w:val="18"/>
                <w:color w:val="auto"/>
                <w:w w:val="79"/>
              </w:rPr>
              <w:t>4.5</w:t>
            </w:r>
          </w:p>
        </w:tc>
        <w:tc>
          <w:tcPr>
            <w:tcW w:w="6020" w:type="dxa"/>
            <w:vAlign w:val="bottom"/>
          </w:tcPr>
          <w:p>
            <w:pPr>
              <w:ind w:left="280"/>
              <w:spacing w:after="0"/>
              <w:rPr>
                <w:sz w:val="20"/>
                <w:szCs w:val="20"/>
                <w:color w:val="auto"/>
              </w:rPr>
            </w:pPr>
            <w:r>
              <w:rPr>
                <w:rFonts w:ascii="Arial" w:cs="Arial" w:eastAsia="Arial" w:hAnsi="Arial"/>
                <w:sz w:val="18"/>
                <w:szCs w:val="18"/>
                <w:color w:val="auto"/>
              </w:rPr>
              <w:t>President</w:t>
            </w:r>
          </w:p>
        </w:tc>
        <w:tc>
          <w:tcPr>
            <w:tcW w:w="4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80" w:type="dxa"/>
            <w:vAlign w:val="bottom"/>
          </w:tcPr>
          <w:p>
            <w:pPr>
              <w:jc w:val="right"/>
              <w:ind w:right="170"/>
              <w:spacing w:after="0"/>
              <w:rPr>
                <w:sz w:val="20"/>
                <w:szCs w:val="20"/>
                <w:color w:val="auto"/>
              </w:rPr>
            </w:pPr>
            <w:r>
              <w:rPr>
                <w:rFonts w:ascii="Arial" w:cs="Arial" w:eastAsia="Arial" w:hAnsi="Arial"/>
                <w:sz w:val="18"/>
                <w:szCs w:val="18"/>
                <w:color w:val="auto"/>
                <w:w w:val="79"/>
              </w:rPr>
              <w:t>4.6</w:t>
            </w:r>
          </w:p>
        </w:tc>
        <w:tc>
          <w:tcPr>
            <w:tcW w:w="602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42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121" w:right="19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4.7</w:t>
            </w:r>
          </w:p>
        </w:tc>
        <w:tc>
          <w:tcPr>
            <w:tcW w:w="4300" w:type="dxa"/>
            <w:vAlign w:val="bottom"/>
          </w:tcPr>
          <w:p>
            <w:pPr>
              <w:ind w:left="220"/>
              <w:spacing w:after="0"/>
              <w:rPr>
                <w:sz w:val="20"/>
                <w:szCs w:val="20"/>
                <w:color w:val="auto"/>
              </w:rPr>
            </w:pPr>
            <w:r>
              <w:rPr>
                <w:rFonts w:ascii="Arial" w:cs="Arial" w:eastAsia="Arial" w:hAnsi="Arial"/>
                <w:sz w:val="18"/>
                <w:szCs w:val="18"/>
                <w:color w:val="auto"/>
              </w:rPr>
              <w:t>Vice President</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4.8</w:t>
            </w:r>
          </w:p>
        </w:tc>
        <w:tc>
          <w:tcPr>
            <w:tcW w:w="4300" w:type="dxa"/>
            <w:vAlign w:val="bottom"/>
          </w:tcPr>
          <w:p>
            <w:pPr>
              <w:ind w:left="220"/>
              <w:spacing w:after="0"/>
              <w:rPr>
                <w:sz w:val="20"/>
                <w:szCs w:val="20"/>
                <w:color w:val="auto"/>
              </w:rPr>
            </w:pPr>
            <w:r>
              <w:rPr>
                <w:rFonts w:ascii="Arial" w:cs="Arial" w:eastAsia="Arial" w:hAnsi="Arial"/>
                <w:sz w:val="18"/>
                <w:szCs w:val="18"/>
                <w:color w:val="auto"/>
              </w:rPr>
              <w:t>Secretary</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4.9</w:t>
            </w:r>
          </w:p>
        </w:tc>
        <w:tc>
          <w:tcPr>
            <w:tcW w:w="4300" w:type="dxa"/>
            <w:vAlign w:val="bottom"/>
          </w:tcPr>
          <w:p>
            <w:pPr>
              <w:ind w:left="220"/>
              <w:spacing w:after="0"/>
              <w:rPr>
                <w:sz w:val="20"/>
                <w:szCs w:val="20"/>
                <w:color w:val="auto"/>
              </w:rPr>
            </w:pPr>
            <w:r>
              <w:rPr>
                <w:rFonts w:ascii="Arial" w:cs="Arial" w:eastAsia="Arial" w:hAnsi="Arial"/>
                <w:sz w:val="18"/>
                <w:szCs w:val="18"/>
                <w:color w:val="auto"/>
              </w:rPr>
              <w:t>Assistant Secretary</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4.10</w:t>
            </w:r>
          </w:p>
        </w:tc>
        <w:tc>
          <w:tcPr>
            <w:tcW w:w="4300" w:type="dxa"/>
            <w:vAlign w:val="bottom"/>
          </w:tcPr>
          <w:p>
            <w:pPr>
              <w:ind w:left="220"/>
              <w:spacing w:after="0"/>
              <w:rPr>
                <w:sz w:val="20"/>
                <w:szCs w:val="20"/>
                <w:color w:val="auto"/>
              </w:rPr>
            </w:pPr>
            <w:r>
              <w:rPr>
                <w:rFonts w:ascii="Arial" w:cs="Arial" w:eastAsia="Arial" w:hAnsi="Arial"/>
                <w:sz w:val="18"/>
                <w:szCs w:val="18"/>
                <w:color w:val="auto"/>
              </w:rPr>
              <w:t>Treasurer and Assistant Treasurers</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4.11</w:t>
            </w:r>
          </w:p>
        </w:tc>
        <w:tc>
          <w:tcPr>
            <w:tcW w:w="4300" w:type="dxa"/>
            <w:vAlign w:val="bottom"/>
          </w:tcPr>
          <w:p>
            <w:pPr>
              <w:ind w:left="220"/>
              <w:spacing w:after="0"/>
              <w:rPr>
                <w:sz w:val="20"/>
                <w:szCs w:val="20"/>
                <w:color w:val="auto"/>
              </w:rPr>
            </w:pPr>
            <w:r>
              <w:rPr>
                <w:rFonts w:ascii="Arial" w:cs="Arial" w:eastAsia="Arial" w:hAnsi="Arial"/>
                <w:sz w:val="18"/>
                <w:szCs w:val="18"/>
                <w:color w:val="auto"/>
              </w:rPr>
              <w:t>Delegation of Authority</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5 Notices</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5.1</w:t>
            </w:r>
          </w:p>
        </w:tc>
        <w:tc>
          <w:tcPr>
            <w:tcW w:w="4300" w:type="dxa"/>
            <w:vAlign w:val="bottom"/>
          </w:tcPr>
          <w:p>
            <w:pPr>
              <w:ind w:left="220"/>
              <w:spacing w:after="0"/>
              <w:rPr>
                <w:sz w:val="20"/>
                <w:szCs w:val="20"/>
                <w:color w:val="auto"/>
              </w:rPr>
            </w:pPr>
            <w:r>
              <w:rPr>
                <w:rFonts w:ascii="Arial" w:cs="Arial" w:eastAsia="Arial" w:hAnsi="Arial"/>
                <w:sz w:val="18"/>
                <w:szCs w:val="18"/>
                <w:color w:val="auto"/>
              </w:rPr>
              <w:t>Delivery</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5.2</w:t>
            </w:r>
          </w:p>
        </w:tc>
        <w:tc>
          <w:tcPr>
            <w:tcW w:w="430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5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6 Indemnification and Insurance</w:t>
            </w:r>
          </w:p>
        </w:tc>
        <w:tc>
          <w:tcPr>
            <w:tcW w:w="5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6.1</w:t>
            </w:r>
          </w:p>
        </w:tc>
        <w:tc>
          <w:tcPr>
            <w:tcW w:w="430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5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6.2</w:t>
            </w:r>
          </w:p>
        </w:tc>
        <w:tc>
          <w:tcPr>
            <w:tcW w:w="4300" w:type="dxa"/>
            <w:vAlign w:val="bottom"/>
          </w:tcPr>
          <w:p>
            <w:pPr>
              <w:ind w:left="220"/>
              <w:spacing w:after="0"/>
              <w:rPr>
                <w:sz w:val="20"/>
                <w:szCs w:val="20"/>
                <w:color w:val="auto"/>
              </w:rPr>
            </w:pPr>
            <w:r>
              <w:rPr>
                <w:rFonts w:ascii="Arial" w:cs="Arial" w:eastAsia="Arial" w:hAnsi="Arial"/>
                <w:sz w:val="18"/>
                <w:szCs w:val="18"/>
                <w:color w:val="auto"/>
              </w:rPr>
              <w:t>Advance Payment</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6.3</w:t>
            </w:r>
          </w:p>
        </w:tc>
        <w:tc>
          <w:tcPr>
            <w:tcW w:w="4300" w:type="dxa"/>
            <w:vAlign w:val="bottom"/>
          </w:tcPr>
          <w:p>
            <w:pPr>
              <w:ind w:left="220"/>
              <w:spacing w:after="0"/>
              <w:rPr>
                <w:sz w:val="20"/>
                <w:szCs w:val="20"/>
                <w:color w:val="auto"/>
              </w:rPr>
            </w:pPr>
            <w:r>
              <w:rPr>
                <w:rFonts w:ascii="Arial" w:cs="Arial" w:eastAsia="Arial" w:hAnsi="Arial"/>
                <w:sz w:val="18"/>
                <w:szCs w:val="18"/>
                <w:color w:val="auto"/>
                <w:w w:val="96"/>
              </w:rPr>
              <w:t>Non-Exclusivity and Survival of Rights; Amendments</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6.4</w:t>
            </w:r>
          </w:p>
        </w:tc>
        <w:tc>
          <w:tcPr>
            <w:tcW w:w="4300" w:type="dxa"/>
            <w:vAlign w:val="bottom"/>
          </w:tcPr>
          <w:p>
            <w:pPr>
              <w:ind w:left="220"/>
              <w:spacing w:after="0"/>
              <w:rPr>
                <w:sz w:val="20"/>
                <w:szCs w:val="20"/>
                <w:color w:val="auto"/>
              </w:rPr>
            </w:pPr>
            <w:r>
              <w:rPr>
                <w:rFonts w:ascii="Arial" w:cs="Arial" w:eastAsia="Arial" w:hAnsi="Arial"/>
                <w:sz w:val="18"/>
                <w:szCs w:val="18"/>
                <w:color w:val="auto"/>
              </w:rPr>
              <w:t>Determination; Claim</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6.5</w:t>
            </w:r>
          </w:p>
        </w:tc>
        <w:tc>
          <w:tcPr>
            <w:tcW w:w="430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6.6</w:t>
            </w:r>
          </w:p>
        </w:tc>
        <w:tc>
          <w:tcPr>
            <w:tcW w:w="43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6.7</w:t>
            </w:r>
          </w:p>
        </w:tc>
        <w:tc>
          <w:tcPr>
            <w:tcW w:w="4300" w:type="dxa"/>
            <w:vAlign w:val="bottom"/>
          </w:tcPr>
          <w:p>
            <w:pPr>
              <w:ind w:left="220"/>
              <w:spacing w:after="0"/>
              <w:rPr>
                <w:sz w:val="20"/>
                <w:szCs w:val="20"/>
                <w:color w:val="auto"/>
              </w:rPr>
            </w:pPr>
            <w:r>
              <w:rPr>
                <w:rFonts w:ascii="Arial" w:cs="Arial" w:eastAsia="Arial" w:hAnsi="Arial"/>
                <w:sz w:val="18"/>
                <w:szCs w:val="18"/>
                <w:color w:val="auto"/>
              </w:rPr>
              <w:t>Reliance</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6.8</w:t>
            </w:r>
          </w:p>
        </w:tc>
        <w:tc>
          <w:tcPr>
            <w:tcW w:w="4300" w:type="dxa"/>
            <w:vAlign w:val="bottom"/>
          </w:tcPr>
          <w:p>
            <w:pPr>
              <w:ind w:left="220"/>
              <w:spacing w:after="0"/>
              <w:rPr>
                <w:sz w:val="20"/>
                <w:szCs w:val="20"/>
                <w:color w:val="auto"/>
              </w:rPr>
            </w:pPr>
            <w:r>
              <w:rPr>
                <w:rFonts w:ascii="Arial" w:cs="Arial" w:eastAsia="Arial" w:hAnsi="Arial"/>
                <w:sz w:val="18"/>
                <w:szCs w:val="18"/>
                <w:color w:val="auto"/>
              </w:rPr>
              <w:t>Indemnification of Other Persons</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7 Capital Stock</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7.1</w:t>
            </w:r>
          </w:p>
        </w:tc>
        <w:tc>
          <w:tcPr>
            <w:tcW w:w="4300" w:type="dxa"/>
            <w:vAlign w:val="bottom"/>
          </w:tcPr>
          <w:p>
            <w:pPr>
              <w:ind w:left="220"/>
              <w:spacing w:after="0"/>
              <w:rPr>
                <w:sz w:val="20"/>
                <w:szCs w:val="20"/>
                <w:color w:val="auto"/>
              </w:rPr>
            </w:pPr>
            <w:r>
              <w:rPr>
                <w:rFonts w:ascii="Arial" w:cs="Arial" w:eastAsia="Arial" w:hAnsi="Arial"/>
                <w:sz w:val="18"/>
                <w:szCs w:val="18"/>
                <w:color w:val="auto"/>
              </w:rPr>
              <w:t>Certificates for Shares</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7.2</w:t>
            </w:r>
          </w:p>
        </w:tc>
        <w:tc>
          <w:tcPr>
            <w:tcW w:w="4300" w:type="dxa"/>
            <w:vAlign w:val="bottom"/>
          </w:tcPr>
          <w:p>
            <w:pPr>
              <w:ind w:left="220"/>
              <w:spacing w:after="0"/>
              <w:rPr>
                <w:sz w:val="20"/>
                <w:szCs w:val="20"/>
                <w:color w:val="auto"/>
              </w:rPr>
            </w:pPr>
            <w:r>
              <w:rPr>
                <w:rFonts w:ascii="Arial" w:cs="Arial" w:eastAsia="Arial" w:hAnsi="Arial"/>
                <w:sz w:val="18"/>
                <w:szCs w:val="18"/>
                <w:color w:val="auto"/>
              </w:rPr>
              <w:t>Signatures on Certificates</w:t>
            </w:r>
          </w:p>
        </w:tc>
        <w:tc>
          <w:tcPr>
            <w:tcW w:w="5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7.3</w:t>
            </w:r>
          </w:p>
        </w:tc>
        <w:tc>
          <w:tcPr>
            <w:tcW w:w="4300" w:type="dxa"/>
            <w:vAlign w:val="bottom"/>
          </w:tcPr>
          <w:p>
            <w:pPr>
              <w:ind w:left="220"/>
              <w:spacing w:after="0"/>
              <w:rPr>
                <w:sz w:val="20"/>
                <w:szCs w:val="20"/>
                <w:color w:val="auto"/>
              </w:rPr>
            </w:pPr>
            <w:r>
              <w:rPr>
                <w:rFonts w:ascii="Arial" w:cs="Arial" w:eastAsia="Arial" w:hAnsi="Arial"/>
                <w:sz w:val="18"/>
                <w:szCs w:val="18"/>
                <w:color w:val="auto"/>
              </w:rPr>
              <w:t>Transfer of Stock</w:t>
            </w:r>
          </w:p>
        </w:tc>
        <w:tc>
          <w:tcPr>
            <w:tcW w:w="5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7.4</w:t>
            </w:r>
          </w:p>
        </w:tc>
        <w:tc>
          <w:tcPr>
            <w:tcW w:w="4300" w:type="dxa"/>
            <w:vAlign w:val="bottom"/>
          </w:tcPr>
          <w:p>
            <w:pPr>
              <w:ind w:left="220"/>
              <w:spacing w:after="0"/>
              <w:rPr>
                <w:sz w:val="20"/>
                <w:szCs w:val="20"/>
                <w:color w:val="auto"/>
              </w:rPr>
            </w:pPr>
            <w:r>
              <w:rPr>
                <w:rFonts w:ascii="Arial" w:cs="Arial" w:eastAsia="Arial" w:hAnsi="Arial"/>
                <w:sz w:val="18"/>
                <w:szCs w:val="18"/>
                <w:color w:val="auto"/>
              </w:rPr>
              <w:t>Registered Stockholders</w:t>
            </w:r>
          </w:p>
        </w:tc>
        <w:tc>
          <w:tcPr>
            <w:tcW w:w="5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7.5</w:t>
            </w:r>
          </w:p>
        </w:tc>
        <w:tc>
          <w:tcPr>
            <w:tcW w:w="4300" w:type="dxa"/>
            <w:vAlign w:val="bottom"/>
          </w:tcPr>
          <w:p>
            <w:pPr>
              <w:ind w:left="220"/>
              <w:spacing w:after="0"/>
              <w:rPr>
                <w:sz w:val="20"/>
                <w:szCs w:val="20"/>
                <w:color w:val="auto"/>
              </w:rPr>
            </w:pPr>
            <w:r>
              <w:rPr>
                <w:rFonts w:ascii="Arial" w:cs="Arial" w:eastAsia="Arial" w:hAnsi="Arial"/>
                <w:sz w:val="18"/>
                <w:szCs w:val="18"/>
                <w:color w:val="auto"/>
              </w:rPr>
              <w:t>Lost, Stolen or Destroyed Certificates</w:t>
            </w:r>
          </w:p>
        </w:tc>
        <w:tc>
          <w:tcPr>
            <w:tcW w:w="5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5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rPr>
              <w:t>8.1</w:t>
            </w:r>
          </w:p>
        </w:tc>
        <w:tc>
          <w:tcPr>
            <w:tcW w:w="430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5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8.2</w:t>
            </w:r>
          </w:p>
        </w:tc>
        <w:tc>
          <w:tcPr>
            <w:tcW w:w="4300" w:type="dxa"/>
            <w:vAlign w:val="bottom"/>
          </w:tcPr>
          <w:p>
            <w:pPr>
              <w:ind w:left="220"/>
              <w:spacing w:after="0"/>
              <w:rPr>
                <w:sz w:val="20"/>
                <w:szCs w:val="20"/>
                <w:color w:val="auto"/>
              </w:rPr>
            </w:pPr>
            <w:r>
              <w:rPr>
                <w:rFonts w:ascii="Arial" w:cs="Arial" w:eastAsia="Arial" w:hAnsi="Arial"/>
                <w:sz w:val="18"/>
                <w:szCs w:val="18"/>
                <w:color w:val="auto"/>
              </w:rPr>
              <w:t>Checks</w:t>
            </w:r>
          </w:p>
        </w:tc>
        <w:tc>
          <w:tcPr>
            <w:tcW w:w="5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8.3</w:t>
            </w:r>
          </w:p>
        </w:tc>
        <w:tc>
          <w:tcPr>
            <w:tcW w:w="430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5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8.4</w:t>
            </w:r>
          </w:p>
        </w:tc>
        <w:tc>
          <w:tcPr>
            <w:tcW w:w="4300" w:type="dxa"/>
            <w:vAlign w:val="bottom"/>
          </w:tcPr>
          <w:p>
            <w:pPr>
              <w:ind w:left="220"/>
              <w:spacing w:after="0"/>
              <w:rPr>
                <w:sz w:val="20"/>
                <w:szCs w:val="20"/>
                <w:color w:val="auto"/>
              </w:rPr>
            </w:pPr>
            <w:r>
              <w:rPr>
                <w:rFonts w:ascii="Arial" w:cs="Arial" w:eastAsia="Arial" w:hAnsi="Arial"/>
                <w:sz w:val="18"/>
                <w:szCs w:val="18"/>
                <w:color w:val="auto"/>
              </w:rPr>
              <w:t>Execution of Corporate Contracts and Instruments</w:t>
            </w:r>
          </w:p>
        </w:tc>
        <w:tc>
          <w:tcPr>
            <w:tcW w:w="5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8.5</w:t>
            </w:r>
          </w:p>
        </w:tc>
        <w:tc>
          <w:tcPr>
            <w:tcW w:w="4300" w:type="dxa"/>
            <w:vAlign w:val="bottom"/>
          </w:tcPr>
          <w:p>
            <w:pPr>
              <w:ind w:left="220"/>
              <w:spacing w:after="0"/>
              <w:rPr>
                <w:sz w:val="20"/>
                <w:szCs w:val="20"/>
                <w:color w:val="auto"/>
              </w:rPr>
            </w:pPr>
            <w:r>
              <w:rPr>
                <w:rFonts w:ascii="Arial" w:cs="Arial" w:eastAsia="Arial" w:hAnsi="Arial"/>
                <w:sz w:val="18"/>
                <w:szCs w:val="18"/>
                <w:color w:val="auto"/>
              </w:rPr>
              <w:t>Representation of Shares of Other Corporations</w:t>
            </w:r>
          </w:p>
        </w:tc>
        <w:tc>
          <w:tcPr>
            <w:tcW w:w="5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9 Amendments</w:t>
            </w:r>
          </w:p>
        </w:tc>
        <w:tc>
          <w:tcPr>
            <w:tcW w:w="5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96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1200" w:type="dxa"/>
            <w:vAlign w:val="bottom"/>
            <w:tcBorders>
              <w:bottom w:val="single" w:sz="8" w:color="010101"/>
            </w:tcBorders>
          </w:tcPr>
          <w:p>
            <w:pPr>
              <w:spacing w:after="0"/>
              <w:rPr>
                <w:sz w:val="11"/>
                <w:szCs w:val="11"/>
                <w:color w:val="auto"/>
              </w:rPr>
            </w:pPr>
          </w:p>
        </w:tc>
        <w:tc>
          <w:tcPr>
            <w:tcW w:w="4300" w:type="dxa"/>
            <w:vAlign w:val="bottom"/>
            <w:tcBorders>
              <w:bottom w:val="single" w:sz="8" w:color="010101"/>
            </w:tcBorders>
          </w:tcPr>
          <w:p>
            <w:pPr>
              <w:spacing w:after="0"/>
              <w:rPr>
                <w:sz w:val="11"/>
                <w:szCs w:val="11"/>
                <w:color w:val="auto"/>
              </w:rPr>
            </w:pPr>
          </w:p>
        </w:tc>
        <w:tc>
          <w:tcPr>
            <w:tcW w:w="59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 Y L A W 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set forth in the certificate of incorporation of the corporation (the “Certificate of Incorporation”).</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either within or without the State of Delaware, as the board of directors of the corporation (the “Board”) may from time to time designate or the business of the corporation may require.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Meeting of Stockholders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w:t>
      </w:r>
      <w:r>
        <w:rPr>
          <w:rFonts w:ascii="Arial" w:cs="Arial" w:eastAsia="Arial" w:hAnsi="Arial"/>
          <w:sz w:val="18"/>
          <w:szCs w:val="18"/>
          <w:color w:val="auto"/>
        </w:rPr>
        <w:t>. Meetings of stockholders may be held at such place, either within or without the State of Delaware, 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Annual Meeting</w:t>
      </w:r>
      <w:r>
        <w:rPr>
          <w:rFonts w:ascii="Arial" w:cs="Arial" w:eastAsia="Arial" w:hAnsi="Arial"/>
          <w:sz w:val="16"/>
          <w:szCs w:val="16"/>
          <w:color w:val="auto"/>
        </w:rPr>
        <w:t>. Annual meetings of stockholders shall be held each year at such date and time as shall be designated from time to time by the Board and stated in the notice of the meeting. At each such annual meeting, the stockholders shall elect the number of directors equal to the number of directors of the class whose term expires at such meeting (or, if fewer, the number of directors properly nominated and qualified for election) to hold office</w:t>
      </w:r>
    </w:p>
    <w:p>
      <w:pPr>
        <w:sectPr>
          <w:pgSz w:w="11900" w:h="16838" w:orient="portrait"/>
          <w:cols w:equalWidth="0" w:num="1">
            <w:col w:w="11460"/>
          </w:cols>
          <w:pgMar w:left="240" w:top="125" w:right="199" w:bottom="0" w:gutter="0" w:footer="0" w:header="0"/>
        </w:sectPr>
      </w:pPr>
    </w:p>
    <w:bookmarkStart w:id="8" w:name="page9"/>
    <w:bookmarkEnd w:id="8"/>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until the third succeeding annual meeting of stockholders after their election. The stockholders shall also transact such other business as may properly be brought before the meeting.</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be properly brought before the annual meeting, business must be (a) specified in the notice of meeting (or any supplement thereto) given by or at the direction of the Board, (b) otherwise properly brought before the meeting by or at the direction of the Board, or (c) otherwise properly brought before the meeting by a stockholder who is a stockholder of record of the corporation at the time of giving of the notice provided for in this Section and at the time of the annual meeting, who is entitled to vote at the meeting, and who complies with the notice procedures set forth in this Section. The requirements of this Section shall apply to any business to be brought before an annual meeting by a stockholder, other than (i) the nomination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of a person for election as a director, which must be made in compliance with, and shall be exclusively governed by, Section 3.1 of these bylaws, and (ii) matters properly brought under Rule 14a-8 (or any successor rule or regulation) promulgated under the Securities Exchange Act of 1934 (the “Exchange Act”) and included in the corporation’s notice of meeting.</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no annual meeting was held in the preceding year or the annual meeting is called for a date that is more than 30 days before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 such scheduled annual meeting and (y) the 10th day following the earlier to occur of the day on which notice of the date of the scheduled annual meeting was mailed or the day on which public announcement (as defined below)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stockholder’s notice to the Secretary shall set forth the following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(ii) as to the stockholder giving the notice and the beneficial owner, if any, on whose behalf the business is being proposed, (A) the name and address, as they appear on the corporation’s books, of the stockholder, the name and address of the beneficial owner, if any, and the name and address of any person who is an associated person (as defined below)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any material interest in such business of the stockholder, the beneficial owner, if any, and any person who is an associated person of the stockholder or the beneficial owner, (D) 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shares owned by the stockholder or the beneficial owner and any such group, would be required to approve or adopt such business and/or otherwise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solicit proxies from stockholders in support of such business, and (E) 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 a stockholder proposal; (iii) as to the stockholder giving the notice or, if the notice is given on behalf of a beneficial owner on whose behalf the business is being proposed, as to the beneficial owner, (A) the class, series and number of shares of the corporation that are owned beneficially by the stockholder or beneficial owner and any associated person thereof as of the date of the notice, (B)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such business between or among the stockholder or beneficial owner and any associated person thereof, and any others (including their names) acting in concert with any of the foregoing (including any agreement that would be required to be disclosed pursuant to Item 5 or Item 6 of Schedule 13D under the Exchange Act (or any successor schedule),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(or a qualified representative of the stockholder) intends to appear in person or by proxy at the meeting to propose such business.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Notwithstanding anything in these bylaws to the contrary, (a) no business shall be conducted at the annual meeting except in accordance with the procedures set forth in this Section;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Section shall be deemed to preclude discussion by any stockholder of any business properly brought before the annual meeting; and (b) unless otherwise required by law, if a stockholder intending to propose business at an annual meeting pursuant to the preceding paragraph does not provide the updated information required under clauses (ii) and (iii) of the preceding paragraph to the corporation promptly following the later of the record date or the date on which public announcement of the record date was first made, or the stockholder (or a qualified representative of the stockholder) does not appear at the meeting to present the proposed business, such business shall not be transacted, notwithstanding that proxies in respect of such business may have been received by the corporation. For purposes of this Section, to be considered a qualified</w:t>
      </w:r>
    </w:p>
    <w:p>
      <w:pPr>
        <w:sectPr>
          <w:pgSz w:w="11900" w:h="16932" w:orient="portrait"/>
          <w:cols w:equalWidth="0" w:num="1">
            <w:col w:w="11420"/>
          </w:cols>
          <w:pgMar w:left="240" w:top="125" w:right="239" w:bottom="0" w:gutter="0" w:footer="0" w:header="0"/>
        </w:sectPr>
      </w:pPr>
    </w:p>
    <w:bookmarkStart w:id="9" w:name="page10"/>
    <w:bookmarkEnd w:id="9"/>
    <w:p>
      <w:pPr>
        <w:ind w:right="80"/>
        <w:spacing w:after="0" w:line="264" w:lineRule="auto"/>
        <w:rPr>
          <w:sz w:val="20"/>
          <w:szCs w:val="20"/>
          <w:color w:val="auto"/>
        </w:rPr>
      </w:pPr>
      <w:r>
        <w:rPr>
          <w:rFonts w:ascii="Arial" w:cs="Arial" w:eastAsia="Arial" w:hAnsi="Arial"/>
          <w:sz w:val="18"/>
          <w:szCs w:val="18"/>
          <w:color w:val="auto"/>
        </w:rPr>
        <w:t>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business at the meeting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business to be considered pursuant to the preceding 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 nominations of persons for election to the Board if and to the extent provided for under law, the Certificate of Incorporation, or these bylaws.</w:t>
      </w:r>
    </w:p>
    <w:p>
      <w:pPr>
        <w:spacing w:after="0" w:line="183"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Chairman of the Board (or such other person presiding at the meeting in accordance with these bylaws) shall, if the facts warrant, determine and declare to the meeting that business was not properly brought before the meeting in accordance with the provisions of this Section, and if he or she should so determine, he or she shall so declare to the meeting and any such business not properly brought before the meeting shall not be transacted.</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 .</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may be called for any purpose or purposes, unless otherwise prescribed by statute or by the Certificate of Incorporation, by the Secretary only at (a) the written request of the Chairman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w:t>
      </w:r>
    </w:p>
    <w:p>
      <w:pPr>
        <w:spacing w:after="0" w:line="15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provided by law,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stockholder entitled to vote at such meeting not less than 10 nor more than 60 days before the date of the meeting.</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officer in charge of the stock ledger of the corporation or the transfer agent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w:t>
      </w:r>
    </w:p>
    <w:p>
      <w:pPr>
        <w:spacing w:after="0" w:line="16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Organization and Conduct of Business</w:t>
      </w:r>
      <w:r>
        <w:rPr>
          <w:rFonts w:ascii="Arial" w:cs="Arial" w:eastAsia="Arial" w:hAnsi="Arial"/>
          <w:sz w:val="16"/>
          <w:szCs w:val="16"/>
          <w:color w:val="auto"/>
        </w:rPr>
        <w:t>. The Chairman of the Board or, in his or her absence, the Chief Executive Officer or President of the corporation or, in their absence, such person as the Board may have designated or, in the absence of such a person,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chair of any meeting of stockholders shall determine the order of business and the procedure at the meeting, including such regulation of the manner of voting and the conduct of discussion as seems to him or her in order.</w:t>
      </w:r>
    </w:p>
    <w:p>
      <w:pPr>
        <w:spacing w:after="0" w:line="170"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Quorum</w:t>
      </w:r>
      <w:r>
        <w:rPr>
          <w:rFonts w:ascii="Arial" w:cs="Arial" w:eastAsia="Arial" w:hAnsi="Arial"/>
          <w:sz w:val="18"/>
          <w:szCs w:val="18"/>
          <w:color w:val="auto"/>
        </w:rPr>
        <w:t>. Except where otherwise provided by law or the Certificate of Incorporation or these bylaws, the holders of a majority of the voting power of the capital stock issued and outstanding and entitled to vote, present in person or represented by proxy, shall constitute a quorum for the transaction of business at all meetings of the stockholders.</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stockholders may be adjourned from time to time to any other time and to any other place at which a meeting of stockholders may be held under these bylaws, which time and place shall be announced at the meeting. At such adjourned meeting at which a quorum shall be present or represented, any business may be transacted which might have been transacted at the original meeting. When a meeting is adjourned to another place, date or time, notice need not be given of the adjourned meeting if the place, date and time thereof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date of any adjourned meeting is more than 30 days after the date for which the meeting was originally noticed, or if a new record date is fixed for the adjourned meeting, written notice of the place, if any, date, time and means of remote communications, if any, of the adjourned meeting shall be given in conformity herewith.</w:t>
      </w:r>
    </w:p>
    <w:p>
      <w:pPr>
        <w:sectPr>
          <w:pgSz w:w="11900" w:h="16838" w:orient="portrait"/>
          <w:cols w:equalWidth="0" w:num="1">
            <w:col w:w="11420"/>
          </w:cols>
          <w:pgMar w:left="240" w:top="125" w:right="2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Voting Rights</w:t>
      </w:r>
      <w:r>
        <w:rPr>
          <w:rFonts w:ascii="Arial" w:cs="Arial" w:eastAsia="Arial" w:hAnsi="Arial"/>
          <w:sz w:val="18"/>
          <w:szCs w:val="18"/>
          <w:color w:val="auto"/>
        </w:rPr>
        <w:t>. Unless otherwise provided in the Certificate of Incorporation, each stockholder shall at every meeting of the stockholders be entitled to one vote for each share of the capital stock having voting power held by such stockholder.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Action at Meetings</w:t>
      </w:r>
      <w:r>
        <w:rPr>
          <w:rFonts w:ascii="Arial" w:cs="Arial" w:eastAsia="Arial" w:hAnsi="Arial"/>
          <w:sz w:val="18"/>
          <w:szCs w:val="18"/>
          <w:color w:val="auto"/>
        </w:rPr>
        <w:t>. When a quorum is present at any meeting, the vote of the holders of a majority of the voting power of the capital stock present in person or represented by proxy and entitled to vote on the question shall decide any question brought before such meeting, unless the question is one upon which by express provision of law or of the Certificate of Incorporation or of these bylaws, a different vote is required, in which case such express provision shall govern and control the decision of such question.</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Record Date for Stockholder Notice and Voting</w:t>
      </w:r>
      <w:r>
        <w:rPr>
          <w:rFonts w:ascii="Arial" w:cs="Arial" w:eastAsia="Arial" w:hAnsi="Arial"/>
          <w:sz w:val="17"/>
          <w:szCs w:val="17"/>
          <w:color w:val="auto"/>
        </w:rPr>
        <w:t xml:space="preserve">. 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shall not be more than 60 days nor fewer than 10 days before the date of any such meeting nor more than 60 days before any other action to which the record date relates.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fix a new record date for the adjourned meeting. If the Board does not so fix a record date,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may authorize another person or persons to act for such stockholder by proxy, but no such proxy shall be voted or acted upon after three years from its date, unless the proxy provides for a longer period. All proxies must be filed with the Secretary of the corporation or the inspector of election for the meeting at the beginning of such meeting in order to be counted in any vote at the meeting. Subject to the limitation set forth in the last clause of the first sentence of this Section 2.12, a duly executed proxy that does not state that it is irrevocable shall continue in full force and effect unless (i) revoked by the person executing it, before the vote pursuant to that proxy, by a writing delivered to the corporation stating that the proxy is revoked or by a subsequent proxy executed by, or attendance at the meeting and voting in person by, the person executing the proxy, or (ii) written notice of the death or incapacity of the maker of that proxy is received by the corporation before the vote pursuant to that proxy is counted.</w:t>
      </w:r>
    </w:p>
    <w:p>
      <w:pPr>
        <w:spacing w:after="0" w:line="19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sign an oath faithfully to execute the duties of inspector with strict impartiality and according to the best of his or her ability.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Except as otherwise provided for or fixed pursuant to the provisions of the Certificate of Incorporation relating to the rights of holders of any series of Preferred Stock to act by written consent, no action required or permitted to be taken at any annual or special meeting of the stockholders of the corporation may be taken without a meeting and the power of the stockholders to consent in writing, without a meeting, to the taking of any action is specifically denied.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Election, Tenure and Qualifications</w:t>
      </w:r>
      <w:r>
        <w:rPr>
          <w:rFonts w:ascii="Arial" w:cs="Arial" w:eastAsia="Arial" w:hAnsi="Arial"/>
          <w:sz w:val="18"/>
          <w:szCs w:val="18"/>
          <w:color w:val="auto"/>
        </w:rPr>
        <w:t>. The authorized number of directors shall be determined from time to time by resolution adopted by the Board, provided the Board shall consist of at least one member. No decrease in the number of authorized directors shall have the effect of removing any director before that director’s term of office expires. The classes of directors that shall constitute the entire Board shall be as provided in the Certificate of Incorporation.</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At each annual meeting of the stockholders, directors shall be elected for that class of directors whose terms are then expiring, except as otherwise provided in Section 3.2, and each director so elected shall hold office until such director’s successor is duly elected and qualified or until such director’s earlier resignation, removal, death or incapacity.</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Only persons who are nominated in accordance with the following procedures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at the time of giving of the notice provided for in this Section and at the time of the annual meeting, who is entitled to vote for the election of directors at the meeting, and who complies with the notice procedures set forth in this Section. A stockholder may make such a nomination only if such stockholder has given timely notice to the Secretary of the corporation in proper written form of the stockholder’s intent to make such a nomination.</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To be timely, with respect to an annual meeting of stockholders,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w:t>
      </w:r>
    </w:p>
    <w:p>
      <w:pPr>
        <w:sectPr>
          <w:pgSz w:w="11900" w:h="16838" w:orient="portrait"/>
          <w:cols w:equalWidth="0" w:num="1">
            <w:col w:w="11400"/>
          </w:cols>
          <w:pgMar w:left="240" w:top="125" w:right="25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such scheduled annual meeting and (y) the 10th day following the earlier to occur of the day on which notice of the date of the scheduled annual meeting was mailed or the day on which public announcement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stockholder’s notice to the Secretary shall set forth the following: (i) as to each person whom the stockholder proposes to nominate for election or reelection as a director, (A) the name, age, business address and residence address of the person, (B) the principal occupation or employment of the person,</w:t>
      </w:r>
    </w:p>
    <w:p>
      <w:pPr>
        <w:ind w:right="40" w:firstLine="8"/>
        <w:spacing w:after="0" w:line="283" w:lineRule="auto"/>
        <w:tabs>
          <w:tab w:leader="none" w:pos="2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class, series and number of shares of capital stock of the corporation that are owned of record and beneficially by the person, (D) a statement as to the person’s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person, and such person’s respective affiliates and associates, or others (including their names) acting in concert therewith, on the other hand, including all information that would be required to be disclosed pursuant to Item 404 of Regulation S-K promulgated by the Securities and Exchange Commission assuming for this purpose that the stockholder, the beneficial owner on whose behalf the nomination is being made, if any, and any person who is an associated person of the stockholder or the beneficial owner were the “registrant” and such person were a director or executive officer of such registrant, (F) any other information relating to the person that is required to be disclosed in solicitations for proxies for election of directors in a contested election pursuant to Section 14 of the Exchange Act and the rules and regulations promulgated thereunder, and (G) the person’s written consent to being named in the proxy statement as a nominee and to serving as a director if elected; (ii) as to the stockholder giving the notice and the beneficial owner, if any, on whose behalf the nomination is being made,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the shares owned by the stockholder or the beneficial owner and any such group, would be required to approve the nomination or otherwise to solicit proxies from stockholders in support of the nomination, and (D)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thereunder; (iii) as to the stockholder giving the notice or, if the notice is given on behalf of a beneficial owner on whose behalf the nomination is being made, as to the beneficial owner, (A) the class, series and number of shares of the corporation that are owned beneficially by the stockholder or beneficial owner and any person who is an associated person thereof as of the date of the notice, (B) any derivative or short positions held or beneficially held by the stockholder or beneficial owner and any person who is an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person who is an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the nomination between or among the stockholder or beneficial owner and any person who is an associated person thereof, and any others (including their names) acting in concert with any of the foregoing (including any agreement that would be required to be disclosed pursuant to Item 5 or Item 6 of Schedule 13D under the Exchange Act,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giving the notice (or a qualified representative of the stockholder) intends to appear in person or by proxy at the meeting to nominate the person or persons specified in the notice.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 person shall be eligible for election as a director of the corporation unless nominated in accordance with the procedures set forth herein.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connection with any annual meeting of the stockholders, the Chairman of the Board (or such other person presiding at such meeting in accordance with these bylaws) shall, if the facts warrant, determine and declare to the meeting that a nomination was not made in accordance with the foregoing procedure, and if he or she should so determine, he or she shall so declare to the meeting and the defective nomination shall be disregarded. Notwithstanding anything in these bylaws to the contrary, unless otherwise required by law, if a stockholder intending to make a nomination at an annual meeting pursuant to the preceding paragraph does not provide the updated information required under clauses (ii) and (iii) of the preceding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w:t>
      </w:r>
    </w:p>
    <w:p>
      <w:pPr>
        <w:sectPr>
          <w:pgSz w:w="11900" w:h="16838" w:orient="portrait"/>
          <w:cols w:equalWidth="0" w:num="1">
            <w:col w:w="11400"/>
          </w:cols>
          <w:pgMar w:left="240" w:top="125" w:right="259" w:bottom="0" w:gutter="0" w:footer="0" w:header="0"/>
        </w:sectPr>
      </w:pPr>
    </w:p>
    <w:bookmarkStart w:id="12" w:name="page13"/>
    <w:bookmarkEnd w:id="12"/>
    <w:p>
      <w:pPr>
        <w:ind w:right="100"/>
        <w:spacing w:after="0" w:line="257" w:lineRule="auto"/>
        <w:rPr>
          <w:sz w:val="20"/>
          <w:szCs w:val="20"/>
          <w:color w:val="auto"/>
        </w:rPr>
      </w:pPr>
      <w:r>
        <w:rPr>
          <w:rFonts w:ascii="Arial" w:cs="Arial" w:eastAsia="Arial" w:hAnsi="Arial"/>
          <w:sz w:val="18"/>
          <w:szCs w:val="18"/>
          <w:color w:val="auto"/>
        </w:rPr>
        <w:t>shall be disregarded, notwithstanding that proxies in respect of such nomination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nomination at the meeting by the stockholder giving the notice stating that the person is authorized to act for the stockholder as proxy at the meeting of stockholders.</w:t>
      </w:r>
    </w:p>
    <w:p>
      <w:pPr>
        <w:spacing w:after="0" w:line="1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Enlargement and Vacancies</w:t>
      </w:r>
      <w:r>
        <w:rPr>
          <w:rFonts w:ascii="Arial" w:cs="Arial" w:eastAsia="Arial" w:hAnsi="Arial"/>
          <w:sz w:val="16"/>
          <w:szCs w:val="16"/>
          <w:color w:val="auto"/>
        </w:rPr>
        <w:t>. The number of members of the Board may be increased at any time as provided in 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of the class of directors in which the new directorship was created or in which the vacancy occurred, and until such director’s successor is duly elected and qualified or until such director’s earlier death, resignation or removal from office. If there are no directors in office, then an election of directors may be held in the manner provided by statute. In the event of a vacancy in the Board, the remaining directors, except as otherwise provided by law or these bylaws, may exercise the powers of the full Board until the vacancy is filled.</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director may resign at any time upon written notice to the corporation at its principal place of business addressed to the attention of the Chief Executive Officer or the Secretary. Such resignation shall be effective upon receipt of such notice unless the notice specifies such resignation to be effective at some other time or upon the happening of some other event. Any director or the entire Board may be removed, but only for cause, by the holders of sixty-six and two-thirds percent of the voting power of all of the then outstanding shares of the shares of the capital stock of the corporation entitled to vote generally in the election of directors, voting as a single class, unless otherwise specified by law or the Certificate of Incorporation.</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of the corporation shall be managed by or under the direction of the Board, which may exercise all such powers of the corporation and do all such lawful acts and things as are not by statute or by the Certificate of Incorporation or by these bylaws directed or required to be exercised or done by the stockholders.</w:t>
      </w:r>
    </w:p>
    <w:p>
      <w:pPr>
        <w:spacing w:after="0" w:line="181"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If the Board appoints a Chairman of the Board, such Chair shall, when present, preside at all meetings of the stockholders and the Board. The Chair shall perform such duties and possess such powers as are customarily vested in the office of the Chairman of the Board or as may be vested in the Chair by the Board.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 The Board may hold meetings, both regular and special, either within or without the State of Delaware.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meetings of the Board shall be held immediately following the annual meeting of stockholders, and no notice of such meeting shall be necessary to the Board, provided a quorum shall be present, or shall be held at the next regularly scheduled meeting of the Board or at such other date, time and place as shall be designated from time to time by the Board and stated in the notice of the meeting. The annual meetings shall be for the purposes of organization, and an election of officers and the transaction of other business.</w:t>
      </w:r>
    </w:p>
    <w:p>
      <w:pPr>
        <w:spacing w:after="0" w:line="18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may be held without notice at such time and place as may be determined from time to time by the Board; provided that any director who is absent when such a determination is made shall be given prompt notice of such determination.</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may be called by the Chairman of the Board, the Chief Executive Officer (if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 meeting. In case such notice is delivered personally or by telephone or by commercial delivery service, facsimile transmission, or electronic mail or other electronic means, it shall be so delivered at least twenty-four hours prior to the time of the holding of the meeting. A notice or waiver of notice of a meeting of the Board need not specify the purposes of the meeting.</w:t>
      </w:r>
    </w:p>
    <w:p>
      <w:pPr>
        <w:spacing w:after="0" w:line="17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Quorum, Action at Meeting, Adjournments</w:t>
      </w:r>
      <w:r>
        <w:rPr>
          <w:rFonts w:ascii="Arial" w:cs="Arial" w:eastAsia="Arial" w:hAnsi="Arial"/>
          <w:sz w:val="17"/>
          <w:szCs w:val="17"/>
          <w:color w:val="auto"/>
        </w:rPr>
        <w:t xml:space="preserve">. At all meetings of the Board, a majority of directors then in office, but in no event less than one-third of the entire Board, shall constitute a quorum for the transaction of business and the act of a majority of the directors present at any meeting at which there is a quorum shall be the act of the Board, except as may be otherwise specifically provided by law or by the Certificate of Incorporation. For purposes of this Section, the term “entire Board” shall mean the number of directors last fixed by directors in accordance with these bylaws;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fewer than all the number of directors so fixed have been elected (by the stockholders or the Board), the “entire Board” shall mean the</w:t>
      </w:r>
      <w:r>
        <w:rPr>
          <w:rFonts w:ascii="Arial" w:cs="Arial" w:eastAsia="Arial" w:hAnsi="Arial"/>
          <w:sz w:val="17"/>
          <w:szCs w:val="17"/>
          <w:i w:val="1"/>
          <w:iCs w:val="1"/>
          <w:color w:val="auto"/>
        </w:rPr>
        <w:t xml:space="preserve"> </w:t>
      </w:r>
      <w:r>
        <w:rPr>
          <w:rFonts w:ascii="Arial" w:cs="Arial" w:eastAsia="Arial" w:hAnsi="Arial"/>
          <w:sz w:val="17"/>
          <w:szCs w:val="17"/>
          <w:color w:val="auto"/>
        </w:rPr>
        <w:t>greatest number of directors so elected to hold office at any one time pursuant to such authorization. The act of a majority of the directors present at any meeting at which there is a quorum shall be the act of the Board, except as may be otherwise specifically provided by law or by the Certificate of Incorporation. If a quorum shall not be present at any meeting of the Board, a majority of the directors present thereat may adjourn the meeting from time to time, without notice other than announcement at the meeting, until a quorum shall be present.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writing or writings or electronic transmission or transmissions are filed with the minutes of proceedings of the Board or committee.</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Telephone Meetings</w:t>
      </w:r>
      <w:r>
        <w:rPr>
          <w:rFonts w:ascii="Arial" w:cs="Arial" w:eastAsia="Arial" w:hAnsi="Arial"/>
          <w:sz w:val="16"/>
          <w:szCs w:val="16"/>
          <w:color w:val="auto"/>
        </w:rPr>
        <w:t>. Unless otherwise restricted by the Certificate of Incorporation or these bylaws, any member of the Board or any committee thereof may participate in a meeting of the Board or of any committee, as the case may be, by means of conference telephone or by any form of</w:t>
      </w:r>
    </w:p>
    <w:p>
      <w:pPr>
        <w:sectPr>
          <w:pgSz w:w="11900" w:h="16838" w:orient="portrait"/>
          <w:cols w:equalWidth="0" w:num="1">
            <w:col w:w="11400"/>
          </w:cols>
          <w:pgMar w:left="240" w:top="125" w:right="259" w:bottom="0" w:gutter="0" w:footer="0" w:header="0"/>
        </w:sectPr>
      </w:pPr>
    </w:p>
    <w:bookmarkStart w:id="13" w:name="page14"/>
    <w:bookmarkEnd w:id="13"/>
    <w:p>
      <w:pPr>
        <w:ind w:right="720"/>
        <w:spacing w:after="0" w:line="277" w:lineRule="auto"/>
        <w:rPr>
          <w:sz w:val="20"/>
          <w:szCs w:val="20"/>
          <w:color w:val="auto"/>
        </w:rPr>
      </w:pPr>
      <w:r>
        <w:rPr>
          <w:rFonts w:ascii="Arial" w:cs="Arial" w:eastAsia="Arial" w:hAnsi="Arial"/>
          <w:sz w:val="18"/>
          <w:szCs w:val="18"/>
          <w:color w:val="auto"/>
        </w:rPr>
        <w:t>communications equipment by means of which all persons participating in the meeting can hear each other, and such participation in a meeting shall constitute presence in person at the meeting.</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may, by resolution,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General Corporation Law of the State of Delaware (the “DGCL”) to be submitted to stockholders for approval or (ii) adopting, amending or repealing any of these bylaws. Such committee or committees shall have such name or names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17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Officers Designated</w:t>
      </w:r>
      <w:r>
        <w:rPr>
          <w:rFonts w:ascii="Arial" w:cs="Arial" w:eastAsia="Arial" w:hAnsi="Arial"/>
          <w:sz w:val="18"/>
          <w:szCs w:val="18"/>
          <w:color w:val="auto"/>
        </w:rPr>
        <w:t>. The officers of the corporation shall be a Chief Executive Officer and/or President, a Secretary and a Chief Financial Officer, each of whom shall be appointed by the Board. The Board may also appoint one or more Vice Presidents, a Treasurer,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Election</w:t>
      </w:r>
      <w:r>
        <w:rPr>
          <w:rFonts w:ascii="Arial" w:cs="Arial" w:eastAsia="Arial" w:hAnsi="Arial"/>
          <w:sz w:val="18"/>
          <w:szCs w:val="18"/>
          <w:color w:val="auto"/>
        </w:rPr>
        <w:t>. The Board at its first meeting after each annual meeting of stockholders shall appoint a Chief Executive Officer and/or President, a Secretary and a Chief Financial Officer. Other officers may be appointed by the Board of Directors at such meeting, at any other meeting, or by written consent.</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Tenure</w:t>
      </w:r>
      <w:r>
        <w:rPr>
          <w:rFonts w:ascii="Arial" w:cs="Arial" w:eastAsia="Arial" w:hAnsi="Arial"/>
          <w:sz w:val="16"/>
          <w:szCs w:val="16"/>
          <w:color w:val="auto"/>
        </w:rPr>
        <w:t>. Each officer of the corporation shall hold office until such officer’s successor is elected and qualified, unless a 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subject to the control of the Board, have general executive charge, management and control of the business of the corporation and its officers and see that all orders and resolutions of the Board are carried into effect. In addition, the Chief Executive Officer shall perform such other duties and have such other powers as may from time to time be prescribed by the Board or as are set forth in the Certificate of Incorporation or these bylaws. If the Board of Directors has not elected or appointed a President or the office of the President is otherwise vacant, and no officer otherwise functions with the powers and duties of the President, then, unless otherwise determined by the Board of Directors, the Chief Executive Officer shall also have all the powers and duties of the President.</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in the event there be no Chief Executive Officer or in the absence of the Chief 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supervise the corporation’s treasury functions and financial 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 the name and to the credit of the corporation in such depositories as may be designated by the Board. The Chief Financial Officer shall disburse, or cause to be disbursed, the funds of the corporation as may be ordered by the Board, taking proper vouchers for such disbursements,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ectPr>
          <w:pgSz w:w="11900" w:h="16838" w:orient="portrait"/>
          <w:cols w:equalWidth="0" w:num="1">
            <w:col w:w="11420"/>
          </w:cols>
          <w:pgMar w:left="240" w:top="125" w:right="239" w:bottom="0" w:gutter="0" w:footer="0" w:header="0"/>
        </w:sectPr>
      </w:pPr>
    </w:p>
    <w:bookmarkStart w:id="14" w:name="page15"/>
    <w:bookmarkEnd w:id="14"/>
    <w:p>
      <w:pPr>
        <w:spacing w:after="0" w:line="13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Vice President</w:t>
      </w:r>
      <w:r>
        <w:rPr>
          <w:rFonts w:ascii="Arial" w:cs="Arial" w:eastAsia="Arial" w:hAnsi="Arial"/>
          <w:sz w:val="18"/>
          <w:szCs w:val="18"/>
          <w:color w:val="auto"/>
        </w:rPr>
        <w:t>. Each Vice President, if any are elected, of whom one or more may be designated an Executive Vice President or Senior Vice President, shall perform such other duties and have such other powers as may from time to time be prescribed for him or her by the Board, the Chief Executive Officer, the President, or these bylaws.</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keep or cause to be kept minutes of all meetings and actions of the Board, committees 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The Secretary shall perform such other duties and have such other powers as may from time to time be prescribed by the Board, the Chief Executive Officer, the President or these bylaws.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The Assistant Secretary, or if there be more than one, any Assistant Secretaries in the order designated by the Board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(if one is appointed) shall have such duties as may be specified by 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may from time to time delegate the powers or duties of any officer to any other officers or agents, notwithstanding any provision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Delivery</w:t>
      </w:r>
      <w:r>
        <w:rPr>
          <w:rFonts w:ascii="Arial" w:cs="Arial" w:eastAsia="Arial" w:hAnsi="Arial"/>
          <w:sz w:val="18"/>
          <w:szCs w:val="18"/>
          <w:color w:val="auto"/>
        </w:rPr>
        <w:t>. Whenever, under the provisions of law, or of the Certificate of Incorporation or these bylaws, written notice is required to be given to any director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stockholder,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Unless written notice by mail is required by law, written notice may also be given by commercial delivery service, facsimile transmission, electronic mail or similar electronic means addressed to such director or stockholder at such person’s address as it appears on the records of the corporation, in which case such notice shall be deemed to be given when delivered into the control of the persons charged with effecting such transmission, or when actually transmitted by the person giving the notice by facsimile or electronic mail or similar electronic means to the recipient. Oral notice or other in-hand delivery, in person or by telephone, shall be deemed given at the time it is actually given.</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under the provisions of law or of the Certificate of 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 and Insurance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of 1974, as amended from time to time, penalties and amounts paid or to be paid in settlement) actually and reasonably incurred or suffered by such Indemnitee in connection therewith. Each director or officer of the corporation (or any predecessor) who is or was serving as a director, officer, employee or</w:t>
      </w:r>
    </w:p>
    <w:p>
      <w:pPr>
        <w:sectPr>
          <w:pgSz w:w="11900" w:h="16975"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agent of a subsidiary of the corporation shall be deemed to be serving, or have served, at the request of the corporation (or any predecessor). The corporation shall not be required to indemnify or make advances pursuant to Section 6.2 below to a person (A)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Advance Payment</w:t>
      </w:r>
      <w:r>
        <w:rPr>
          <w:rFonts w:ascii="Arial" w:cs="Arial" w:eastAsia="Arial" w:hAnsi="Arial"/>
          <w:sz w:val="18"/>
          <w:szCs w:val="18"/>
          <w:color w:val="auto"/>
        </w:rPr>
        <w:t>. The right to indemnification under this Article 6 shall include the right to be paid by the corporation the expenses incurred by an Indemnitee in defending any such proceeding in advance of its final disposition, such advances to be paid by the corporation within 30 days after the receipt by the corporation of a statement or statements from the claimant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 amounts so advanced if it shall ultimately be determined that such director or officer is not entitled to be indemnified under Section 6.1 or otherwise.</w:t>
      </w:r>
    </w:p>
    <w:p>
      <w:pPr>
        <w:spacing w:after="0" w:line="19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Non-Exclusivity and Survival of Rights; Amendments</w:t>
      </w:r>
      <w:r>
        <w:rPr>
          <w:rFonts w:ascii="Arial" w:cs="Arial" w:eastAsia="Arial" w:hAnsi="Arial"/>
          <w:sz w:val="16"/>
          <w:szCs w:val="16"/>
          <w:color w:val="auto"/>
        </w:rPr>
        <w:t>. The right to indemnification and the payment of expenses 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Determination; Claim</w:t>
      </w:r>
      <w:r>
        <w:rPr>
          <w:rFonts w:ascii="Arial" w:cs="Arial" w:eastAsia="Arial" w:hAnsi="Arial"/>
          <w:sz w:val="17"/>
          <w:szCs w:val="17"/>
          <w:color w:val="auto"/>
        </w:rPr>
        <w:t>. If a claim for indemnification (following the final disposition of a proceeding) or advancement 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its own behalf and on behalf of any person who is or was a director, officer, employee or agent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word, clause, provision or provisions of this Article 6 shall be held to be invalid, illegal or 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Reliance</w:t>
      </w:r>
      <w:r>
        <w:rPr>
          <w:rFonts w:ascii="Arial" w:cs="Arial" w:eastAsia="Arial" w:hAnsi="Arial"/>
          <w:sz w:val="18"/>
          <w:szCs w:val="18"/>
          <w:color w:val="auto"/>
        </w:rPr>
        <w:t>. Persons who after the date of the adoption of this provision become or remain directors or officers of the corporation shall be conclusively presumed to have relied on the rights to indemnity, advance of expenses and other rights contained in this Article 6 in entering into or continuing such service. The rights to indemnification and to the advance of expenses conferred in this Article 6 shall apply to claims made against an Indemnitee arising out of acts or omissions that occurred or occur both prior and subsequent to the adoption hereof.</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Indemnification of Other Persons</w:t>
      </w:r>
      <w:r>
        <w:rPr>
          <w:rFonts w:ascii="Arial" w:cs="Arial" w:eastAsia="Arial" w:hAnsi="Arial"/>
          <w:sz w:val="18"/>
          <w:szCs w:val="18"/>
          <w:color w:val="auto"/>
        </w:rPr>
        <w:t xml:space="preserve">. This Article 6 shall not limit the right of the corporation, to the extent and in the 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The shares of the corporation shall be represented by certificates or shall be uncertificated. Certificates for shares, if any, shall be signed by, or in the name of the corporation by, the Chief Executive Officer, the President or a Vice President and by the Chief Financial Officer, the Treasurer or an Assistant Treasurer, or the Secretary or an Assistant Secretary of the corporation. Certificates may be issued for partly paid shares and in such case upon the face or back of the certificates issued to represent any such partly paid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the consideration to be paid therefor, and the amount paid thereon shall be specified.</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w:t>
      </w:r>
    </w:p>
    <w:p>
      <w:pPr>
        <w:sectPr>
          <w:pgSz w:w="11900" w:h="16975" w:orient="portrait"/>
          <w:cols w:equalWidth="0" w:num="1">
            <w:col w:w="11400"/>
          </w:cols>
          <w:pgMar w:left="240" w:top="125" w:right="259" w:bottom="0" w:gutter="0" w:footer="0" w:header="0"/>
        </w:sectPr>
      </w:pPr>
    </w:p>
    <w:bookmarkStart w:id="16" w:name="page17"/>
    <w:bookmarkEnd w:id="16"/>
    <w:p>
      <w:pPr>
        <w:spacing w:after="0" w:line="1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who so requests the powers, designations, preferences and relative participating, optional or other special rights of each class of stock or series thereof and the qualifications, limitations or restrictions of such preferences and/or rights.</w:t>
      </w:r>
    </w:p>
    <w:p>
      <w:pPr>
        <w:spacing w:after="0" w:line="170"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Signatures on Certificates</w:t>
      </w:r>
      <w:r>
        <w:rPr>
          <w:rFonts w:ascii="Arial" w:cs="Arial" w:eastAsia="Arial" w:hAnsi="Arial"/>
          <w:sz w:val="16"/>
          <w:szCs w:val="16"/>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Transfer of Stock</w:t>
      </w:r>
      <w:r>
        <w:rPr>
          <w:rFonts w:ascii="Arial" w:cs="Arial" w:eastAsia="Arial" w:hAnsi="Arial"/>
          <w:sz w:val="17"/>
          <w:szCs w:val="17"/>
          <w:color w:val="auto"/>
        </w:rPr>
        <w:t>. Shares of stock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18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The corporation may direct that a new certificate or certificates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and/or to give the corporation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bond or other adequate security in such sum as it may direct as indemnity against any claim that may be made against the corporation with respect to the certificate alleged to have been lost, stolen or destroyed.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any restrictions contained in the DGCL or 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Checks</w:t>
      </w:r>
      <w:r>
        <w:rPr>
          <w:rFonts w:ascii="Arial" w:cs="Arial" w:eastAsia="Arial" w:hAnsi="Arial"/>
          <w:sz w:val="16"/>
          <w:szCs w:val="16"/>
          <w:color w:val="auto"/>
        </w:rPr>
        <w:t>. All checks or demands for money and notes of the corporation shall be signed by such officer or officers or such other person or persons as the Board, or such officers of the corporation as may be designated by the Board to make such designation, may from time to time designate.</w:t>
      </w:r>
    </w:p>
    <w:p>
      <w:pPr>
        <w:spacing w:after="0" w:line="124"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may, by resolution, adopt a corporate seal. The corporate seal shall have inscribed thereon 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Representation of Shares of Other Corporations</w:t>
      </w:r>
      <w:r>
        <w:rPr>
          <w:rFonts w:ascii="Arial" w:cs="Arial" w:eastAsia="Arial" w:hAnsi="Arial"/>
          <w:sz w:val="17"/>
          <w:szCs w:val="17"/>
          <w:color w:val="auto"/>
        </w:rPr>
        <w:t>. The Chief Executive Officer, the President or any Vice President, 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The Board is expressly empowered to adopt, amend or repeal these bylaws;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adoption, amendment or repeal of these bylaws by the Board shall require the approval of at least a majority of the directors of the corporation then in office, including the affirmative vote of at least one director from each class of the Board if the Board shall then be divided into classes. The stockholders shall also have power to adopt, amend or repeal these bylaws;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addition to any vote of the holders of any class or series of stock of the corporation required by law or by the</w:t>
      </w:r>
    </w:p>
    <w:p>
      <w:pPr>
        <w:sectPr>
          <w:pgSz w:w="11900" w:h="16945" w:orient="portrait"/>
          <w:cols w:equalWidth="0" w:num="1">
            <w:col w:w="11420"/>
          </w:cols>
          <w:pgMar w:left="240" w:top="125" w:right="239" w:bottom="0" w:gutter="0" w:footer="0" w:header="0"/>
        </w:sectPr>
      </w:pPr>
    </w:p>
    <w:bookmarkStart w:id="17" w:name="page18"/>
    <w:bookmarkEnd w:id="17"/>
    <w:p>
      <w:pPr>
        <w:spacing w:after="0" w:line="293" w:lineRule="auto"/>
        <w:rPr>
          <w:sz w:val="20"/>
          <w:szCs w:val="20"/>
          <w:color w:val="auto"/>
        </w:rPr>
      </w:pPr>
      <w:r>
        <w:rPr>
          <w:rFonts w:ascii="Arial" w:cs="Arial" w:eastAsia="Arial" w:hAnsi="Arial"/>
          <w:sz w:val="16"/>
          <w:szCs w:val="16"/>
          <w:color w:val="auto"/>
        </w:rPr>
        <w:t>Certificate of 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of the directors of the corporation then in office.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upperLetter"/>
      <w:start w:val="1"/>
    </w:lvl>
  </w:abstractNum>
  <w:abstractNum w:abstractNumId="2">
    <w:nsid w:val="79E2A9E3"/>
    <w:multiLevelType w:val="hybridMultilevel"/>
    <w:lvl w:ilvl="0">
      <w:lvlJc w:val="left"/>
      <w:lvlText w:val="%1."/>
      <w:numFmt w:val="upperLetter"/>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upperLetter"/>
      <w:start w:val="1"/>
    </w:lvl>
  </w:abstractNum>
  <w:abstractNum w:abstractNumId="5">
    <w:nsid w:val="5BD062C2"/>
    <w:multiLevelType w:val="hybridMultilevel"/>
    <w:lvl w:ilvl="0">
      <w:lvlJc w:val="left"/>
      <w:lvlText w:val="%1."/>
      <w:numFmt w:val="upperLetter"/>
      <w:start w:val="1"/>
    </w:lvl>
  </w:abstractNum>
  <w:abstractNum w:abstractNumId="6">
    <w:nsid w:val="12200854"/>
    <w:multiLevelType w:val="hybridMultilevel"/>
    <w:lvl w:ilvl="0">
      <w:lvlJc w:val="left"/>
      <w:lvlText w:val="%1."/>
      <w:numFmt w:val="upperLetter"/>
      <w:start w:val="3"/>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upperLetter"/>
      <w:start w:val="2"/>
    </w:lvl>
  </w:abstractNum>
  <w:abstractNum w:abstractNumId="9">
    <w:nsid w:val="1F16E9E8"/>
    <w:multiLevelType w:val="hybridMultilevel"/>
    <w:lvl w:ilvl="0">
      <w:lvlJc w:val="left"/>
      <w:lvlText w:val="%1."/>
      <w:numFmt w:val="upperLetter"/>
      <w:start w:val="1"/>
    </w:lvl>
  </w:abstractNum>
  <w:abstractNum w:abstractNumId="10">
    <w:nsid w:val="1190CDE7"/>
    <w:multiLevelType w:val="hybridMultilevel"/>
    <w:lvl w:ilvl="0">
      <w:lvlJc w:val="left"/>
      <w:lvlText w:val="%1."/>
      <w:numFmt w:val="upperLetter"/>
      <w:start w:val="4"/>
    </w:lvl>
  </w:abstractNum>
  <w:abstractNum w:abstractNumId="11">
    <w:nsid w:val="66EF438D"/>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2019-12-07T15:31:31Z</dcterms:created>
  <dcterms:modified xsi:type="dcterms:W3CDTF">2019-12-07T15:31:31Z</dcterms:modified>
</cp:coreProperties>
</file>