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1091565</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997585</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May 3, 2022</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VERACYTE,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47" w:lineRule="exact"/>
        <w:rPr>
          <w:sz w:val="24"/>
          <w:szCs w:val="24"/>
          <w:color w:val="auto"/>
        </w:rPr>
      </w:pPr>
    </w:p>
    <w:tbl>
      <w:tblPr>
        <w:tblLayout w:type="fixed"/>
        <w:tblInd w:w="760" w:type="dxa"/>
        <w:tblCellMar>
          <w:top w:w="0" w:type="dxa"/>
          <w:left w:w="0" w:type="dxa"/>
          <w:bottom w:w="0" w:type="dxa"/>
          <w:right w:w="0" w:type="dxa"/>
        </w:tblCellMar>
      </w:tblPr>
      <w:tr>
        <w:trPr>
          <w:trHeight w:val="238"/>
        </w:trPr>
        <w:tc>
          <w:tcPr>
            <w:tcW w:w="3020" w:type="dxa"/>
            <w:vAlign w:val="bottom"/>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720" w:type="dxa"/>
            <w:vAlign w:val="bottom"/>
          </w:tcPr>
          <w:p>
            <w:pPr>
              <w:jc w:val="right"/>
              <w:ind w:right="1390"/>
              <w:spacing w:after="0"/>
              <w:rPr>
                <w:sz w:val="20"/>
                <w:szCs w:val="20"/>
                <w:color w:val="auto"/>
              </w:rPr>
            </w:pPr>
            <w:r>
              <w:rPr>
                <w:rFonts w:ascii="Times New Roman" w:cs="Times New Roman" w:eastAsia="Times New Roman" w:hAnsi="Times New Roman"/>
                <w:sz w:val="18"/>
                <w:szCs w:val="18"/>
                <w:b w:val="1"/>
                <w:bCs w:val="1"/>
                <w:color w:val="auto"/>
              </w:rPr>
              <w:t>001-36156</w:t>
            </w:r>
          </w:p>
        </w:tc>
        <w:tc>
          <w:tcPr>
            <w:tcW w:w="3040" w:type="dxa"/>
            <w:vAlign w:val="bottom"/>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8"/>
              </w:rPr>
              <w:t>20-5455398</w:t>
            </w:r>
          </w:p>
        </w:tc>
      </w:tr>
      <w:tr>
        <w:trPr>
          <w:trHeight w:val="225"/>
        </w:trPr>
        <w:tc>
          <w:tcPr>
            <w:tcW w:w="302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304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9"/>
              </w:rPr>
              <w:t>(IRS Employer Identification</w:t>
            </w:r>
          </w:p>
        </w:tc>
      </w:tr>
      <w:tr>
        <w:trPr>
          <w:trHeight w:val="234"/>
        </w:trPr>
        <w:tc>
          <w:tcPr>
            <w:tcW w:w="302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rPr>
              <w:t>incorporation)</w:t>
            </w:r>
          </w:p>
        </w:tc>
        <w:tc>
          <w:tcPr>
            <w:tcW w:w="3720" w:type="dxa"/>
            <w:vAlign w:val="bottom"/>
          </w:tcPr>
          <w:p>
            <w:pPr>
              <w:spacing w:after="0"/>
              <w:rPr>
                <w:sz w:val="20"/>
                <w:szCs w:val="20"/>
                <w:color w:val="auto"/>
              </w:rPr>
            </w:pPr>
          </w:p>
        </w:tc>
        <w:tc>
          <w:tcPr>
            <w:tcW w:w="304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8"/>
              </w:rPr>
              <w:t>No.)</w:t>
            </w:r>
          </w:p>
        </w:tc>
      </w:tr>
      <w:tr>
        <w:trPr>
          <w:trHeight w:val="392"/>
        </w:trPr>
        <w:tc>
          <w:tcPr>
            <w:tcW w:w="67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6000 Shoreline Court, Suite 300, South San Francisco, California</w:t>
            </w:r>
          </w:p>
        </w:tc>
        <w:tc>
          <w:tcPr>
            <w:tcW w:w="3040" w:type="dxa"/>
            <w:vAlign w:val="bottom"/>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rPr>
              <w:t>94080</w:t>
            </w:r>
          </w:p>
        </w:tc>
      </w:tr>
      <w:tr>
        <w:trPr>
          <w:trHeight w:val="257"/>
        </w:trPr>
        <w:tc>
          <w:tcPr>
            <w:tcW w:w="674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04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3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(650) 243-6300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31" w:lineRule="exact"/>
        <w:rPr>
          <w:sz w:val="24"/>
          <w:szCs w:val="24"/>
          <w:color w:val="auto"/>
        </w:rPr>
      </w:pPr>
    </w:p>
    <w:p>
      <w:pPr>
        <w:ind w:left="20" w:right="620" w:firstLine="54"/>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2" w:lineRule="exact"/>
        <w:rPr>
          <w:sz w:val="24"/>
          <w:szCs w:val="24"/>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9" w:lineRule="exact"/>
        <w:rPr>
          <w:rFonts w:ascii="MS PGothic" w:cs="MS PGothic" w:eastAsia="MS PGothic" w:hAnsi="MS PGothic"/>
          <w:sz w:val="18"/>
          <w:szCs w:val="18"/>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49" w:lineRule="exact"/>
        <w:rPr>
          <w:rFonts w:ascii="MS PGothic" w:cs="MS PGothic" w:eastAsia="MS PGothic" w:hAnsi="MS PGothic"/>
          <w:sz w:val="18"/>
          <w:szCs w:val="18"/>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49" w:lineRule="exact"/>
        <w:rPr>
          <w:rFonts w:ascii="MS PGothic" w:cs="MS PGothic" w:eastAsia="MS PGothic" w:hAnsi="MS PGothic"/>
          <w:sz w:val="18"/>
          <w:szCs w:val="18"/>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6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20" w:type="dxa"/>
            <w:vAlign w:val="bottom"/>
          </w:tcPr>
          <w:p>
            <w:pPr>
              <w:spacing w:after="0"/>
              <w:rPr>
                <w:sz w:val="20"/>
                <w:szCs w:val="20"/>
                <w:color w:val="auto"/>
              </w:rPr>
            </w:pPr>
          </w:p>
        </w:tc>
      </w:tr>
      <w:tr>
        <w:trPr>
          <w:trHeight w:val="263"/>
        </w:trPr>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80" w:type="dxa"/>
            <w:vAlign w:val="bottom"/>
          </w:tcPr>
          <w:p>
            <w:pPr>
              <w:spacing w:after="0"/>
              <w:rPr>
                <w:sz w:val="22"/>
                <w:szCs w:val="22"/>
                <w:color w:val="auto"/>
              </w:rPr>
            </w:pPr>
          </w:p>
        </w:tc>
        <w:tc>
          <w:tcPr>
            <w:tcW w:w="20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Trading Symbol(s)</w:t>
            </w:r>
          </w:p>
        </w:tc>
        <w:tc>
          <w:tcPr>
            <w:tcW w:w="180" w:type="dxa"/>
            <w:vAlign w:val="bottom"/>
          </w:tcPr>
          <w:p>
            <w:pPr>
              <w:spacing w:after="0"/>
              <w:rPr>
                <w:sz w:val="22"/>
                <w:szCs w:val="22"/>
                <w:color w:val="auto"/>
              </w:rPr>
            </w:pPr>
          </w:p>
        </w:tc>
        <w:tc>
          <w:tcPr>
            <w:tcW w:w="4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43"/>
        </w:trPr>
        <w:tc>
          <w:tcPr>
            <w:tcW w:w="4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4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VCYT</w:t>
            </w:r>
          </w:p>
        </w:tc>
        <w:tc>
          <w:tcPr>
            <w:tcW w:w="4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44" w:lineRule="exact"/>
        <w:rPr>
          <w:sz w:val="24"/>
          <w:szCs w:val="24"/>
          <w:color w:val="auto"/>
        </w:rPr>
      </w:pPr>
    </w:p>
    <w:p>
      <w:pPr>
        <w:ind w:left="20" w:right="260"/>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1" w:lineRule="exact"/>
        <w:rPr>
          <w:sz w:val="24"/>
          <w:szCs w:val="24"/>
          <w:color w:val="auto"/>
        </w:rPr>
      </w:pPr>
    </w:p>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78" w:lineRule="exact"/>
        <w:rPr>
          <w:sz w:val="24"/>
          <w:szCs w:val="24"/>
          <w:color w:val="auto"/>
        </w:rPr>
      </w:pPr>
    </w:p>
    <w:p>
      <w:pPr>
        <w:ind w:left="20" w:right="140"/>
        <w:spacing w:after="0" w:line="22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1424305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330835</wp:posOffset>
            </wp:positionV>
            <wp:extent cx="70891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236855</wp:posOffset>
            </wp:positionV>
            <wp:extent cx="70891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3, 2022, Veracyte, Inc. issued a press release announcing its financial results for the quarter ended March 31, 2022. The full text of the press release is furnished as Exhibit 99.1 to this report.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 99.1, shall not be deemed to be “filed” for purposes of Section 18 of the Securities Exchange Act of 1934 (the “Exchange Act”), or otherwise subject to the liability of that section, and shall not be incorporated by reference into any registration statement or other document filed under the Securities Act of 1933 or the Exchange Act, except as shall be expressly set forth by specific reference in such filing.</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56"/>
        </w:trPr>
        <w:tc>
          <w:tcPr>
            <w:tcW w:w="1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Exhibit No.</w:t>
            </w:r>
          </w:p>
        </w:tc>
        <w:tc>
          <w:tcPr>
            <w:tcW w:w="26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9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c>
          <w:tcPr>
            <w:tcW w:w="320" w:type="dxa"/>
            <w:vAlign w:val="bottom"/>
          </w:tcPr>
          <w:p>
            <w:pPr>
              <w:spacing w:after="0"/>
              <w:rPr>
                <w:sz w:val="22"/>
                <w:szCs w:val="22"/>
                <w:color w:val="auto"/>
              </w:rPr>
            </w:pPr>
          </w:p>
        </w:tc>
      </w:tr>
      <w:tr>
        <w:trPr>
          <w:trHeight w:val="291"/>
        </w:trPr>
        <w:tc>
          <w:tcPr>
            <w:tcW w:w="14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99.1</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Press release issued by Veracyte, Inc. dated May 3, 2022.</w:t>
            </w:r>
          </w:p>
        </w:tc>
      </w:tr>
      <w:tr>
        <w:trPr>
          <w:trHeight w:val="20"/>
        </w:trPr>
        <w:tc>
          <w:tcPr>
            <w:tcW w:w="1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20" w:type="dxa"/>
            <w:vAlign w:val="bottom"/>
            <w:shd w:val="clear" w:color="auto" w:fill="0000FF"/>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77"/>
        </w:trPr>
        <w:tc>
          <w:tcPr>
            <w:tcW w:w="14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104</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762"/>
        </w:trPr>
        <w:tc>
          <w:tcPr>
            <w:tcW w:w="14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120" w:type="dxa"/>
            <w:vAlign w:val="bottom"/>
            <w:tcBorders>
              <w:bottom w:val="single" w:sz="8" w:color="9A9A9A"/>
            </w:tcBorders>
          </w:tcPr>
          <w:p>
            <w:pPr>
              <w:spacing w:after="0"/>
              <w:rPr>
                <w:sz w:val="24"/>
                <w:szCs w:val="24"/>
                <w:color w:val="auto"/>
              </w:rPr>
            </w:pPr>
          </w:p>
        </w:tc>
        <w:tc>
          <w:tcPr>
            <w:tcW w:w="5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110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8"/>
              </w:rPr>
              <w:t>May 3, 2022</w:t>
            </w:r>
          </w:p>
        </w:tc>
      </w:tr>
    </w:tbl>
    <w:p>
      <w:pPr>
        <w:spacing w:after="0" w:line="279"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VERACYTE, INC.</w:t>
      </w:r>
    </w:p>
    <w:p>
      <w:pPr>
        <w:spacing w:after="0" w:line="279" w:lineRule="exact"/>
        <w:rPr>
          <w:sz w:val="20"/>
          <w:szCs w:val="20"/>
          <w:color w:val="auto"/>
        </w:rPr>
      </w:pPr>
    </w:p>
    <w:p>
      <w:pPr>
        <w:ind w:left="4260"/>
        <w:spacing w:after="0"/>
        <w:tabs>
          <w:tab w:leader="none" w:pos="5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Rebecca Chambers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26035</wp:posOffset>
            </wp:positionV>
            <wp:extent cx="39262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926205" cy="8255"/>
                    </a:xfrm>
                    <a:prstGeom prst="rect">
                      <a:avLst/>
                    </a:prstGeom>
                    <a:noFill/>
                  </pic:spPr>
                </pic:pic>
              </a:graphicData>
            </a:graphic>
          </wp:anchor>
        </w:drawing>
      </w:r>
    </w:p>
    <w:p>
      <w:pPr>
        <w:spacing w:after="0" w:line="30" w:lineRule="exact"/>
        <w:rPr>
          <w:sz w:val="20"/>
          <w:szCs w:val="20"/>
          <w:color w:val="auto"/>
        </w:rPr>
      </w:pPr>
    </w:p>
    <w:p>
      <w:pPr>
        <w:ind w:left="4260"/>
        <w:spacing w:after="0"/>
        <w:tabs>
          <w:tab w:leader="none" w:pos="51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Rebecca Chambers</w:t>
      </w:r>
    </w:p>
    <w:p>
      <w:pPr>
        <w:spacing w:after="0" w:line="61" w:lineRule="exact"/>
        <w:rPr>
          <w:sz w:val="20"/>
          <w:szCs w:val="20"/>
          <w:color w:val="auto"/>
        </w:rPr>
      </w:pPr>
    </w:p>
    <w:p>
      <w:pPr>
        <w:ind w:left="4260"/>
        <w:spacing w:after="0"/>
        <w:tabs>
          <w:tab w:leader="none" w:pos="51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i w:val="1"/>
          <w:iCs w:val="1"/>
          <w:color w:val="auto"/>
        </w:rPr>
        <w:t>Chief Financial Officer</w:t>
      </w:r>
    </w:p>
    <w:p>
      <w:pPr>
        <w:spacing w:after="0" w:line="50"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00"/>
          </w:cols>
          <w:pgMar w:left="320" w:top="1440"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2988310</wp:posOffset>
            </wp:positionH>
            <wp:positionV relativeFrom="paragraph">
              <wp:posOffset>172085</wp:posOffset>
            </wp:positionV>
            <wp:extent cx="1165860" cy="8743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65860" cy="874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Veracyte Announces First Quarter 2022 Financial Results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Grew Total Revenue to $67.8 million, an Increase of 85%</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Conference Call and Webcast Today at 4:30 p.m. ET</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color w:val="auto"/>
        </w:rPr>
        <w:t>SOUTH SAN FRANCISCO, Calif., May 3, 2022 --- Veracyte, Inc. (Nasdaq: VCYT) today announced financial results for the first quarter ended March 31, 2022.</w:t>
      </w:r>
    </w:p>
    <w:p>
      <w:pPr>
        <w:spacing w:after="0" w:line="16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 am extremely pleased with our team’s strong results in the first quarter,” said Marc Stapley, Veracyte’s chief executive officer. “Last year we assembled the critical elements needed to drive near and long-term growth, including our acquisitions of Decipher Biosciences and HalioDx, complementing our prior acquisition of the nCounter diagnostic platform. We opened this year with the organization re-aligned to fully execute our strategic plan initiatives. With our innovative lab-based business and international reach, enabled by the automated nCounter platform, we are positioned to achieve our vision of improving outcomes for patients all over the world.”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Highlights:</w:t>
      </w:r>
    </w:p>
    <w:p>
      <w:pPr>
        <w:spacing w:after="0" w:line="104"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Increased first quarter total revenue by 85% to $67.8 million, compared to the first quarter of 2021;</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Grew test volumes to 23,245, an increase of 61% compared to the first quarter of 2021;</w:t>
      </w:r>
    </w:p>
    <w:p>
      <w:pPr>
        <w:spacing w:after="0" w:line="117" w:lineRule="exact"/>
        <w:rPr>
          <w:rFonts w:ascii="Arial" w:cs="Arial" w:eastAsia="Arial" w:hAnsi="Arial"/>
          <w:sz w:val="18"/>
          <w:szCs w:val="18"/>
          <w:color w:val="auto"/>
        </w:rPr>
      </w:pPr>
    </w:p>
    <w:p>
      <w:pPr>
        <w:ind w:left="660" w:right="360" w:hanging="328"/>
        <w:spacing w:after="0" w:line="268"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Announced that new, expanded data will be presented at the upcoming American Thoracic Society (ATS) 2022 International Conference on the Percepta Nasal Swab test’s performance in current and former smokers with lung nodules, regardless of their smoking history burden;</w:t>
      </w:r>
    </w:p>
    <w:p>
      <w:pPr>
        <w:spacing w:after="0" w:line="62" w:lineRule="exact"/>
        <w:rPr>
          <w:rFonts w:ascii="Arial" w:cs="Arial" w:eastAsia="Arial" w:hAnsi="Arial"/>
          <w:sz w:val="18"/>
          <w:szCs w:val="18"/>
          <w:color w:val="auto"/>
        </w:rPr>
      </w:pPr>
    </w:p>
    <w:p>
      <w:pPr>
        <w:ind w:left="660" w:right="40" w:hanging="328"/>
        <w:spacing w:after="0" w:line="28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Announced that three abstracts will be presented at the upcoming American Urological Association conference highlighting new data on the genomic underpinnings of prostate and bladder cancers, derived from analyses of the Decipher GRID database;</w:t>
      </w:r>
    </w:p>
    <w:p>
      <w:pPr>
        <w:spacing w:after="0" w:line="44" w:lineRule="exact"/>
        <w:rPr>
          <w:rFonts w:ascii="Arial" w:cs="Arial" w:eastAsia="Arial" w:hAnsi="Arial"/>
          <w:sz w:val="18"/>
          <w:szCs w:val="18"/>
          <w:color w:val="auto"/>
        </w:rPr>
      </w:pPr>
    </w:p>
    <w:p>
      <w:pPr>
        <w:ind w:left="660" w:right="220" w:hanging="328"/>
        <w:spacing w:after="0" w:line="268"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Introduced the Veracyte Biopharma Atlas, a unique pan-cancer database of comprehensive biomarkers linked to clinical outcome data leveraging Veracyte’s unique multi-omic and immuno-oncology capabilities, at the American Association for Cancer Research annual meeting in April;</w:t>
      </w:r>
    </w:p>
    <w:p>
      <w:pPr>
        <w:spacing w:after="0" w:line="62" w:lineRule="exact"/>
        <w:rPr>
          <w:rFonts w:ascii="Arial" w:cs="Arial" w:eastAsia="Arial" w:hAnsi="Arial"/>
          <w:sz w:val="18"/>
          <w:szCs w:val="18"/>
          <w:color w:val="auto"/>
        </w:rPr>
      </w:pPr>
    </w:p>
    <w:p>
      <w:pPr>
        <w:jc w:val="both"/>
        <w:ind w:left="660" w:right="540" w:hanging="328"/>
        <w:spacing w:after="0" w:line="268"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Announced that an updated clinical practice guideline, as well as a review article and separate commentary, were published in journals of the American Thoracic Society and highlight the role of the Envisia Genomic Classifier in the diagnosis of idiopathic pulmonary fibrosis (IPF);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Ended the first quarter of 2022 with cash and cash equivalents of $163.6 million.</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2022 Financial Results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Total revenue for the first quarter of 2022 was $67.8 million, compared to $36.7 million in the first quarter of 2021. Testing revenue was $56.0</w:t>
      </w:r>
    </w:p>
    <w:p>
      <w:pPr>
        <w:spacing w:after="0" w:line="14" w:lineRule="exact"/>
        <w:rPr>
          <w:sz w:val="20"/>
          <w:szCs w:val="20"/>
          <w:color w:val="auto"/>
        </w:rPr>
      </w:pPr>
    </w:p>
    <w:p>
      <w:pPr>
        <w:ind w:right="260"/>
        <w:spacing w:after="0" w:line="226" w:lineRule="auto"/>
        <w:rPr>
          <w:sz w:val="20"/>
          <w:szCs w:val="20"/>
          <w:color w:val="auto"/>
        </w:rPr>
      </w:pPr>
      <w:r>
        <w:rPr>
          <w:rFonts w:ascii="Arial" w:cs="Arial" w:eastAsia="Arial" w:hAnsi="Arial"/>
          <w:sz w:val="18"/>
          <w:szCs w:val="18"/>
          <w:color w:val="auto"/>
        </w:rPr>
        <w:t>million, an increase of 69% compared to $33.1 million in the first quarter of 2021 driven by the strong performance of our Decipher urology portfolio. Product revenue was $3.0 million, a decrease of 3% compared to $3.1 million in the first quarter of 2021 as volume growth was</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offset by an approximately 5% currency headwind due to a decline in exchange rates. Biopharmaceutical and other revenue was $8.8 million, an increase of $8.2 million compared to $0.6 million in the first quarter of 2021, driven primarily by the contribution of the HalioDx acquisition.</w:t>
      </w:r>
    </w:p>
    <w:p>
      <w:pPr>
        <w:sectPr>
          <w:pgSz w:w="11900" w:h="16838" w:orient="portrait"/>
          <w:cols w:equalWidth="0" w:num="1">
            <w:col w:w="11240"/>
          </w:cols>
          <w:pgMar w:left="320" w:top="890" w:right="339" w:bottom="1440" w:gutter="0" w:footer="0" w:header="0"/>
        </w:sectPr>
      </w:pPr>
    </w:p>
    <w:bookmarkStart w:id="4" w:name="page5"/>
    <w:bookmarkEnd w:id="4"/>
    <w:p>
      <w:pPr>
        <w:ind w:right="260"/>
        <w:spacing w:after="0" w:line="253" w:lineRule="auto"/>
        <w:rPr>
          <w:sz w:val="20"/>
          <w:szCs w:val="20"/>
          <w:color w:val="auto"/>
        </w:rPr>
      </w:pPr>
      <w:r>
        <w:rPr>
          <w:rFonts w:ascii="Arial" w:cs="Arial" w:eastAsia="Arial" w:hAnsi="Arial"/>
          <w:sz w:val="18"/>
          <w:szCs w:val="18"/>
          <w:color w:val="auto"/>
        </w:rPr>
        <w:t>Total gross margin for the first quarter of 2022, including the amortization of acquired intangible assets, was 58%, compared to 62% in the first quarter of 2021. Non-GAAP gross margin, excluding the amortization of acquired intangible assets and other acquisition related expenses was 65%, compared to 66% in the first quarter of 2021.</w:t>
      </w:r>
    </w:p>
    <w:p>
      <w:pPr>
        <w:spacing w:after="0" w:line="250"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Operating expenses, excluding cost of revenue, were $54.4 million, a decrease of 20% compared to the first quarter of 2021. Non-GAAP operating expenses, excluding the cost of revenue, amortization of acquired intangible assets and other acquisition related expenses, were $49.1 million compared to $31.9 million in the first quarter of 2021.</w:t>
      </w:r>
    </w:p>
    <w:p>
      <w:pPr>
        <w:spacing w:after="0" w:line="250"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First quarter 2022 net loss was $14.5 million, an improvement of 65% compared to the first quarter of 2021. Basic and diluted net loss per common share was $0.20, an improvement of 70% compared to the first quarter of 2021. Net cash used by operating activities in the first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quarter of 2022 was $8.9 million, an improvement of $31.7 million compared to the first quarter of 2021.</w:t>
      </w:r>
    </w:p>
    <w:p>
      <w:pPr>
        <w:spacing w:after="0" w:line="221"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A reconciliation of GAAP to non-GAAP financial measures has been provided in the tables included in this press release. An explanation of these measures is also included below under the heading "Note Regarding Use of Non-GAAP Financial Measures."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Financial Outlook</w:t>
      </w:r>
    </w:p>
    <w:p>
      <w:pPr>
        <w:spacing w:after="0" w:line="14" w:lineRule="exact"/>
        <w:rPr>
          <w:sz w:val="20"/>
          <w:szCs w:val="20"/>
          <w:color w:val="auto"/>
        </w:rPr>
      </w:pPr>
    </w:p>
    <w:p>
      <w:pPr>
        <w:spacing w:after="0" w:line="266" w:lineRule="auto"/>
        <w:rPr>
          <w:sz w:val="20"/>
          <w:szCs w:val="20"/>
          <w:color w:val="auto"/>
        </w:rPr>
      </w:pPr>
      <w:r>
        <w:rPr>
          <w:rFonts w:ascii="Arial" w:cs="Arial" w:eastAsia="Arial" w:hAnsi="Arial"/>
          <w:sz w:val="18"/>
          <w:szCs w:val="18"/>
          <w:color w:val="222222"/>
        </w:rPr>
        <w:t>The company is currently projecting full year 2022 total revenue of $265 million to $275 million, representing year-over-year growth of 21% to 25% compared to the prior year. This compares to our prior 2022 total revenue guidance of $260 million to $275 million.</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 Details</w:t>
      </w:r>
    </w:p>
    <w:p>
      <w:pPr>
        <w:spacing w:after="0" w:line="1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 xml:space="preserve">Veracyte will host a conference call and webcast today at 4:30 p.m. Eastern Time to discuss the company's financial results and provide a general business update. The conference call will be webcast live from the company’s website and will be available via the following link: </w:t>
      </w:r>
      <w:r>
        <w:rPr>
          <w:rFonts w:ascii="Arial" w:cs="Arial" w:eastAsia="Arial" w:hAnsi="Arial"/>
          <w:sz w:val="18"/>
          <w:szCs w:val="18"/>
          <w:color w:val="0000FF"/>
        </w:rPr>
        <w:t>https://edge.media-server.com/mmc/p/iy7oapub</w:t>
      </w:r>
      <w:r>
        <w:rPr>
          <w:rFonts w:ascii="Arial" w:cs="Arial" w:eastAsia="Arial" w:hAnsi="Arial"/>
          <w:sz w:val="18"/>
          <w:szCs w:val="18"/>
          <w:color w:val="000000"/>
        </w:rPr>
        <w:t>. The webcast should be accessed 10 minutes prior to the conference call start time. A replay</w:t>
      </w:r>
      <w:r>
        <w:rPr>
          <w:rFonts w:ascii="Arial" w:cs="Arial" w:eastAsia="Arial" w:hAnsi="Arial"/>
          <w:sz w:val="18"/>
          <w:szCs w:val="18"/>
          <w:color w:val="0000FF"/>
        </w:rPr>
        <w:t xml:space="preserve"> </w:t>
      </w:r>
      <w:r>
        <w:rPr>
          <w:rFonts w:ascii="Arial" w:cs="Arial" w:eastAsia="Arial" w:hAnsi="Arial"/>
          <w:sz w:val="18"/>
          <w:szCs w:val="18"/>
          <w:color w:val="000000"/>
        </w:rPr>
        <w:t xml:space="preserve">of the webcast will be available for one year following the conclusion of the live broadcast and will be accessible on the company’s website at </w:t>
      </w:r>
      <w:r>
        <w:rPr>
          <w:rFonts w:ascii="Arial" w:cs="Arial" w:eastAsia="Arial" w:hAnsi="Arial"/>
          <w:sz w:val="18"/>
          <w:szCs w:val="18"/>
          <w:color w:val="0000FF"/>
        </w:rPr>
        <w:t>https://investor.veracyte.com/events-presentations</w:t>
      </w:r>
      <w:r>
        <w:rPr>
          <w:rFonts w:ascii="Arial" w:cs="Arial" w:eastAsia="Arial" w:hAnsi="Arial"/>
          <w:sz w:val="18"/>
          <w:szCs w:val="18"/>
          <w:color w:val="000000"/>
        </w:rPr>
        <w: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conference call can be accessed as follows:</w:t>
      </w:r>
    </w:p>
    <w:p>
      <w:pPr>
        <w:spacing w:after="0" w:line="374" w:lineRule="exact"/>
        <w:rPr>
          <w:sz w:val="20"/>
          <w:szCs w:val="20"/>
          <w:color w:val="auto"/>
        </w:rPr>
      </w:pPr>
    </w:p>
    <w:tbl>
      <w:tblPr>
        <w:tblLayout w:type="fixed"/>
        <w:tblInd w:w="1580" w:type="dxa"/>
        <w:tblCellMar>
          <w:top w:w="0" w:type="dxa"/>
          <w:left w:w="0" w:type="dxa"/>
          <w:bottom w:w="0" w:type="dxa"/>
          <w:right w:w="0" w:type="dxa"/>
        </w:tblCellMar>
      </w:tblP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U.S./Canada participant dial-in number (toll-free):</w:t>
            </w:r>
          </w:p>
        </w:tc>
        <w:tc>
          <w:tcPr>
            <w:tcW w:w="2240" w:type="dxa"/>
            <w:vAlign w:val="bottom"/>
          </w:tcPr>
          <w:p>
            <w:pPr>
              <w:ind w:left="1020"/>
              <w:spacing w:after="0"/>
              <w:rPr>
                <w:sz w:val="20"/>
                <w:szCs w:val="20"/>
                <w:color w:val="auto"/>
              </w:rPr>
            </w:pPr>
            <w:r>
              <w:rPr>
                <w:rFonts w:ascii="Arial" w:cs="Arial" w:eastAsia="Arial" w:hAnsi="Arial"/>
                <w:sz w:val="18"/>
                <w:szCs w:val="18"/>
                <w:color w:val="auto"/>
                <w:w w:val="97"/>
              </w:rPr>
              <w:t>(855) 541-0980</w:t>
            </w:r>
          </w:p>
        </w:tc>
      </w:tr>
      <w:tr>
        <w:trPr>
          <w:trHeight w:val="229"/>
        </w:trPr>
        <w:tc>
          <w:tcPr>
            <w:tcW w:w="4920" w:type="dxa"/>
            <w:vAlign w:val="bottom"/>
          </w:tcPr>
          <w:p>
            <w:pPr>
              <w:spacing w:after="0"/>
              <w:rPr>
                <w:sz w:val="20"/>
                <w:szCs w:val="20"/>
                <w:color w:val="auto"/>
              </w:rPr>
            </w:pPr>
            <w:r>
              <w:rPr>
                <w:rFonts w:ascii="Arial" w:cs="Arial" w:eastAsia="Arial" w:hAnsi="Arial"/>
                <w:sz w:val="18"/>
                <w:szCs w:val="18"/>
                <w:color w:val="auto"/>
              </w:rPr>
              <w:t>International participant dial-in number:</w:t>
            </w:r>
          </w:p>
        </w:tc>
        <w:tc>
          <w:tcPr>
            <w:tcW w:w="2240" w:type="dxa"/>
            <w:vAlign w:val="bottom"/>
          </w:tcPr>
          <w:p>
            <w:pPr>
              <w:ind w:left="1020"/>
              <w:spacing w:after="0"/>
              <w:rPr>
                <w:sz w:val="20"/>
                <w:szCs w:val="20"/>
                <w:color w:val="auto"/>
              </w:rPr>
            </w:pPr>
            <w:r>
              <w:rPr>
                <w:rFonts w:ascii="Arial" w:cs="Arial" w:eastAsia="Arial" w:hAnsi="Arial"/>
                <w:sz w:val="18"/>
                <w:szCs w:val="18"/>
                <w:color w:val="auto"/>
                <w:w w:val="97"/>
              </w:rPr>
              <w:t>(970) 315-0440</w:t>
            </w:r>
          </w:p>
        </w:tc>
      </w:tr>
      <w:tr>
        <w:trPr>
          <w:trHeight w:val="239"/>
        </w:trPr>
        <w:tc>
          <w:tcPr>
            <w:tcW w:w="4920" w:type="dxa"/>
            <w:vAlign w:val="bottom"/>
          </w:tcPr>
          <w:p>
            <w:pPr>
              <w:spacing w:after="0"/>
              <w:rPr>
                <w:sz w:val="20"/>
                <w:szCs w:val="20"/>
                <w:color w:val="auto"/>
              </w:rPr>
            </w:pPr>
            <w:r>
              <w:rPr>
                <w:rFonts w:ascii="Arial" w:cs="Arial" w:eastAsia="Arial" w:hAnsi="Arial"/>
                <w:sz w:val="18"/>
                <w:szCs w:val="18"/>
                <w:color w:val="auto"/>
              </w:rPr>
              <w:t>Conference I.D.:</w:t>
            </w:r>
          </w:p>
        </w:tc>
        <w:tc>
          <w:tcPr>
            <w:tcW w:w="2240" w:type="dxa"/>
            <w:vAlign w:val="bottom"/>
          </w:tcPr>
          <w:p>
            <w:pPr>
              <w:ind w:left="1020"/>
              <w:spacing w:after="0"/>
              <w:rPr>
                <w:sz w:val="20"/>
                <w:szCs w:val="20"/>
                <w:color w:val="auto"/>
              </w:rPr>
            </w:pPr>
            <w:r>
              <w:rPr>
                <w:rFonts w:ascii="Arial" w:cs="Arial" w:eastAsia="Arial" w:hAnsi="Arial"/>
                <w:sz w:val="18"/>
                <w:szCs w:val="18"/>
                <w:color w:val="auto"/>
              </w:rPr>
              <w:t>3848138</w:t>
            </w: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Veracyte</w:t>
      </w:r>
    </w:p>
    <w:p>
      <w:pPr>
        <w:spacing w:after="0" w:line="27"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222222"/>
        </w:rPr>
        <w:t>Veracyte (Nasdaq: VCYT) is a global diagnostics company that improves patient care by answering important clinical questions to inform diagnosis and treatment decisions. Our growing menu of advanced diagnostic tests help patients avoid risky, costly procedures and interventions, and reduce time to appropriate treatment. Our tests address eight of the ten most prevalent cancers as defined by incidence in the United States. In addition to making our tests available in the United States through our central laboratories, our exclusive license to our best-in-class diagnostics instrument positions us to deliver our tests to patients worldwide through laboratories that can perform them locally. Veracyte is based in South San Francisco, California. For more information, please visit www.veracyte.com and follow the company on Twitter (@veracyte).</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4"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This press release contains forward-looking statements, including, but not limited to, our statements related to our expected total revenue and other financial and operating results for 2022 and our plans, objectives, expectations (financial and otherwise) or intentions with respect to our Prosigna, Afirma, Percepta, Envisia, LymphMark, Decipher Prostate, Percepta Nasal Swab, Percepta Genomic Atlas and Decipher Bladder tests and products, including our biopharma atlas, for use in diagnosing and treating diseases, Medicare coverage, and our commercial organization. Forward-looking statements can be identified by words such as: “appears,” "anticipate," "intend," "plan," "expect," "believe," "should," "may," "will," “positioned,” “designed” and similar references to future periods. Actual results may differ materially from those projected or suggested in any forward-looking statements. These statements involve</w:t>
      </w:r>
    </w:p>
    <w:p>
      <w:pPr>
        <w:sectPr>
          <w:pgSz w:w="11900" w:h="16838" w:orient="portrait"/>
          <w:cols w:equalWidth="0" w:num="1">
            <w:col w:w="11200"/>
          </w:cols>
          <w:pgMar w:left="320" w:top="877" w:right="379" w:bottom="1440" w:gutter="0" w:footer="0" w:header="0"/>
        </w:sectPr>
      </w:pPr>
    </w:p>
    <w:bookmarkStart w:id="5" w:name="page6"/>
    <w:bookmarkEnd w:id="5"/>
    <w:p>
      <w:pPr>
        <w:ind w:right="80"/>
        <w:spacing w:after="0" w:line="238" w:lineRule="auto"/>
        <w:rPr>
          <w:sz w:val="20"/>
          <w:szCs w:val="20"/>
          <w:color w:val="auto"/>
        </w:rPr>
      </w:pPr>
      <w:r>
        <w:rPr>
          <w:rFonts w:ascii="Arial" w:cs="Arial" w:eastAsia="Arial" w:hAnsi="Arial"/>
          <w:sz w:val="18"/>
          <w:szCs w:val="18"/>
          <w:color w:val="auto"/>
        </w:rPr>
        <w:t>risks and uncertainties, which could cause actual results to differ materially from our predictions, and include, but are not limited to our ability to launch, commercialize and receive reimbursement for our products, to successfully integrate the HalioDx and Decipher businesses and execute on our business plans; continue to scale our global operations and enhance our internal control environment; the impact of the COVID-19 pandemic and its variants on our business and general economic conditions; and the performance and utility of our tests in the clinical environment. Additional factors that may impact these forward-looking statements can be found under the caption “Risk Factors” in our Annual Report on Form 10-K filed on February 28, 2022, and our Quarterly Report on Form 10-Q to be filed for the three months ended</w:t>
      </w:r>
    </w:p>
    <w:p>
      <w:pPr>
        <w:spacing w:after="0" w:line="1" w:lineRule="exact"/>
        <w:rPr>
          <w:sz w:val="20"/>
          <w:szCs w:val="20"/>
          <w:color w:val="auto"/>
        </w:rPr>
      </w:pPr>
    </w:p>
    <w:p>
      <w:pPr>
        <w:ind w:right="840"/>
        <w:spacing w:after="0"/>
        <w:rPr>
          <w:sz w:val="20"/>
          <w:szCs w:val="20"/>
          <w:color w:val="auto"/>
        </w:rPr>
      </w:pPr>
      <w:r>
        <w:rPr>
          <w:rFonts w:ascii="Arial" w:cs="Arial" w:eastAsia="Arial" w:hAnsi="Arial"/>
          <w:sz w:val="17"/>
          <w:szCs w:val="17"/>
          <w:color w:val="auto"/>
        </w:rPr>
        <w:t>March 31, 2022. Copies of these documents, when available, may be found in the Investors section of our website at www.investor.veracyte.com. These forward-looking statements speak only as of the date hereof and, except as required by law, we</w:t>
      </w:r>
    </w:p>
    <w:p>
      <w:pPr>
        <w:spacing w:after="0" w:line="1"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specifically disclaim any obligation to update these forward-looking statements or reasons why actual results might differ, whether as a result of new information, future events or otherwise.</w:t>
      </w:r>
    </w:p>
    <w:p>
      <w:pPr>
        <w:spacing w:after="0" w:line="199"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Veracyte, the Veracyte logo, HalioDx, Decipher, Decipher GRID, Afirma, Percepta, Envisia, Prosigna, LymphMark, Immunoscore, TMExplore, Brightplex, Immunosign, “Know by Design” and “More about You” are registered trademarks of Veracyte, Inc. and its subsidiaries in the U.S. and selected countries. nCounter is the registered trademark of NanoString Technologies, Inc. in the U.S. and selected countries and used by Veracyte under license.</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Use of Non-GAAP Financial Measures</w:t>
      </w:r>
    </w:p>
    <w:p>
      <w:pPr>
        <w:spacing w:after="0" w:line="225" w:lineRule="exact"/>
        <w:rPr>
          <w:sz w:val="20"/>
          <w:szCs w:val="20"/>
          <w:color w:val="auto"/>
        </w:rPr>
      </w:pPr>
    </w:p>
    <w:p>
      <w:pPr>
        <w:ind w:right="20"/>
        <w:spacing w:after="0" w:line="210" w:lineRule="exact"/>
        <w:rPr>
          <w:sz w:val="20"/>
          <w:szCs w:val="20"/>
          <w:color w:val="auto"/>
        </w:rPr>
      </w:pPr>
      <w:r>
        <w:rPr>
          <w:rFonts w:ascii="Arial" w:cs="Arial" w:eastAsia="Arial" w:hAnsi="Arial"/>
          <w:sz w:val="18"/>
          <w:szCs w:val="18"/>
          <w:color w:val="auto"/>
        </w:rPr>
        <w:t>In addition to the financial measures prepared in accordance with generally accepted accounting principles (GAAP), this press release and the accompanying tables contain, and reference certain non</w:t>
      </w:r>
      <w:r>
        <w:rPr>
          <w:rFonts w:ascii="MS PGothic" w:cs="MS PGothic" w:eastAsia="MS PGothic" w:hAnsi="MS PGothic"/>
          <w:sz w:val="18"/>
          <w:szCs w:val="18"/>
          <w:color w:val="auto"/>
        </w:rPr>
        <w:t>‐</w:t>
      </w:r>
      <w:r>
        <w:rPr>
          <w:rFonts w:ascii="Arial" w:cs="Arial" w:eastAsia="Arial" w:hAnsi="Arial"/>
          <w:sz w:val="18"/>
          <w:szCs w:val="18"/>
          <w:color w:val="auto"/>
        </w:rPr>
        <w:t>GAAP results including non-GAAP gross margin, non-GAAP operating expenses, and non-GAAP loss from operations. These measures are not meant to be considered superior to or a substitute for financial measures calculated in accordance with GAAP, and investors are cautioned that there are material limitations associated with the use of non-GAAP financial measures as an analytical tool.</w:t>
      </w:r>
    </w:p>
    <w:p>
      <w:pPr>
        <w:spacing w:after="0" w:line="208" w:lineRule="exact"/>
        <w:rPr>
          <w:sz w:val="20"/>
          <w:szCs w:val="20"/>
          <w:color w:val="auto"/>
        </w:rPr>
      </w:pPr>
    </w:p>
    <w:p>
      <w:pPr>
        <w:ind w:right="240"/>
        <w:spacing w:after="0" w:line="244" w:lineRule="auto"/>
        <w:rPr>
          <w:sz w:val="20"/>
          <w:szCs w:val="20"/>
          <w:color w:val="auto"/>
        </w:rPr>
      </w:pPr>
      <w:r>
        <w:rPr>
          <w:rFonts w:ascii="Arial" w:cs="Arial" w:eastAsia="Arial" w:hAnsi="Arial"/>
          <w:sz w:val="18"/>
          <w:szCs w:val="18"/>
          <w:color w:val="auto"/>
        </w:rPr>
        <w:t>We use non-GAAP measures to internally evaluate and analyze financial results. We believe these non-GAAP financial measures provide investors with useful supplemental information about the financial performance of our business, enable comparison of financial results between periods where certain items may vary independent of business performance, and enable comparison of our financial results with other public companies, many of which present similar non-GAAP financial measures. However, the non-GAAP measures we present may be different from those used by other companies.</w:t>
      </w:r>
    </w:p>
    <w:p>
      <w:pPr>
        <w:spacing w:after="0" w:line="190" w:lineRule="exact"/>
        <w:rPr>
          <w:sz w:val="20"/>
          <w:szCs w:val="20"/>
          <w:color w:val="auto"/>
        </w:rPr>
      </w:pPr>
    </w:p>
    <w:p>
      <w:pPr>
        <w:ind w:right="20"/>
        <w:spacing w:after="0" w:line="208" w:lineRule="exact"/>
        <w:rPr>
          <w:sz w:val="20"/>
          <w:szCs w:val="20"/>
          <w:color w:val="auto"/>
        </w:rPr>
      </w:pPr>
      <w:r>
        <w:rPr>
          <w:rFonts w:ascii="Arial" w:cs="Arial" w:eastAsia="Arial" w:hAnsi="Arial"/>
          <w:sz w:val="18"/>
          <w:szCs w:val="18"/>
          <w:color w:val="auto"/>
        </w:rPr>
        <w:t>We exclude amortization of acquired intangible assets, acquisition-related expenses relating to our acquisitions of Decipher Biosciences and HalioDx from certain of our non-GAAP measures. Management has excluded the effects of these items in non-GAAP measures to help investors gain a better understanding of the core operating results and future prospects of the company, consistent with how management measures and forecasts the company's performance, especially when comparing such results to previous periods or forecasts. The company encourages investors to carefully consider its results under GAAP, as well as its supplemental non</w:t>
      </w:r>
      <w:r>
        <w:rPr>
          <w:rFonts w:ascii="MS PGothic" w:cs="MS PGothic" w:eastAsia="MS PGothic" w:hAnsi="MS PGothic"/>
          <w:sz w:val="18"/>
          <w:szCs w:val="18"/>
          <w:color w:val="auto"/>
        </w:rPr>
        <w:t>‐</w:t>
      </w:r>
      <w:r>
        <w:rPr>
          <w:rFonts w:ascii="Arial" w:cs="Arial" w:eastAsia="Arial" w:hAnsi="Arial"/>
          <w:sz w:val="18"/>
          <w:szCs w:val="18"/>
          <w:color w:val="auto"/>
        </w:rPr>
        <w:t>GAAP information and the reconciliation between these presentations, to more fully understand its business.</w:t>
      </w:r>
    </w:p>
    <w:p>
      <w:pPr>
        <w:spacing w:after="0" w:line="183"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Reconciliations between our GAAP results and non</w:t>
      </w:r>
      <w:r>
        <w:rPr>
          <w:rFonts w:ascii="MS PGothic" w:cs="MS PGothic" w:eastAsia="MS PGothic" w:hAnsi="MS PGothic"/>
          <w:sz w:val="18"/>
          <w:szCs w:val="18"/>
          <w:color w:val="auto"/>
        </w:rPr>
        <w:t>‐</w:t>
      </w:r>
      <w:r>
        <w:rPr>
          <w:rFonts w:ascii="Arial" w:cs="Arial" w:eastAsia="Arial" w:hAnsi="Arial"/>
          <w:sz w:val="18"/>
          <w:szCs w:val="18"/>
          <w:color w:val="auto"/>
        </w:rPr>
        <w:t>GAAP financial measures are presented in the tables of this release.</w:t>
      </w:r>
    </w:p>
    <w:p>
      <w:pPr>
        <w:sectPr>
          <w:pgSz w:w="11900" w:h="16838" w:orient="portrait"/>
          <w:cols w:equalWidth="0" w:num="1">
            <w:col w:w="11240"/>
          </w:cols>
          <w:pgMar w:left="320" w:top="877" w:right="339" w:bottom="1440" w:gutter="0" w:footer="0" w:header="0"/>
        </w:sectPr>
      </w:pPr>
    </w:p>
    <w:bookmarkStart w:id="6" w:name="page7"/>
    <w:bookmarkEnd w:id="6"/>
    <w:p>
      <w:pPr>
        <w:spacing w:after="0" w:line="72" w:lineRule="exact"/>
        <w:rPr>
          <w:sz w:val="20"/>
          <w:szCs w:val="20"/>
          <w:color w:val="auto"/>
        </w:rPr>
      </w:pPr>
    </w:p>
    <w:p>
      <w:pPr>
        <w:jc w:val="center"/>
        <w:ind w:right="-291"/>
        <w:spacing w:after="0"/>
        <w:rPr>
          <w:sz w:val="20"/>
          <w:szCs w:val="20"/>
          <w:color w:val="auto"/>
        </w:rPr>
      </w:pPr>
      <w:r>
        <w:rPr>
          <w:rFonts w:ascii="Arial" w:cs="Arial" w:eastAsia="Arial" w:hAnsi="Arial"/>
          <w:sz w:val="18"/>
          <w:szCs w:val="18"/>
          <w:color w:val="auto"/>
        </w:rPr>
        <w:t>VERACYTE, INC.</w:t>
      </w:r>
    </w:p>
    <w:p>
      <w:pPr>
        <w:spacing w:after="0" w:line="32" w:lineRule="exact"/>
        <w:rPr>
          <w:sz w:val="20"/>
          <w:szCs w:val="20"/>
          <w:color w:val="auto"/>
        </w:rPr>
      </w:pPr>
    </w:p>
    <w:p>
      <w:pPr>
        <w:jc w:val="center"/>
        <w:ind w:right="-291"/>
        <w:spacing w:after="0"/>
        <w:rPr>
          <w:sz w:val="20"/>
          <w:szCs w:val="20"/>
          <w:color w:val="auto"/>
        </w:rPr>
      </w:pPr>
      <w:r>
        <w:rPr>
          <w:rFonts w:ascii="Arial" w:cs="Arial" w:eastAsia="Arial" w:hAnsi="Arial"/>
          <w:sz w:val="18"/>
          <w:szCs w:val="18"/>
          <w:color w:val="auto"/>
        </w:rPr>
        <w:t>CONDENSED CONSOLIDATED STATEMENTS OF OPERATIONS</w:t>
      </w:r>
    </w:p>
    <w:p>
      <w:pPr>
        <w:spacing w:after="0" w:line="23" w:lineRule="exact"/>
        <w:rPr>
          <w:sz w:val="20"/>
          <w:szCs w:val="20"/>
          <w:color w:val="auto"/>
        </w:rPr>
      </w:pPr>
    </w:p>
    <w:p>
      <w:pPr>
        <w:jc w:val="center"/>
        <w:ind w:right="-291"/>
        <w:spacing w:after="0"/>
        <w:rPr>
          <w:sz w:val="20"/>
          <w:szCs w:val="20"/>
          <w:color w:val="auto"/>
        </w:rPr>
      </w:pPr>
      <w:r>
        <w:rPr>
          <w:rFonts w:ascii="Arial" w:cs="Arial" w:eastAsia="Arial" w:hAnsi="Arial"/>
          <w:sz w:val="18"/>
          <w:szCs w:val="18"/>
          <w:color w:val="auto"/>
        </w:rPr>
        <w:t>(Unaudited)</w:t>
      </w:r>
    </w:p>
    <w:p>
      <w:pPr>
        <w:spacing w:after="0" w:line="23" w:lineRule="exact"/>
        <w:rPr>
          <w:sz w:val="20"/>
          <w:szCs w:val="20"/>
          <w:color w:val="auto"/>
        </w:rPr>
      </w:pPr>
    </w:p>
    <w:p>
      <w:pPr>
        <w:jc w:val="center"/>
        <w:ind w:right="-291"/>
        <w:spacing w:after="0"/>
        <w:rPr>
          <w:sz w:val="20"/>
          <w:szCs w:val="20"/>
          <w:color w:val="auto"/>
        </w:rPr>
      </w:pPr>
      <w:r>
        <w:rPr>
          <w:rFonts w:ascii="Arial" w:cs="Arial" w:eastAsia="Arial" w:hAnsi="Arial"/>
          <w:sz w:val="18"/>
          <w:szCs w:val="18"/>
          <w:color w:val="auto"/>
        </w:rPr>
        <w:t>(In thousands of dollars, except share and per share amounts)</w:t>
      </w:r>
    </w:p>
    <w:p>
      <w:pPr>
        <w:spacing w:after="0" w:line="270" w:lineRule="exact"/>
        <w:rPr>
          <w:sz w:val="20"/>
          <w:szCs w:val="20"/>
          <w:color w:val="auto"/>
        </w:rPr>
      </w:pPr>
    </w:p>
    <w:tbl>
      <w:tblPr>
        <w:tblLayout w:type="fixed"/>
        <w:tblInd w:w="1592" w:type="dxa"/>
        <w:tblCellMar>
          <w:top w:w="0" w:type="dxa"/>
          <w:left w:w="0" w:type="dxa"/>
          <w:bottom w:w="0" w:type="dxa"/>
          <w:right w:w="0" w:type="dxa"/>
        </w:tblCellMar>
      </w:tblPr>
      <w:tr>
        <w:trPr>
          <w:trHeight w:val="242"/>
        </w:trPr>
        <w:tc>
          <w:tcPr>
            <w:tcW w:w="5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72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8"/>
                <w:szCs w:val="18"/>
                <w:color w:val="auto"/>
              </w:rPr>
              <w:t>Three Months Ended March 31,</w:t>
            </w:r>
          </w:p>
        </w:tc>
        <w:tc>
          <w:tcPr>
            <w:tcW w:w="0" w:type="dxa"/>
            <w:vAlign w:val="bottom"/>
          </w:tcPr>
          <w:p>
            <w:pPr>
              <w:spacing w:after="0"/>
              <w:rPr>
                <w:sz w:val="1"/>
                <w:szCs w:val="1"/>
                <w:color w:val="auto"/>
              </w:rPr>
            </w:pPr>
          </w:p>
        </w:tc>
      </w:tr>
      <w:tr>
        <w:trPr>
          <w:trHeight w:val="237"/>
        </w:trPr>
        <w:tc>
          <w:tcPr>
            <w:tcW w:w="5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11"/>
        </w:trPr>
        <w:tc>
          <w:tcPr>
            <w:tcW w:w="5240" w:type="dxa"/>
            <w:vAlign w:val="bottom"/>
          </w:tcPr>
          <w:p>
            <w:pPr>
              <w:spacing w:after="0"/>
              <w:rPr>
                <w:sz w:val="20"/>
                <w:szCs w:val="20"/>
                <w:color w:val="auto"/>
              </w:rPr>
            </w:pPr>
            <w:r>
              <w:rPr>
                <w:rFonts w:ascii="Arial" w:cs="Arial" w:eastAsia="Arial" w:hAnsi="Arial"/>
                <w:sz w:val="18"/>
                <w:szCs w:val="18"/>
                <w:color w:val="auto"/>
              </w:rPr>
              <w:t>Revenues:</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100"/>
              <w:spacing w:after="0"/>
              <w:rPr>
                <w:sz w:val="20"/>
                <w:szCs w:val="20"/>
                <w:color w:val="auto"/>
              </w:rPr>
            </w:pPr>
            <w:r>
              <w:rPr>
                <w:rFonts w:ascii="Arial" w:cs="Arial" w:eastAsia="Arial" w:hAnsi="Arial"/>
                <w:sz w:val="18"/>
                <w:szCs w:val="18"/>
                <w:color w:val="auto"/>
              </w:rPr>
              <w:t>Testing 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55,980</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33,078</w:t>
            </w:r>
          </w:p>
        </w:tc>
        <w:tc>
          <w:tcPr>
            <w:tcW w:w="0" w:type="dxa"/>
            <w:vAlign w:val="bottom"/>
          </w:tcPr>
          <w:p>
            <w:pPr>
              <w:spacing w:after="0"/>
              <w:rPr>
                <w:sz w:val="1"/>
                <w:szCs w:val="1"/>
                <w:color w:val="auto"/>
              </w:rPr>
            </w:pPr>
          </w:p>
        </w:tc>
      </w:tr>
      <w:tr>
        <w:trPr>
          <w:trHeight w:val="230"/>
        </w:trPr>
        <w:tc>
          <w:tcPr>
            <w:tcW w:w="5240" w:type="dxa"/>
            <w:vAlign w:val="bottom"/>
          </w:tcPr>
          <w:p>
            <w:pPr>
              <w:ind w:left="100"/>
              <w:spacing w:after="0"/>
              <w:rPr>
                <w:sz w:val="20"/>
                <w:szCs w:val="20"/>
                <w:color w:val="auto"/>
              </w:rPr>
            </w:pPr>
            <w:r>
              <w:rPr>
                <w:rFonts w:ascii="Arial" w:cs="Arial" w:eastAsia="Arial" w:hAnsi="Arial"/>
                <w:sz w:val="18"/>
                <w:szCs w:val="18"/>
                <w:color w:val="auto"/>
              </w:rPr>
              <w:t>Product revenue</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2,979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3,059</w:t>
            </w:r>
          </w:p>
        </w:tc>
        <w:tc>
          <w:tcPr>
            <w:tcW w:w="0" w:type="dxa"/>
            <w:vAlign w:val="bottom"/>
          </w:tcPr>
          <w:p>
            <w:pPr>
              <w:spacing w:after="0"/>
              <w:rPr>
                <w:sz w:val="1"/>
                <w:szCs w:val="1"/>
                <w:color w:val="auto"/>
              </w:rPr>
            </w:pPr>
          </w:p>
        </w:tc>
      </w:tr>
      <w:tr>
        <w:trPr>
          <w:trHeight w:val="235"/>
        </w:trPr>
        <w:tc>
          <w:tcPr>
            <w:tcW w:w="5240" w:type="dxa"/>
            <w:vAlign w:val="bottom"/>
          </w:tcPr>
          <w:p>
            <w:pPr>
              <w:ind w:left="100"/>
              <w:spacing w:after="0"/>
              <w:rPr>
                <w:sz w:val="20"/>
                <w:szCs w:val="20"/>
                <w:color w:val="auto"/>
              </w:rPr>
            </w:pPr>
            <w:r>
              <w:rPr>
                <w:rFonts w:ascii="Arial" w:cs="Arial" w:eastAsia="Arial" w:hAnsi="Arial"/>
                <w:sz w:val="18"/>
                <w:szCs w:val="18"/>
                <w:color w:val="auto"/>
              </w:rPr>
              <w:t>Biopharmaceutical and other revenue</w:t>
            </w: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8,824</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23"/>
        </w:trPr>
        <w:tc>
          <w:tcPr>
            <w:tcW w:w="5240" w:type="dxa"/>
            <w:vAlign w:val="bottom"/>
          </w:tcPr>
          <w:p>
            <w:pPr>
              <w:ind w:left="220"/>
              <w:spacing w:after="0"/>
              <w:rPr>
                <w:sz w:val="20"/>
                <w:szCs w:val="20"/>
                <w:color w:val="auto"/>
              </w:rPr>
            </w:pPr>
            <w:r>
              <w:rPr>
                <w:rFonts w:ascii="Arial" w:cs="Arial" w:eastAsia="Arial" w:hAnsi="Arial"/>
                <w:sz w:val="18"/>
                <w:szCs w:val="18"/>
                <w:color w:val="auto"/>
              </w:rPr>
              <w:t>Total revenue</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67,783</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36,703</w:t>
            </w:r>
          </w:p>
        </w:tc>
        <w:tc>
          <w:tcPr>
            <w:tcW w:w="0" w:type="dxa"/>
            <w:vAlign w:val="bottom"/>
          </w:tcPr>
          <w:p>
            <w:pPr>
              <w:spacing w:after="0"/>
              <w:rPr>
                <w:sz w:val="1"/>
                <w:szCs w:val="1"/>
                <w:color w:val="auto"/>
              </w:rPr>
            </w:pPr>
          </w:p>
        </w:tc>
      </w:tr>
      <w:tr>
        <w:trPr>
          <w:trHeight w:val="461"/>
        </w:trPr>
        <w:tc>
          <w:tcPr>
            <w:tcW w:w="5240" w:type="dxa"/>
            <w:vAlign w:val="bottom"/>
          </w:tcPr>
          <w:p>
            <w:pPr>
              <w:spacing w:after="0"/>
              <w:rPr>
                <w:sz w:val="20"/>
                <w:szCs w:val="20"/>
                <w:color w:val="auto"/>
              </w:rPr>
            </w:pPr>
            <w:r>
              <w:rPr>
                <w:rFonts w:ascii="Arial" w:cs="Arial" w:eastAsia="Arial" w:hAnsi="Arial"/>
                <w:sz w:val="18"/>
                <w:szCs w:val="18"/>
                <w:color w:val="auto"/>
              </w:rPr>
              <w:t>Operating expenses (1):</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100"/>
              <w:spacing w:after="0"/>
              <w:rPr>
                <w:sz w:val="20"/>
                <w:szCs w:val="20"/>
                <w:color w:val="auto"/>
              </w:rPr>
            </w:pPr>
            <w:r>
              <w:rPr>
                <w:rFonts w:ascii="Arial" w:cs="Arial" w:eastAsia="Arial" w:hAnsi="Arial"/>
                <w:sz w:val="18"/>
                <w:szCs w:val="18"/>
                <w:color w:val="auto"/>
              </w:rPr>
              <w:t>Cost of testing revenue</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17,523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10,832</w:t>
            </w:r>
          </w:p>
        </w:tc>
        <w:tc>
          <w:tcPr>
            <w:tcW w:w="0" w:type="dxa"/>
            <w:vAlign w:val="bottom"/>
          </w:tcPr>
          <w:p>
            <w:pPr>
              <w:spacing w:after="0"/>
              <w:rPr>
                <w:sz w:val="1"/>
                <w:szCs w:val="1"/>
                <w:color w:val="auto"/>
              </w:rPr>
            </w:pPr>
          </w:p>
        </w:tc>
      </w:tr>
      <w:tr>
        <w:trPr>
          <w:trHeight w:val="230"/>
        </w:trPr>
        <w:tc>
          <w:tcPr>
            <w:tcW w:w="5240" w:type="dxa"/>
            <w:vAlign w:val="bottom"/>
          </w:tcPr>
          <w:p>
            <w:pPr>
              <w:ind w:left="100"/>
              <w:spacing w:after="0"/>
              <w:rPr>
                <w:sz w:val="20"/>
                <w:szCs w:val="20"/>
                <w:color w:val="auto"/>
              </w:rPr>
            </w:pPr>
            <w:r>
              <w:rPr>
                <w:rFonts w:ascii="Arial" w:cs="Arial" w:eastAsia="Arial" w:hAnsi="Arial"/>
                <w:sz w:val="18"/>
                <w:szCs w:val="18"/>
                <w:color w:val="auto"/>
              </w:rPr>
              <w:t>Cost of product revenue</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1,575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1,490</w:t>
            </w:r>
          </w:p>
        </w:tc>
        <w:tc>
          <w:tcPr>
            <w:tcW w:w="0" w:type="dxa"/>
            <w:vAlign w:val="bottom"/>
          </w:tcPr>
          <w:p>
            <w:pPr>
              <w:spacing w:after="0"/>
              <w:rPr>
                <w:sz w:val="1"/>
                <w:szCs w:val="1"/>
                <w:color w:val="auto"/>
              </w:rPr>
            </w:pPr>
          </w:p>
        </w:tc>
      </w:tr>
      <w:tr>
        <w:trPr>
          <w:trHeight w:val="229"/>
        </w:trPr>
        <w:tc>
          <w:tcPr>
            <w:tcW w:w="5240" w:type="dxa"/>
            <w:vAlign w:val="bottom"/>
          </w:tcPr>
          <w:p>
            <w:pPr>
              <w:ind w:left="100"/>
              <w:spacing w:after="0"/>
              <w:rPr>
                <w:sz w:val="20"/>
                <w:szCs w:val="20"/>
                <w:color w:val="auto"/>
              </w:rPr>
            </w:pPr>
            <w:r>
              <w:rPr>
                <w:rFonts w:ascii="Arial" w:cs="Arial" w:eastAsia="Arial" w:hAnsi="Arial"/>
                <w:sz w:val="18"/>
                <w:szCs w:val="18"/>
                <w:color w:val="auto"/>
              </w:rPr>
              <w:t>Cost of biopharmaceutical and other revenue</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4,615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9"/>
        </w:trPr>
        <w:tc>
          <w:tcPr>
            <w:tcW w:w="5240" w:type="dxa"/>
            <w:vAlign w:val="bottom"/>
          </w:tcPr>
          <w:p>
            <w:pPr>
              <w:ind w:left="10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9,166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5,336</w:t>
            </w:r>
          </w:p>
        </w:tc>
        <w:tc>
          <w:tcPr>
            <w:tcW w:w="0" w:type="dxa"/>
            <w:vAlign w:val="bottom"/>
          </w:tcPr>
          <w:p>
            <w:pPr>
              <w:spacing w:after="0"/>
              <w:rPr>
                <w:sz w:val="1"/>
                <w:szCs w:val="1"/>
                <w:color w:val="auto"/>
              </w:rPr>
            </w:pPr>
          </w:p>
        </w:tc>
      </w:tr>
      <w:tr>
        <w:trPr>
          <w:trHeight w:val="230"/>
        </w:trPr>
        <w:tc>
          <w:tcPr>
            <w:tcW w:w="5240" w:type="dxa"/>
            <w:vAlign w:val="bottom"/>
          </w:tcPr>
          <w:p>
            <w:pPr>
              <w:ind w:left="100"/>
              <w:spacing w:after="0"/>
              <w:rPr>
                <w:sz w:val="20"/>
                <w:szCs w:val="20"/>
                <w:color w:val="auto"/>
              </w:rPr>
            </w:pPr>
            <w:r>
              <w:rPr>
                <w:rFonts w:ascii="Arial" w:cs="Arial" w:eastAsia="Arial" w:hAnsi="Arial"/>
                <w:sz w:val="18"/>
                <w:szCs w:val="18"/>
                <w:color w:val="auto"/>
              </w:rPr>
              <w:t>Selling and marketing</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23,754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16,296</w:t>
            </w:r>
          </w:p>
        </w:tc>
        <w:tc>
          <w:tcPr>
            <w:tcW w:w="0" w:type="dxa"/>
            <w:vAlign w:val="bottom"/>
          </w:tcPr>
          <w:p>
            <w:pPr>
              <w:spacing w:after="0"/>
              <w:rPr>
                <w:sz w:val="1"/>
                <w:szCs w:val="1"/>
                <w:color w:val="auto"/>
              </w:rPr>
            </w:pPr>
          </w:p>
        </w:tc>
      </w:tr>
      <w:tr>
        <w:trPr>
          <w:trHeight w:val="229"/>
        </w:trPr>
        <w:tc>
          <w:tcPr>
            <w:tcW w:w="5240" w:type="dxa"/>
            <w:vAlign w:val="bottom"/>
          </w:tcPr>
          <w:p>
            <w:pPr>
              <w:ind w:left="100"/>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20,912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46,282</w:t>
            </w:r>
          </w:p>
        </w:tc>
        <w:tc>
          <w:tcPr>
            <w:tcW w:w="0" w:type="dxa"/>
            <w:vAlign w:val="bottom"/>
          </w:tcPr>
          <w:p>
            <w:pPr>
              <w:spacing w:after="0"/>
              <w:rPr>
                <w:sz w:val="1"/>
                <w:szCs w:val="1"/>
                <w:color w:val="auto"/>
              </w:rPr>
            </w:pPr>
          </w:p>
        </w:tc>
      </w:tr>
      <w:tr>
        <w:trPr>
          <w:trHeight w:val="235"/>
        </w:trPr>
        <w:tc>
          <w:tcPr>
            <w:tcW w:w="5240" w:type="dxa"/>
            <w:vAlign w:val="bottom"/>
          </w:tcPr>
          <w:p>
            <w:pPr>
              <w:ind w:left="100"/>
              <w:spacing w:after="0"/>
              <w:rPr>
                <w:sz w:val="20"/>
                <w:szCs w:val="20"/>
                <w:color w:val="auto"/>
              </w:rPr>
            </w:pPr>
            <w:r>
              <w:rPr>
                <w:rFonts w:ascii="Arial" w:cs="Arial" w:eastAsia="Arial" w:hAnsi="Arial"/>
                <w:sz w:val="18"/>
                <w:szCs w:val="18"/>
                <w:color w:val="auto"/>
              </w:rPr>
              <w:t>Intangible asset amortization</w:t>
            </w: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5,486</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1,801</w:t>
            </w:r>
          </w:p>
        </w:tc>
        <w:tc>
          <w:tcPr>
            <w:tcW w:w="0" w:type="dxa"/>
            <w:vAlign w:val="bottom"/>
          </w:tcPr>
          <w:p>
            <w:pPr>
              <w:spacing w:after="0"/>
              <w:rPr>
                <w:sz w:val="1"/>
                <w:szCs w:val="1"/>
                <w:color w:val="auto"/>
              </w:rPr>
            </w:pPr>
          </w:p>
        </w:tc>
      </w:tr>
      <w:tr>
        <w:trPr>
          <w:trHeight w:val="223"/>
        </w:trPr>
        <w:tc>
          <w:tcPr>
            <w:tcW w:w="5240" w:type="dxa"/>
            <w:vAlign w:val="bottom"/>
          </w:tcPr>
          <w:p>
            <w:pPr>
              <w:ind w:left="22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83,031</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82,118</w:t>
            </w:r>
          </w:p>
        </w:tc>
        <w:tc>
          <w:tcPr>
            <w:tcW w:w="0" w:type="dxa"/>
            <w:vAlign w:val="bottom"/>
          </w:tcPr>
          <w:p>
            <w:pPr>
              <w:spacing w:after="0"/>
              <w:rPr>
                <w:sz w:val="1"/>
                <w:szCs w:val="1"/>
                <w:color w:val="auto"/>
              </w:rPr>
            </w:pPr>
          </w:p>
        </w:tc>
      </w:tr>
      <w:tr>
        <w:trPr>
          <w:trHeight w:val="218"/>
        </w:trPr>
        <w:tc>
          <w:tcPr>
            <w:tcW w:w="5240" w:type="dxa"/>
            <w:vAlign w:val="bottom"/>
          </w:tcPr>
          <w:p>
            <w:pPr>
              <w:spacing w:after="0"/>
              <w:rPr>
                <w:sz w:val="20"/>
                <w:szCs w:val="20"/>
                <w:color w:val="auto"/>
              </w:rPr>
            </w:pPr>
            <w:r>
              <w:rPr>
                <w:rFonts w:ascii="Arial" w:cs="Arial" w:eastAsia="Arial" w:hAnsi="Arial"/>
                <w:sz w:val="18"/>
                <w:szCs w:val="18"/>
                <w:color w:val="auto"/>
              </w:rPr>
              <w:t>Loss from operations</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(15,248)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(45,415)</w:t>
            </w:r>
          </w:p>
        </w:tc>
        <w:tc>
          <w:tcPr>
            <w:tcW w:w="0" w:type="dxa"/>
            <w:vAlign w:val="bottom"/>
          </w:tcPr>
          <w:p>
            <w:pPr>
              <w:spacing w:after="0"/>
              <w:rPr>
                <w:sz w:val="1"/>
                <w:szCs w:val="1"/>
                <w:color w:val="auto"/>
              </w:rPr>
            </w:pPr>
          </w:p>
        </w:tc>
      </w:tr>
      <w:tr>
        <w:trPr>
          <w:trHeight w:val="235"/>
        </w:trPr>
        <w:tc>
          <w:tcPr>
            <w:tcW w:w="5240" w:type="dxa"/>
            <w:vAlign w:val="bottom"/>
          </w:tcPr>
          <w:p>
            <w:pPr>
              <w:spacing w:after="0"/>
              <w:rPr>
                <w:sz w:val="20"/>
                <w:szCs w:val="20"/>
                <w:color w:val="auto"/>
              </w:rPr>
            </w:pPr>
            <w:r>
              <w:rPr>
                <w:rFonts w:ascii="Arial" w:cs="Arial" w:eastAsia="Arial" w:hAnsi="Arial"/>
                <w:sz w:val="18"/>
                <w:szCs w:val="18"/>
                <w:color w:val="auto"/>
              </w:rPr>
              <w:t>Other income (loss), net</w:t>
            </w: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8"/>
        </w:trPr>
        <w:tc>
          <w:tcPr>
            <w:tcW w:w="524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(14,464)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(45,663)</w:t>
            </w:r>
          </w:p>
        </w:tc>
        <w:tc>
          <w:tcPr>
            <w:tcW w:w="0" w:type="dxa"/>
            <w:vAlign w:val="bottom"/>
          </w:tcPr>
          <w:p>
            <w:pPr>
              <w:spacing w:after="0"/>
              <w:rPr>
                <w:sz w:val="1"/>
                <w:szCs w:val="1"/>
                <w:color w:val="auto"/>
              </w:rPr>
            </w:pPr>
          </w:p>
        </w:tc>
      </w:tr>
      <w:tr>
        <w:trPr>
          <w:trHeight w:val="235"/>
        </w:trPr>
        <w:tc>
          <w:tcPr>
            <w:tcW w:w="5240" w:type="dxa"/>
            <w:vAlign w:val="bottom"/>
          </w:tcPr>
          <w:p>
            <w:pPr>
              <w:spacing w:after="0"/>
              <w:rPr>
                <w:sz w:val="20"/>
                <w:szCs w:val="20"/>
                <w:color w:val="auto"/>
              </w:rPr>
            </w:pPr>
            <w:r>
              <w:rPr>
                <w:rFonts w:ascii="Arial" w:cs="Arial" w:eastAsia="Arial" w:hAnsi="Arial"/>
                <w:sz w:val="18"/>
                <w:szCs w:val="18"/>
                <w:color w:val="auto"/>
              </w:rPr>
              <w:t>Income tax benefit</w:t>
            </w: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(3,795)</w:t>
            </w:r>
          </w:p>
        </w:tc>
        <w:tc>
          <w:tcPr>
            <w:tcW w:w="0" w:type="dxa"/>
            <w:vAlign w:val="bottom"/>
          </w:tcPr>
          <w:p>
            <w:pPr>
              <w:spacing w:after="0"/>
              <w:rPr>
                <w:sz w:val="1"/>
                <w:szCs w:val="1"/>
                <w:color w:val="auto"/>
              </w:rPr>
            </w:pPr>
          </w:p>
        </w:tc>
      </w:tr>
      <w:tr>
        <w:trPr>
          <w:trHeight w:val="223"/>
        </w:trPr>
        <w:tc>
          <w:tcPr>
            <w:tcW w:w="5240" w:type="dxa"/>
            <w:vAlign w:val="bottom"/>
          </w:tcPr>
          <w:p>
            <w:pPr>
              <w:spacing w:after="0"/>
              <w:rPr>
                <w:sz w:val="20"/>
                <w:szCs w:val="20"/>
                <w:color w:val="auto"/>
              </w:rPr>
            </w:pPr>
            <w:r>
              <w:rPr>
                <w:rFonts w:ascii="Arial" w:cs="Arial" w:eastAsia="Arial" w:hAnsi="Arial"/>
                <w:sz w:val="18"/>
                <w:szCs w:val="18"/>
                <w:color w:val="auto"/>
              </w:rPr>
              <w:t>Net loss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(14,461)</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(41,868)</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240" w:type="dxa"/>
            <w:vAlign w:val="bottom"/>
          </w:tcPr>
          <w:p>
            <w:pPr>
              <w:spacing w:after="0"/>
              <w:rPr>
                <w:sz w:val="20"/>
                <w:szCs w:val="20"/>
                <w:color w:val="auto"/>
              </w:rPr>
            </w:pPr>
            <w:r>
              <w:rPr>
                <w:rFonts w:ascii="Arial" w:cs="Arial" w:eastAsia="Arial" w:hAnsi="Arial"/>
                <w:sz w:val="18"/>
                <w:szCs w:val="18"/>
                <w:color w:val="auto"/>
              </w:rPr>
              <w:t>Net loss per common share, basic and diluted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line="182" w:lineRule="exact"/>
              <w:rPr>
                <w:sz w:val="20"/>
                <w:szCs w:val="20"/>
                <w:color w:val="auto"/>
              </w:rPr>
            </w:pPr>
            <w:r>
              <w:rPr>
                <w:rFonts w:ascii="Arial" w:cs="Arial" w:eastAsia="Arial" w:hAnsi="Arial"/>
                <w:sz w:val="18"/>
                <w:szCs w:val="18"/>
                <w:color w:val="auto"/>
              </w:rPr>
              <w:t>Shares used to compute net loss per common share, basic and</w:t>
            </w: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52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71,229,672</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63,331,702</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diluted</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ind w:left="-8" w:firstLine="8"/>
        <w:spacing w:after="0" w:line="287" w:lineRule="auto"/>
        <w:tabs>
          <w:tab w:leader="none" w:pos="192"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 of revenue, research and development, sales and marketing and general and administrative expenses include the following stock-based compensation related expenses:</w:t>
      </w:r>
    </w:p>
    <w:p>
      <w:pPr>
        <w:spacing w:after="0" w:line="220" w:lineRule="exact"/>
        <w:rPr>
          <w:sz w:val="20"/>
          <w:szCs w:val="20"/>
          <w:color w:val="auto"/>
        </w:rPr>
      </w:pPr>
    </w:p>
    <w:tbl>
      <w:tblPr>
        <w:tblLayout w:type="fixed"/>
        <w:tblInd w:w="1532" w:type="dxa"/>
        <w:tblCellMar>
          <w:top w:w="0" w:type="dxa"/>
          <w:left w:w="0" w:type="dxa"/>
          <w:bottom w:w="0" w:type="dxa"/>
          <w:right w:w="0" w:type="dxa"/>
        </w:tblCellMar>
      </w:tblPr>
      <w:tr>
        <w:trPr>
          <w:trHeight w:val="242"/>
        </w:trPr>
        <w:tc>
          <w:tcPr>
            <w:tcW w:w="55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68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color w:val="auto"/>
                <w:w w:val="99"/>
              </w:rPr>
              <w:t>Three Months Ended March 31,</w:t>
            </w:r>
          </w:p>
        </w:tc>
      </w:tr>
      <w:tr>
        <w:trPr>
          <w:trHeight w:val="236"/>
        </w:trPr>
        <w:tc>
          <w:tcPr>
            <w:tcW w:w="55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2021</w:t>
            </w:r>
          </w:p>
        </w:tc>
      </w:tr>
      <w:tr>
        <w:trPr>
          <w:trHeight w:val="224"/>
        </w:trPr>
        <w:tc>
          <w:tcPr>
            <w:tcW w:w="5500" w:type="dxa"/>
            <w:vAlign w:val="bottom"/>
          </w:tcPr>
          <w:p>
            <w:pPr>
              <w:spacing w:after="0"/>
              <w:rPr>
                <w:sz w:val="20"/>
                <w:szCs w:val="20"/>
                <w:color w:val="auto"/>
              </w:rPr>
            </w:pPr>
            <w:r>
              <w:rPr>
                <w:rFonts w:ascii="Arial" w:cs="Arial" w:eastAsia="Arial" w:hAnsi="Arial"/>
                <w:sz w:val="18"/>
                <w:szCs w:val="18"/>
                <w:color w:val="auto"/>
              </w:rPr>
              <w:t>Cost of 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29"/>
        </w:trPr>
        <w:tc>
          <w:tcPr>
            <w:tcW w:w="55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1,656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844</w:t>
            </w: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Selling and marketing</w:t>
            </w:r>
          </w:p>
        </w:tc>
        <w:tc>
          <w:tcPr>
            <w:tcW w:w="12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1,046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1,037</w:t>
            </w:r>
          </w:p>
        </w:tc>
      </w:tr>
      <w:tr>
        <w:trPr>
          <w:trHeight w:val="235"/>
        </w:trPr>
        <w:tc>
          <w:tcPr>
            <w:tcW w:w="55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3,882</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1,843</w:t>
            </w:r>
          </w:p>
        </w:tc>
      </w:tr>
      <w:tr>
        <w:trPr>
          <w:trHeight w:val="223"/>
        </w:trPr>
        <w:tc>
          <w:tcPr>
            <w:tcW w:w="5500" w:type="dxa"/>
            <w:vAlign w:val="bottom"/>
          </w:tcPr>
          <w:p>
            <w:pPr>
              <w:ind w:left="100"/>
              <w:spacing w:after="0"/>
              <w:rPr>
                <w:sz w:val="20"/>
                <w:szCs w:val="20"/>
                <w:color w:val="auto"/>
              </w:rPr>
            </w:pPr>
            <w:r>
              <w:rPr>
                <w:rFonts w:ascii="Arial" w:cs="Arial" w:eastAsia="Arial" w:hAnsi="Arial"/>
                <w:sz w:val="18"/>
                <w:szCs w:val="18"/>
                <w:color w:val="auto"/>
              </w:rPr>
              <w:t>Total stock-based compensation expense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6,855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3,855</w:t>
            </w:r>
          </w:p>
        </w:tc>
      </w:tr>
      <w:tr>
        <w:trPr>
          <w:trHeight w:val="20"/>
        </w:trPr>
        <w:tc>
          <w:tcPr>
            <w:tcW w:w="5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0952"/>
          </w:cols>
          <w:pgMar w:left="328" w:top="1440" w:right="61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color w:val="auto"/>
        </w:rPr>
        <w:t>VERACYTE,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CONDENSED CONSOLIDATED STATEMENT OF COMPREHENSIVE LOSS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pacing w:after="0" w:line="283" w:lineRule="exact"/>
        <w:rPr>
          <w:sz w:val="20"/>
          <w:szCs w:val="20"/>
          <w:color w:val="auto"/>
        </w:rPr>
      </w:pPr>
    </w:p>
    <w:tbl>
      <w:tblPr>
        <w:tblLayout w:type="fixed"/>
        <w:tblInd w:w="380" w:type="dxa"/>
        <w:tblCellMar>
          <w:top w:w="0" w:type="dxa"/>
          <w:left w:w="0" w:type="dxa"/>
          <w:bottom w:w="0" w:type="dxa"/>
          <w:right w:w="0" w:type="dxa"/>
        </w:tblCellMar>
      </w:tblPr>
      <w:tr>
        <w:trPr>
          <w:trHeight w:val="242"/>
        </w:trPr>
        <w:tc>
          <w:tcPr>
            <w:tcW w:w="53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8"/>
                <w:szCs w:val="18"/>
                <w:color w:val="auto"/>
              </w:rPr>
              <w:t>Three Months Ended March 31,</w:t>
            </w:r>
          </w:p>
        </w:tc>
      </w:tr>
      <w:tr>
        <w:trPr>
          <w:trHeight w:val="229"/>
        </w:trPr>
        <w:tc>
          <w:tcPr>
            <w:tcW w:w="5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2021</w:t>
            </w:r>
          </w:p>
        </w:tc>
      </w:tr>
      <w:tr>
        <w:trPr>
          <w:trHeight w:val="218"/>
        </w:trPr>
        <w:tc>
          <w:tcPr>
            <w:tcW w:w="5320" w:type="dxa"/>
            <w:vAlign w:val="bottom"/>
          </w:tcPr>
          <w:p>
            <w:pPr>
              <w:spacing w:after="0"/>
              <w:rPr>
                <w:sz w:val="20"/>
                <w:szCs w:val="20"/>
                <w:color w:val="auto"/>
              </w:rPr>
            </w:pPr>
            <w:r>
              <w:rPr>
                <w:rFonts w:ascii="Arial" w:cs="Arial" w:eastAsia="Arial" w:hAnsi="Arial"/>
                <w:sz w:val="18"/>
                <w:szCs w:val="18"/>
                <w:color w:val="auto"/>
              </w:rPr>
              <w:t>Net loss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(14,461)</w:t>
            </w:r>
          </w:p>
        </w:tc>
        <w:tc>
          <w:tcPr>
            <w:tcW w:w="10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(41,868)</w:t>
            </w:r>
          </w:p>
        </w:tc>
      </w:tr>
      <w:tr>
        <w:trPr>
          <w:trHeight w:val="229"/>
        </w:trPr>
        <w:tc>
          <w:tcPr>
            <w:tcW w:w="5320" w:type="dxa"/>
            <w:vAlign w:val="bottom"/>
          </w:tcPr>
          <w:p>
            <w:pPr>
              <w:ind w:left="100"/>
              <w:spacing w:after="0"/>
              <w:rPr>
                <w:sz w:val="20"/>
                <w:szCs w:val="20"/>
                <w:color w:val="auto"/>
              </w:rPr>
            </w:pPr>
            <w:r>
              <w:rPr>
                <w:rFonts w:ascii="Arial" w:cs="Arial" w:eastAsia="Arial" w:hAnsi="Arial"/>
                <w:sz w:val="18"/>
                <w:szCs w:val="18"/>
                <w:color w:val="auto"/>
              </w:rPr>
              <w:t>Other comprehensive loss:</w:t>
            </w: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9"/>
        </w:trPr>
        <w:tc>
          <w:tcPr>
            <w:tcW w:w="5320" w:type="dxa"/>
            <w:vAlign w:val="bottom"/>
          </w:tcPr>
          <w:p>
            <w:pPr>
              <w:ind w:left="240"/>
              <w:spacing w:after="0"/>
              <w:rPr>
                <w:sz w:val="20"/>
                <w:szCs w:val="20"/>
                <w:color w:val="auto"/>
              </w:rPr>
            </w:pPr>
            <w:r>
              <w:rPr>
                <w:rFonts w:ascii="Arial" w:cs="Arial" w:eastAsia="Arial" w:hAnsi="Arial"/>
                <w:sz w:val="18"/>
                <w:szCs w:val="18"/>
                <w:color w:val="auto"/>
              </w:rPr>
              <w:t>Change in currency translation adjustments</w:t>
            </w: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(5,598)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3"/>
        </w:trPr>
        <w:tc>
          <w:tcPr>
            <w:tcW w:w="53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r>
      <w:tr>
        <w:trPr>
          <w:trHeight w:val="223"/>
        </w:trPr>
        <w:tc>
          <w:tcPr>
            <w:tcW w:w="5320" w:type="dxa"/>
            <w:vAlign w:val="bottom"/>
          </w:tcPr>
          <w:p>
            <w:pPr>
              <w:spacing w:after="0"/>
              <w:rPr>
                <w:sz w:val="20"/>
                <w:szCs w:val="20"/>
                <w:color w:val="auto"/>
              </w:rPr>
            </w:pPr>
            <w:r>
              <w:rPr>
                <w:rFonts w:ascii="Arial" w:cs="Arial" w:eastAsia="Arial" w:hAnsi="Arial"/>
                <w:sz w:val="18"/>
                <w:szCs w:val="18"/>
                <w:color w:val="auto"/>
              </w:rPr>
              <w:t>Net comprehensive loss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(20,059)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(41,868)</w:t>
            </w:r>
          </w:p>
        </w:tc>
      </w:tr>
      <w:tr>
        <w:trPr>
          <w:trHeight w:val="20"/>
        </w:trPr>
        <w:tc>
          <w:tcPr>
            <w:tcW w:w="5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9019"/>
          </w:cols>
          <w:pgMar w:left="1440" w:top="931" w:right="1440"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color w:val="auto"/>
        </w:rPr>
        <w:t>VERACYTE, INC.</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CONDENSED CONSOLIDATED BALANCE SHEETS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60" w:type="dxa"/>
            <w:vAlign w:val="bottom"/>
            <w:gridSpan w:val="2"/>
          </w:tcPr>
          <w:p>
            <w:pPr>
              <w:jc w:val="center"/>
              <w:ind w:right="460"/>
              <w:spacing w:after="0"/>
              <w:rPr>
                <w:sz w:val="20"/>
                <w:szCs w:val="20"/>
                <w:color w:val="auto"/>
              </w:rPr>
            </w:pPr>
            <w:r>
              <w:rPr>
                <w:rFonts w:ascii="Arial" w:cs="Arial" w:eastAsia="Arial" w:hAnsi="Arial"/>
                <w:sz w:val="18"/>
                <w:szCs w:val="18"/>
                <w:color w:val="auto"/>
                <w:w w:val="99"/>
              </w:rPr>
              <w:t>March 31,</w:t>
            </w:r>
          </w:p>
        </w:tc>
        <w:tc>
          <w:tcPr>
            <w:tcW w:w="320" w:type="dxa"/>
            <w:vAlign w:val="bottom"/>
          </w:tcPr>
          <w:p>
            <w:pPr>
              <w:spacing w:after="0"/>
              <w:rPr>
                <w:sz w:val="19"/>
                <w:szCs w:val="19"/>
                <w:color w:val="auto"/>
              </w:rPr>
            </w:pPr>
          </w:p>
        </w:tc>
        <w:tc>
          <w:tcPr>
            <w:tcW w:w="1800" w:type="dxa"/>
            <w:vAlign w:val="bottom"/>
          </w:tcPr>
          <w:p>
            <w:pPr>
              <w:jc w:val="center"/>
              <w:ind w:right="21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42"/>
        </w:trPr>
        <w:tc>
          <w:tcPr>
            <w:tcW w:w="66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color w:val="auto"/>
                <w:w w:val="99"/>
              </w:rPr>
              <w:t>2022</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99"/>
              </w:rPr>
              <w:t>2021</w:t>
            </w:r>
          </w:p>
        </w:tc>
        <w:tc>
          <w:tcPr>
            <w:tcW w:w="0" w:type="dxa"/>
            <w:vAlign w:val="bottom"/>
          </w:tcPr>
          <w:p>
            <w:pPr>
              <w:spacing w:after="0"/>
              <w:rPr>
                <w:sz w:val="1"/>
                <w:szCs w:val="1"/>
                <w:color w:val="auto"/>
              </w:rPr>
            </w:pPr>
          </w:p>
        </w:tc>
      </w:tr>
      <w:tr>
        <w:trPr>
          <w:trHeight w:val="239"/>
        </w:trPr>
        <w:tc>
          <w:tcPr>
            <w:tcW w:w="6600" w:type="dxa"/>
            <w:vAlign w:val="bottom"/>
            <w:vMerge w:val="restart"/>
          </w:tcPr>
          <w:p>
            <w:pPr>
              <w:spacing w:after="0"/>
              <w:rPr>
                <w:sz w:val="20"/>
                <w:szCs w:val="20"/>
                <w:color w:val="auto"/>
              </w:rPr>
            </w:pPr>
            <w:r>
              <w:rPr>
                <w:rFonts w:ascii="Arial" w:cs="Arial" w:eastAsia="Arial" w:hAnsi="Arial"/>
                <w:sz w:val="18"/>
                <w:szCs w:val="18"/>
                <w:color w:val="auto"/>
              </w:rPr>
              <w:t>Assets</w:t>
            </w:r>
          </w:p>
        </w:tc>
        <w:tc>
          <w:tcPr>
            <w:tcW w:w="360" w:type="dxa"/>
            <w:vAlign w:val="bottom"/>
          </w:tcPr>
          <w:p>
            <w:pPr>
              <w:spacing w:after="0"/>
              <w:rPr>
                <w:sz w:val="20"/>
                <w:szCs w:val="20"/>
                <w:color w:val="auto"/>
              </w:rPr>
            </w:pPr>
          </w:p>
        </w:tc>
        <w:tc>
          <w:tcPr>
            <w:tcW w:w="1760" w:type="dxa"/>
            <w:vAlign w:val="bottom"/>
          </w:tcPr>
          <w:p>
            <w:pPr>
              <w:jc w:val="center"/>
              <w:ind w:right="290"/>
              <w:spacing w:after="0"/>
              <w:rPr>
                <w:sz w:val="20"/>
                <w:szCs w:val="20"/>
                <w:color w:val="auto"/>
              </w:rPr>
            </w:pPr>
            <w:r>
              <w:rPr>
                <w:rFonts w:ascii="Arial" w:cs="Arial" w:eastAsia="Arial" w:hAnsi="Arial"/>
                <w:sz w:val="18"/>
                <w:szCs w:val="18"/>
                <w:color w:val="auto"/>
                <w:w w:val="99"/>
              </w:rPr>
              <w:t>(Unaudited)</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0" w:type="dxa"/>
            <w:vAlign w:val="bottom"/>
          </w:tcPr>
          <w:p>
            <w:pPr>
              <w:jc w:val="center"/>
              <w:ind w:right="210"/>
              <w:spacing w:after="0"/>
              <w:rPr>
                <w:sz w:val="20"/>
                <w:szCs w:val="20"/>
                <w:color w:val="auto"/>
              </w:rPr>
            </w:pPr>
            <w:r>
              <w:rPr>
                <w:rFonts w:ascii="Arial" w:cs="Arial" w:eastAsia="Arial" w:hAnsi="Arial"/>
                <w:sz w:val="18"/>
                <w:szCs w:val="18"/>
                <w:color w:val="auto"/>
                <w:w w:val="99"/>
              </w:rPr>
              <w:t>(See Note 1)</w:t>
            </w:r>
          </w:p>
        </w:tc>
        <w:tc>
          <w:tcPr>
            <w:tcW w:w="0" w:type="dxa"/>
            <w:vAlign w:val="bottom"/>
          </w:tcPr>
          <w:p>
            <w:pPr>
              <w:spacing w:after="0"/>
              <w:rPr>
                <w:sz w:val="1"/>
                <w:szCs w:val="1"/>
                <w:color w:val="auto"/>
              </w:rPr>
            </w:pPr>
          </w:p>
        </w:tc>
      </w:tr>
      <w:tr>
        <w:trPr>
          <w:trHeight w:val="215"/>
        </w:trPr>
        <w:tc>
          <w:tcPr>
            <w:tcW w:w="660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163,615</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173,197</w:t>
            </w:r>
          </w:p>
        </w:tc>
        <w:tc>
          <w:tcPr>
            <w:tcW w:w="0" w:type="dxa"/>
            <w:vAlign w:val="bottom"/>
          </w:tcPr>
          <w:p>
            <w:pPr>
              <w:spacing w:after="0"/>
              <w:rPr>
                <w:sz w:val="1"/>
                <w:szCs w:val="1"/>
                <w:color w:val="auto"/>
              </w:rPr>
            </w:pPr>
          </w:p>
        </w:tc>
      </w:tr>
      <w:tr>
        <w:trPr>
          <w:trHeight w:val="229"/>
        </w:trPr>
        <w:tc>
          <w:tcPr>
            <w:tcW w:w="6600" w:type="dxa"/>
            <w:vAlign w:val="bottom"/>
          </w:tcPr>
          <w:p>
            <w:pPr>
              <w:ind w:left="220"/>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42,481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41,461</w:t>
            </w:r>
          </w:p>
        </w:tc>
        <w:tc>
          <w:tcPr>
            <w:tcW w:w="0" w:type="dxa"/>
            <w:vAlign w:val="bottom"/>
          </w:tcPr>
          <w:p>
            <w:pPr>
              <w:spacing w:after="0"/>
              <w:rPr>
                <w:sz w:val="1"/>
                <w:szCs w:val="1"/>
                <w:color w:val="auto"/>
              </w:rPr>
            </w:pPr>
          </w:p>
        </w:tc>
      </w:tr>
      <w:tr>
        <w:trPr>
          <w:trHeight w:val="230"/>
        </w:trPr>
        <w:tc>
          <w:tcPr>
            <w:tcW w:w="6600" w:type="dxa"/>
            <w:vAlign w:val="bottom"/>
          </w:tcPr>
          <w:p>
            <w:pPr>
              <w:ind w:left="220"/>
              <w:spacing w:after="0"/>
              <w:rPr>
                <w:sz w:val="20"/>
                <w:szCs w:val="20"/>
                <w:color w:val="auto"/>
              </w:rPr>
            </w:pPr>
            <w:r>
              <w:rPr>
                <w:rFonts w:ascii="Arial" w:cs="Arial" w:eastAsia="Arial" w:hAnsi="Arial"/>
                <w:sz w:val="18"/>
                <w:szCs w:val="18"/>
                <w:color w:val="auto"/>
              </w:rPr>
              <w:t>Supplies and inventory</w:t>
            </w:r>
          </w:p>
        </w:tc>
        <w:tc>
          <w:tcPr>
            <w:tcW w:w="3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12,372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11,225</w:t>
            </w:r>
          </w:p>
        </w:tc>
        <w:tc>
          <w:tcPr>
            <w:tcW w:w="0" w:type="dxa"/>
            <w:vAlign w:val="bottom"/>
          </w:tcPr>
          <w:p>
            <w:pPr>
              <w:spacing w:after="0"/>
              <w:rPr>
                <w:sz w:val="1"/>
                <w:szCs w:val="1"/>
                <w:color w:val="auto"/>
              </w:rPr>
            </w:pPr>
          </w:p>
        </w:tc>
      </w:tr>
      <w:tr>
        <w:trPr>
          <w:trHeight w:val="235"/>
        </w:trPr>
        <w:tc>
          <w:tcPr>
            <w:tcW w:w="6600" w:type="dxa"/>
            <w:vAlign w:val="bottom"/>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20,015</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17,219</w:t>
            </w:r>
          </w:p>
        </w:tc>
        <w:tc>
          <w:tcPr>
            <w:tcW w:w="0" w:type="dxa"/>
            <w:vAlign w:val="bottom"/>
          </w:tcPr>
          <w:p>
            <w:pPr>
              <w:spacing w:after="0"/>
              <w:rPr>
                <w:sz w:val="1"/>
                <w:szCs w:val="1"/>
                <w:color w:val="auto"/>
              </w:rPr>
            </w:pPr>
          </w:p>
        </w:tc>
      </w:tr>
      <w:tr>
        <w:trPr>
          <w:trHeight w:val="218"/>
        </w:trPr>
        <w:tc>
          <w:tcPr>
            <w:tcW w:w="660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3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238,483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243,102</w:t>
            </w:r>
          </w:p>
        </w:tc>
        <w:tc>
          <w:tcPr>
            <w:tcW w:w="0" w:type="dxa"/>
            <w:vAlign w:val="bottom"/>
          </w:tcPr>
          <w:p>
            <w:pPr>
              <w:spacing w:after="0"/>
              <w:rPr>
                <w:sz w:val="1"/>
                <w:szCs w:val="1"/>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16,299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15,098</w:t>
            </w:r>
          </w:p>
        </w:tc>
        <w:tc>
          <w:tcPr>
            <w:tcW w:w="0" w:type="dxa"/>
            <w:vAlign w:val="bottom"/>
          </w:tcPr>
          <w:p>
            <w:pPr>
              <w:spacing w:after="0"/>
              <w:rPr>
                <w:sz w:val="1"/>
                <w:szCs w:val="1"/>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color w:val="auto"/>
              </w:rPr>
              <w:t>Right-of-use assets, operating leases</w:t>
            </w:r>
          </w:p>
        </w:tc>
        <w:tc>
          <w:tcPr>
            <w:tcW w:w="3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15,663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16,043</w:t>
            </w: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Intangible assets, net</w:t>
            </w:r>
          </w:p>
        </w:tc>
        <w:tc>
          <w:tcPr>
            <w:tcW w:w="3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196,228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202,731</w:t>
            </w:r>
          </w:p>
        </w:tc>
        <w:tc>
          <w:tcPr>
            <w:tcW w:w="0" w:type="dxa"/>
            <w:vAlign w:val="bottom"/>
          </w:tcPr>
          <w:p>
            <w:pPr>
              <w:spacing w:after="0"/>
              <w:rPr>
                <w:sz w:val="1"/>
                <w:szCs w:val="1"/>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color w:val="auto"/>
              </w:rPr>
              <w:t>Goodwill</w:t>
            </w:r>
          </w:p>
        </w:tc>
        <w:tc>
          <w:tcPr>
            <w:tcW w:w="3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704,368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707,904</w:t>
            </w: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Restricted cash</w:t>
            </w:r>
          </w:p>
        </w:tc>
        <w:tc>
          <w:tcPr>
            <w:tcW w:w="3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749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35"/>
        </w:trPr>
        <w:tc>
          <w:tcPr>
            <w:tcW w:w="6600" w:type="dxa"/>
            <w:vAlign w:val="bottom"/>
          </w:tcPr>
          <w:p>
            <w:pPr>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1,799</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2,198</w:t>
            </w:r>
          </w:p>
        </w:tc>
        <w:tc>
          <w:tcPr>
            <w:tcW w:w="0" w:type="dxa"/>
            <w:vAlign w:val="bottom"/>
          </w:tcPr>
          <w:p>
            <w:pPr>
              <w:spacing w:after="0"/>
              <w:rPr>
                <w:sz w:val="1"/>
                <w:szCs w:val="1"/>
                <w:color w:val="auto"/>
              </w:rPr>
            </w:pPr>
          </w:p>
        </w:tc>
      </w:tr>
      <w:tr>
        <w:trPr>
          <w:trHeight w:val="223"/>
        </w:trPr>
        <w:tc>
          <w:tcPr>
            <w:tcW w:w="6600" w:type="dxa"/>
            <w:vAlign w:val="bottom"/>
          </w:tcPr>
          <w:p>
            <w:pPr>
              <w:ind w:left="32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1,173,589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1,187,825</w:t>
            </w:r>
          </w:p>
        </w:tc>
        <w:tc>
          <w:tcPr>
            <w:tcW w:w="0" w:type="dxa"/>
            <w:vAlign w:val="bottom"/>
          </w:tcPr>
          <w:p>
            <w:pPr>
              <w:spacing w:after="0"/>
              <w:rPr>
                <w:sz w:val="1"/>
                <w:szCs w:val="1"/>
                <w:color w:val="auto"/>
              </w:rPr>
            </w:pPr>
          </w:p>
        </w:tc>
      </w:tr>
      <w:tr>
        <w:trPr>
          <w:trHeight w:val="21"/>
        </w:trPr>
        <w:tc>
          <w:tcPr>
            <w:tcW w:w="6600" w:type="dxa"/>
            <w:vAlign w:val="bottom"/>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3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60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11,273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12,360</w:t>
            </w:r>
          </w:p>
        </w:tc>
        <w:tc>
          <w:tcPr>
            <w:tcW w:w="0" w:type="dxa"/>
            <w:vAlign w:val="bottom"/>
          </w:tcPr>
          <w:p>
            <w:pPr>
              <w:spacing w:after="0"/>
              <w:rPr>
                <w:sz w:val="1"/>
                <w:szCs w:val="1"/>
                <w:color w:val="auto"/>
              </w:rPr>
            </w:pPr>
          </w:p>
        </w:tc>
      </w:tr>
      <w:tr>
        <w:trPr>
          <w:trHeight w:val="230"/>
        </w:trPr>
        <w:tc>
          <w:tcPr>
            <w:tcW w:w="6600" w:type="dxa"/>
            <w:vAlign w:val="bottom"/>
          </w:tcPr>
          <w:p>
            <w:pPr>
              <w:ind w:left="220"/>
              <w:spacing w:after="0"/>
              <w:rPr>
                <w:sz w:val="20"/>
                <w:szCs w:val="20"/>
                <w:color w:val="auto"/>
              </w:rPr>
            </w:pPr>
            <w:r>
              <w:rPr>
                <w:rFonts w:ascii="Arial" w:cs="Arial" w:eastAsia="Arial" w:hAnsi="Arial"/>
                <w:sz w:val="18"/>
                <w:szCs w:val="18"/>
                <w:color w:val="auto"/>
              </w:rPr>
              <w:t>Accrued liabilities</w:t>
            </w:r>
          </w:p>
        </w:tc>
        <w:tc>
          <w:tcPr>
            <w:tcW w:w="3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38,543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39,475</w:t>
            </w:r>
          </w:p>
        </w:tc>
        <w:tc>
          <w:tcPr>
            <w:tcW w:w="0" w:type="dxa"/>
            <w:vAlign w:val="bottom"/>
          </w:tcPr>
          <w:p>
            <w:pPr>
              <w:spacing w:after="0"/>
              <w:rPr>
                <w:sz w:val="1"/>
                <w:szCs w:val="1"/>
                <w:color w:val="auto"/>
              </w:rPr>
            </w:pPr>
          </w:p>
        </w:tc>
      </w:tr>
      <w:tr>
        <w:trPr>
          <w:trHeight w:val="230"/>
        </w:trPr>
        <w:tc>
          <w:tcPr>
            <w:tcW w:w="6600" w:type="dxa"/>
            <w:vAlign w:val="bottom"/>
          </w:tcPr>
          <w:p>
            <w:pPr>
              <w:ind w:left="220"/>
              <w:spacing w:after="0"/>
              <w:rPr>
                <w:sz w:val="20"/>
                <w:szCs w:val="20"/>
                <w:color w:val="auto"/>
              </w:rPr>
            </w:pPr>
            <w:r>
              <w:rPr>
                <w:rFonts w:ascii="Arial" w:cs="Arial" w:eastAsia="Arial" w:hAnsi="Arial"/>
                <w:sz w:val="18"/>
                <w:szCs w:val="18"/>
                <w:color w:val="auto"/>
              </w:rPr>
              <w:t>Current portion of long-term debt</w:t>
            </w:r>
          </w:p>
        </w:tc>
        <w:tc>
          <w:tcPr>
            <w:tcW w:w="3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1,079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1,127</w:t>
            </w:r>
          </w:p>
        </w:tc>
        <w:tc>
          <w:tcPr>
            <w:tcW w:w="0" w:type="dxa"/>
            <w:vAlign w:val="bottom"/>
          </w:tcPr>
          <w:p>
            <w:pPr>
              <w:spacing w:after="0"/>
              <w:rPr>
                <w:sz w:val="1"/>
                <w:szCs w:val="1"/>
                <w:color w:val="auto"/>
              </w:rPr>
            </w:pPr>
          </w:p>
        </w:tc>
      </w:tr>
      <w:tr>
        <w:trPr>
          <w:trHeight w:val="229"/>
        </w:trPr>
        <w:tc>
          <w:tcPr>
            <w:tcW w:w="6600" w:type="dxa"/>
            <w:vAlign w:val="bottom"/>
          </w:tcPr>
          <w:p>
            <w:pPr>
              <w:ind w:left="220"/>
              <w:spacing w:after="0"/>
              <w:rPr>
                <w:sz w:val="20"/>
                <w:szCs w:val="20"/>
                <w:color w:val="auto"/>
              </w:rPr>
            </w:pPr>
            <w:r>
              <w:rPr>
                <w:rFonts w:ascii="Arial" w:cs="Arial" w:eastAsia="Arial" w:hAnsi="Arial"/>
                <w:sz w:val="18"/>
                <w:szCs w:val="18"/>
                <w:color w:val="auto"/>
              </w:rPr>
              <w:t>Current portion of deferred revenue</w:t>
            </w:r>
          </w:p>
        </w:tc>
        <w:tc>
          <w:tcPr>
            <w:tcW w:w="3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4,878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4,646</w:t>
            </w:r>
          </w:p>
        </w:tc>
        <w:tc>
          <w:tcPr>
            <w:tcW w:w="0" w:type="dxa"/>
            <w:vAlign w:val="bottom"/>
          </w:tcPr>
          <w:p>
            <w:pPr>
              <w:spacing w:after="0"/>
              <w:rPr>
                <w:sz w:val="1"/>
                <w:szCs w:val="1"/>
                <w:color w:val="auto"/>
              </w:rPr>
            </w:pPr>
          </w:p>
        </w:tc>
      </w:tr>
      <w:tr>
        <w:trPr>
          <w:trHeight w:val="230"/>
        </w:trPr>
        <w:tc>
          <w:tcPr>
            <w:tcW w:w="6600" w:type="dxa"/>
            <w:vAlign w:val="bottom"/>
          </w:tcPr>
          <w:p>
            <w:pPr>
              <w:ind w:left="220"/>
              <w:spacing w:after="0"/>
              <w:rPr>
                <w:sz w:val="20"/>
                <w:szCs w:val="20"/>
                <w:color w:val="auto"/>
              </w:rPr>
            </w:pPr>
            <w:r>
              <w:rPr>
                <w:rFonts w:ascii="Arial" w:cs="Arial" w:eastAsia="Arial" w:hAnsi="Arial"/>
                <w:sz w:val="18"/>
                <w:szCs w:val="18"/>
                <w:color w:val="auto"/>
              </w:rPr>
              <w:t>Current portion of acquisition-related contingent consideration</w:t>
            </w:r>
          </w:p>
        </w:tc>
        <w:tc>
          <w:tcPr>
            <w:tcW w:w="3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2,703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2,682</w:t>
            </w:r>
          </w:p>
        </w:tc>
        <w:tc>
          <w:tcPr>
            <w:tcW w:w="0" w:type="dxa"/>
            <w:vAlign w:val="bottom"/>
          </w:tcPr>
          <w:p>
            <w:pPr>
              <w:spacing w:after="0"/>
              <w:rPr>
                <w:sz w:val="1"/>
                <w:szCs w:val="1"/>
                <w:color w:val="auto"/>
              </w:rPr>
            </w:pPr>
          </w:p>
        </w:tc>
      </w:tr>
      <w:tr>
        <w:trPr>
          <w:trHeight w:val="230"/>
        </w:trPr>
        <w:tc>
          <w:tcPr>
            <w:tcW w:w="6600" w:type="dxa"/>
            <w:vAlign w:val="bottom"/>
          </w:tcPr>
          <w:p>
            <w:pPr>
              <w:ind w:left="220"/>
              <w:spacing w:after="0"/>
              <w:rPr>
                <w:sz w:val="20"/>
                <w:szCs w:val="20"/>
                <w:color w:val="auto"/>
              </w:rPr>
            </w:pPr>
            <w:r>
              <w:rPr>
                <w:rFonts w:ascii="Arial" w:cs="Arial" w:eastAsia="Arial" w:hAnsi="Arial"/>
                <w:sz w:val="18"/>
                <w:szCs w:val="18"/>
                <w:color w:val="auto"/>
              </w:rPr>
              <w:t>Current portion of operating lease liabilities</w:t>
            </w:r>
          </w:p>
        </w:tc>
        <w:tc>
          <w:tcPr>
            <w:tcW w:w="3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3,849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3,630</w:t>
            </w:r>
          </w:p>
        </w:tc>
        <w:tc>
          <w:tcPr>
            <w:tcW w:w="0" w:type="dxa"/>
            <w:vAlign w:val="bottom"/>
          </w:tcPr>
          <w:p>
            <w:pPr>
              <w:spacing w:after="0"/>
              <w:rPr>
                <w:sz w:val="1"/>
                <w:szCs w:val="1"/>
                <w:color w:val="auto"/>
              </w:rPr>
            </w:pPr>
          </w:p>
        </w:tc>
      </w:tr>
      <w:tr>
        <w:trPr>
          <w:trHeight w:val="235"/>
        </w:trPr>
        <w:tc>
          <w:tcPr>
            <w:tcW w:w="6600" w:type="dxa"/>
            <w:vAlign w:val="bottom"/>
          </w:tcPr>
          <w:p>
            <w:pPr>
              <w:ind w:left="220"/>
              <w:spacing w:after="0"/>
              <w:rPr>
                <w:sz w:val="20"/>
                <w:szCs w:val="20"/>
                <w:color w:val="auto"/>
              </w:rPr>
            </w:pPr>
            <w:r>
              <w:rPr>
                <w:rFonts w:ascii="Arial" w:cs="Arial" w:eastAsia="Arial" w:hAnsi="Arial"/>
                <w:sz w:val="18"/>
                <w:szCs w:val="18"/>
                <w:color w:val="auto"/>
              </w:rPr>
              <w:t>Current portion of other liabilities</w:t>
            </w:r>
          </w:p>
        </w:tc>
        <w:tc>
          <w:tcPr>
            <w:tcW w:w="3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8"/>
        </w:trPr>
        <w:tc>
          <w:tcPr>
            <w:tcW w:w="660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3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62,543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64,151</w:t>
            </w: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Deferred revenue, net of current portion</w:t>
            </w:r>
          </w:p>
        </w:tc>
        <w:tc>
          <w:tcPr>
            <w:tcW w:w="3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3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4,983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5,592</w:t>
            </w: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Acquisition-related contingent consideration, net of current portion</w:t>
            </w:r>
          </w:p>
        </w:tc>
        <w:tc>
          <w:tcPr>
            <w:tcW w:w="3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5,732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5,722</w:t>
            </w: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Operating lease liabilities, net of current portion</w:t>
            </w:r>
          </w:p>
        </w:tc>
        <w:tc>
          <w:tcPr>
            <w:tcW w:w="3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13,485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14,096</w:t>
            </w:r>
          </w:p>
        </w:tc>
        <w:tc>
          <w:tcPr>
            <w:tcW w:w="0" w:type="dxa"/>
            <w:vAlign w:val="bottom"/>
          </w:tcPr>
          <w:p>
            <w:pPr>
              <w:spacing w:after="0"/>
              <w:rPr>
                <w:sz w:val="1"/>
                <w:szCs w:val="1"/>
                <w:color w:val="auto"/>
              </w:rPr>
            </w:pPr>
          </w:p>
        </w:tc>
      </w:tr>
      <w:tr>
        <w:trPr>
          <w:trHeight w:val="235"/>
        </w:trPr>
        <w:tc>
          <w:tcPr>
            <w:tcW w:w="6600" w:type="dxa"/>
            <w:vAlign w:val="bottom"/>
          </w:tcPr>
          <w:p>
            <w:pPr>
              <w:spacing w:after="0"/>
              <w:rPr>
                <w:sz w:val="20"/>
                <w:szCs w:val="20"/>
                <w:color w:val="auto"/>
              </w:rPr>
            </w:pPr>
            <w:r>
              <w:rPr>
                <w:rFonts w:ascii="Arial" w:cs="Arial" w:eastAsia="Arial" w:hAnsi="Arial"/>
                <w:sz w:val="18"/>
                <w:szCs w:val="18"/>
                <w:color w:val="auto"/>
              </w:rPr>
              <w:t>Other liabilities</w:t>
            </w:r>
          </w:p>
        </w:tc>
        <w:tc>
          <w:tcPr>
            <w:tcW w:w="3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1,378</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1,407</w:t>
            </w:r>
          </w:p>
        </w:tc>
        <w:tc>
          <w:tcPr>
            <w:tcW w:w="0" w:type="dxa"/>
            <w:vAlign w:val="bottom"/>
          </w:tcPr>
          <w:p>
            <w:pPr>
              <w:spacing w:after="0"/>
              <w:rPr>
                <w:sz w:val="1"/>
                <w:szCs w:val="1"/>
                <w:color w:val="auto"/>
              </w:rPr>
            </w:pPr>
          </w:p>
        </w:tc>
      </w:tr>
      <w:tr>
        <w:trPr>
          <w:trHeight w:val="218"/>
        </w:trPr>
        <w:tc>
          <w:tcPr>
            <w:tcW w:w="6600" w:type="dxa"/>
            <w:vAlign w:val="bottom"/>
          </w:tcPr>
          <w:p>
            <w:pPr>
              <w:ind w:left="320"/>
              <w:spacing w:after="0"/>
              <w:rPr>
                <w:sz w:val="20"/>
                <w:szCs w:val="20"/>
                <w:color w:val="auto"/>
              </w:rPr>
            </w:pPr>
            <w:r>
              <w:rPr>
                <w:rFonts w:ascii="Arial" w:cs="Arial" w:eastAsia="Arial" w:hAnsi="Arial"/>
                <w:sz w:val="18"/>
                <w:szCs w:val="18"/>
                <w:color w:val="auto"/>
              </w:rPr>
              <w:t>Total liabilities</w:t>
            </w:r>
          </w:p>
        </w:tc>
        <w:tc>
          <w:tcPr>
            <w:tcW w:w="3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88,399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91,311</w:t>
            </w:r>
          </w:p>
        </w:tc>
        <w:tc>
          <w:tcPr>
            <w:tcW w:w="0" w:type="dxa"/>
            <w:vAlign w:val="bottom"/>
          </w:tcPr>
          <w:p>
            <w:pPr>
              <w:spacing w:after="0"/>
              <w:rPr>
                <w:sz w:val="1"/>
                <w:szCs w:val="1"/>
                <w:color w:val="auto"/>
              </w:rPr>
            </w:pPr>
          </w:p>
        </w:tc>
      </w:tr>
      <w:tr>
        <w:trPr>
          <w:trHeight w:val="235"/>
        </w:trPr>
        <w:tc>
          <w:tcPr>
            <w:tcW w:w="660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3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1,085,190</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1,096,514</w:t>
            </w:r>
          </w:p>
        </w:tc>
        <w:tc>
          <w:tcPr>
            <w:tcW w:w="0" w:type="dxa"/>
            <w:vAlign w:val="bottom"/>
          </w:tcPr>
          <w:p>
            <w:pPr>
              <w:spacing w:after="0"/>
              <w:rPr>
                <w:sz w:val="1"/>
                <w:szCs w:val="1"/>
                <w:color w:val="auto"/>
              </w:rPr>
            </w:pPr>
          </w:p>
        </w:tc>
      </w:tr>
      <w:tr>
        <w:trPr>
          <w:trHeight w:val="223"/>
        </w:trPr>
        <w:tc>
          <w:tcPr>
            <w:tcW w:w="660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1,173,589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1,187,825</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60" w:firstLine="1"/>
        <w:spacing w:after="0"/>
        <w:tabs>
          <w:tab w:leader="none" w:pos="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condensed consolidated balance sheet at December 31, 2021 has been derived from the audited financial statements at that date included in the Company's Form 10-K filed with the Securities and Exchange Commission dated February 28, 2022.</w:t>
      </w:r>
    </w:p>
    <w:p>
      <w:pPr>
        <w:sectPr>
          <w:pgSz w:w="11900" w:h="16838" w:orient="portrait"/>
          <w:cols w:equalWidth="0" w:num="1">
            <w:col w:w="10940"/>
          </w:cols>
          <w:pgMar w:left="480" w:top="1025" w:right="47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8"/>
          <w:szCs w:val="18"/>
          <w:color w:val="auto"/>
        </w:rPr>
        <w:t>VERACYTE, INC.</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CONDENSED CONSOLIDATED STATEMENTS OF CASH FLOWS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 of dollars)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9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8"/>
                <w:szCs w:val="18"/>
                <w:color w:val="auto"/>
              </w:rPr>
              <w:t>Three Months Ended March 31,</w:t>
            </w:r>
          </w:p>
        </w:tc>
        <w:tc>
          <w:tcPr>
            <w:tcW w:w="0" w:type="dxa"/>
            <w:vAlign w:val="bottom"/>
          </w:tcPr>
          <w:p>
            <w:pPr>
              <w:spacing w:after="0"/>
              <w:rPr>
                <w:sz w:val="1"/>
                <w:szCs w:val="1"/>
                <w:color w:val="auto"/>
              </w:rPr>
            </w:pPr>
          </w:p>
        </w:tc>
      </w:tr>
      <w:tr>
        <w:trPr>
          <w:trHeight w:val="223"/>
        </w:trPr>
        <w:tc>
          <w:tcPr>
            <w:tcW w:w="7920" w:type="dxa"/>
            <w:vAlign w:val="bottom"/>
            <w:vMerge w:val="restart"/>
          </w:tcPr>
          <w:p>
            <w:pPr>
              <w:spacing w:after="0"/>
              <w:rPr>
                <w:sz w:val="20"/>
                <w:szCs w:val="20"/>
                <w:color w:val="auto"/>
              </w:rPr>
            </w:pPr>
            <w:r>
              <w:rPr>
                <w:rFonts w:ascii="Arial" w:cs="Arial" w:eastAsia="Arial" w:hAnsi="Arial"/>
                <w:sz w:val="18"/>
                <w:szCs w:val="18"/>
                <w:b w:val="1"/>
                <w:bCs w:val="1"/>
                <w:color w:val="auto"/>
              </w:rPr>
              <w:t>Operating activities</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04"/>
        </w:trPr>
        <w:tc>
          <w:tcPr>
            <w:tcW w:w="79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Net loss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(14,461)</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(41,868)</w:t>
            </w:r>
          </w:p>
        </w:tc>
        <w:tc>
          <w:tcPr>
            <w:tcW w:w="0" w:type="dxa"/>
            <w:vAlign w:val="bottom"/>
          </w:tcPr>
          <w:p>
            <w:pPr>
              <w:spacing w:after="0"/>
              <w:rPr>
                <w:sz w:val="1"/>
                <w:szCs w:val="1"/>
                <w:color w:val="auto"/>
              </w:rPr>
            </w:pPr>
          </w:p>
        </w:tc>
      </w:tr>
      <w:tr>
        <w:trPr>
          <w:trHeight w:val="229"/>
        </w:trPr>
        <w:tc>
          <w:tcPr>
            <w:tcW w:w="7920" w:type="dxa"/>
            <w:vAlign w:val="bottom"/>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2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6,556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2,550</w:t>
            </w:r>
          </w:p>
        </w:tc>
        <w:tc>
          <w:tcPr>
            <w:tcW w:w="0" w:type="dxa"/>
            <w:vAlign w:val="bottom"/>
          </w:tcPr>
          <w:p>
            <w:pPr>
              <w:spacing w:after="0"/>
              <w:rPr>
                <w:sz w:val="1"/>
                <w:szCs w:val="1"/>
                <w:color w:val="auto"/>
              </w:rPr>
            </w:pPr>
          </w:p>
        </w:tc>
      </w:tr>
      <w:tr>
        <w:trPr>
          <w:trHeight w:val="230"/>
        </w:trPr>
        <w:tc>
          <w:tcPr>
            <w:tcW w:w="7920" w:type="dxa"/>
            <w:vAlign w:val="bottom"/>
          </w:tcPr>
          <w:p>
            <w:pPr>
              <w:ind w:left="160"/>
              <w:spacing w:after="0"/>
              <w:rPr>
                <w:sz w:val="20"/>
                <w:szCs w:val="20"/>
                <w:color w:val="auto"/>
              </w:rPr>
            </w:pPr>
            <w:r>
              <w:rPr>
                <w:rFonts w:ascii="Arial" w:cs="Arial" w:eastAsia="Arial" w:hAnsi="Arial"/>
                <w:sz w:val="18"/>
                <w:szCs w:val="18"/>
                <w:color w:val="auto"/>
              </w:rPr>
              <w:t>Stock-based compensation</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6,645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3,855</w:t>
            </w:r>
          </w:p>
        </w:tc>
        <w:tc>
          <w:tcPr>
            <w:tcW w:w="0" w:type="dxa"/>
            <w:vAlign w:val="bottom"/>
          </w:tcPr>
          <w:p>
            <w:pPr>
              <w:spacing w:after="0"/>
              <w:rPr>
                <w:sz w:val="1"/>
                <w:szCs w:val="1"/>
                <w:color w:val="auto"/>
              </w:rPr>
            </w:pPr>
          </w:p>
        </w:tc>
      </w:tr>
      <w:tr>
        <w:trPr>
          <w:trHeight w:val="229"/>
        </w:trPr>
        <w:tc>
          <w:tcPr>
            <w:tcW w:w="7920" w:type="dxa"/>
            <w:vAlign w:val="bottom"/>
          </w:tcPr>
          <w:p>
            <w:pPr>
              <w:ind w:left="160"/>
              <w:spacing w:after="0"/>
              <w:rPr>
                <w:sz w:val="20"/>
                <w:szCs w:val="20"/>
                <w:color w:val="auto"/>
              </w:rPr>
            </w:pPr>
            <w:r>
              <w:rPr>
                <w:rFonts w:ascii="Arial" w:cs="Arial" w:eastAsia="Arial" w:hAnsi="Arial"/>
                <w:sz w:val="18"/>
                <w:szCs w:val="18"/>
                <w:color w:val="auto"/>
              </w:rPr>
              <w:t>Benefit from income taxes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(3,795)</w:t>
            </w:r>
          </w:p>
        </w:tc>
        <w:tc>
          <w:tcPr>
            <w:tcW w:w="0" w:type="dxa"/>
            <w:vAlign w:val="bottom"/>
          </w:tcPr>
          <w:p>
            <w:pPr>
              <w:spacing w:after="0"/>
              <w:rPr>
                <w:sz w:val="1"/>
                <w:szCs w:val="1"/>
                <w:color w:val="auto"/>
              </w:rPr>
            </w:pPr>
          </w:p>
        </w:tc>
      </w:tr>
      <w:tr>
        <w:trPr>
          <w:trHeight w:val="230"/>
        </w:trPr>
        <w:tc>
          <w:tcPr>
            <w:tcW w:w="7920" w:type="dxa"/>
            <w:vAlign w:val="bottom"/>
          </w:tcPr>
          <w:p>
            <w:pPr>
              <w:ind w:left="160"/>
              <w:spacing w:after="0"/>
              <w:rPr>
                <w:sz w:val="20"/>
                <w:szCs w:val="20"/>
                <w:color w:val="auto"/>
              </w:rPr>
            </w:pPr>
            <w:r>
              <w:rPr>
                <w:rFonts w:ascii="Arial" w:cs="Arial" w:eastAsia="Arial" w:hAnsi="Arial"/>
                <w:sz w:val="18"/>
                <w:szCs w:val="18"/>
                <w:color w:val="auto"/>
              </w:rPr>
              <w:t>Interest on end-of-term debt obligation</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9"/>
        </w:trPr>
        <w:tc>
          <w:tcPr>
            <w:tcW w:w="7920" w:type="dxa"/>
            <w:vAlign w:val="bottom"/>
          </w:tcPr>
          <w:p>
            <w:pPr>
              <w:ind w:left="160"/>
              <w:spacing w:after="0"/>
              <w:rPr>
                <w:sz w:val="20"/>
                <w:szCs w:val="20"/>
                <w:color w:val="auto"/>
              </w:rPr>
            </w:pPr>
            <w:r>
              <w:rPr>
                <w:rFonts w:ascii="Arial" w:cs="Arial" w:eastAsia="Arial" w:hAnsi="Arial"/>
                <w:sz w:val="18"/>
                <w:szCs w:val="18"/>
                <w:color w:val="auto"/>
              </w:rPr>
              <w:t>Noncash lease expense</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587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29"/>
        </w:trPr>
        <w:tc>
          <w:tcPr>
            <w:tcW w:w="7920" w:type="dxa"/>
            <w:vAlign w:val="bottom"/>
          </w:tcPr>
          <w:p>
            <w:pPr>
              <w:ind w:left="160"/>
              <w:spacing w:after="0"/>
              <w:rPr>
                <w:sz w:val="20"/>
                <w:szCs w:val="20"/>
                <w:color w:val="auto"/>
              </w:rPr>
            </w:pPr>
            <w:r>
              <w:rPr>
                <w:rFonts w:ascii="Arial" w:cs="Arial" w:eastAsia="Arial" w:hAnsi="Arial"/>
                <w:sz w:val="18"/>
                <w:szCs w:val="18"/>
                <w:color w:val="auto"/>
              </w:rPr>
              <w:t>Revaluation of acquisition-related contingent consideration</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30"/>
        </w:trPr>
        <w:tc>
          <w:tcPr>
            <w:tcW w:w="7920" w:type="dxa"/>
            <w:vAlign w:val="bottom"/>
          </w:tcPr>
          <w:p>
            <w:pPr>
              <w:ind w:left="160"/>
              <w:spacing w:after="0"/>
              <w:rPr>
                <w:sz w:val="20"/>
                <w:szCs w:val="20"/>
                <w:color w:val="auto"/>
              </w:rPr>
            </w:pPr>
            <w:r>
              <w:rPr>
                <w:rFonts w:ascii="Arial" w:cs="Arial" w:eastAsia="Arial" w:hAnsi="Arial"/>
                <w:sz w:val="18"/>
                <w:szCs w:val="18"/>
                <w:color w:val="auto"/>
              </w:rPr>
              <w:t>Effect of foreign currency on operations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9"/>
        </w:trPr>
        <w:tc>
          <w:tcPr>
            <w:tcW w:w="792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20" w:type="dxa"/>
            <w:vAlign w:val="bottom"/>
          </w:tcPr>
          <w:p>
            <w:pPr>
              <w:ind w:left="160"/>
              <w:spacing w:after="0"/>
              <w:rPr>
                <w:sz w:val="20"/>
                <w:szCs w:val="20"/>
                <w:color w:val="auto"/>
              </w:rPr>
            </w:pPr>
            <w:r>
              <w:rPr>
                <w:rFonts w:ascii="Arial" w:cs="Arial" w:eastAsia="Arial" w:hAnsi="Arial"/>
                <w:sz w:val="18"/>
                <w:szCs w:val="18"/>
                <w:color w:val="auto"/>
              </w:rPr>
              <w:t>Accounts receivable</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(3,575)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(3,748)</w:t>
            </w:r>
          </w:p>
        </w:tc>
        <w:tc>
          <w:tcPr>
            <w:tcW w:w="0" w:type="dxa"/>
            <w:vAlign w:val="bottom"/>
          </w:tcPr>
          <w:p>
            <w:pPr>
              <w:spacing w:after="0"/>
              <w:rPr>
                <w:sz w:val="1"/>
                <w:szCs w:val="1"/>
                <w:color w:val="auto"/>
              </w:rPr>
            </w:pPr>
          </w:p>
        </w:tc>
      </w:tr>
      <w:tr>
        <w:trPr>
          <w:trHeight w:val="230"/>
        </w:trPr>
        <w:tc>
          <w:tcPr>
            <w:tcW w:w="7920" w:type="dxa"/>
            <w:vAlign w:val="bottom"/>
          </w:tcPr>
          <w:p>
            <w:pPr>
              <w:ind w:left="160"/>
              <w:spacing w:after="0"/>
              <w:rPr>
                <w:sz w:val="20"/>
                <w:szCs w:val="20"/>
                <w:color w:val="auto"/>
              </w:rPr>
            </w:pPr>
            <w:r>
              <w:rPr>
                <w:rFonts w:ascii="Arial" w:cs="Arial" w:eastAsia="Arial" w:hAnsi="Arial"/>
                <w:sz w:val="18"/>
                <w:szCs w:val="18"/>
                <w:color w:val="auto"/>
              </w:rPr>
              <w:t>Supplies and inventory</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792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(2,139)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30"/>
        </w:trPr>
        <w:tc>
          <w:tcPr>
            <w:tcW w:w="7920" w:type="dxa"/>
            <w:vAlign w:val="bottom"/>
          </w:tcPr>
          <w:p>
            <w:pPr>
              <w:ind w:left="16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9"/>
        </w:trPr>
        <w:tc>
          <w:tcPr>
            <w:tcW w:w="7920" w:type="dxa"/>
            <w:vAlign w:val="bottom"/>
          </w:tcPr>
          <w:p>
            <w:pPr>
              <w:ind w:left="160"/>
              <w:spacing w:after="0"/>
              <w:rPr>
                <w:sz w:val="20"/>
                <w:szCs w:val="20"/>
                <w:color w:val="auto"/>
              </w:rPr>
            </w:pPr>
            <w:r>
              <w:rPr>
                <w:rFonts w:ascii="Arial" w:cs="Arial" w:eastAsia="Arial" w:hAnsi="Arial"/>
                <w:sz w:val="18"/>
                <w:szCs w:val="18"/>
                <w:color w:val="auto"/>
              </w:rPr>
              <w:t>Operating lease liabilities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29"/>
        </w:trPr>
        <w:tc>
          <w:tcPr>
            <w:tcW w:w="792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(960)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1,931</w:t>
            </w:r>
          </w:p>
        </w:tc>
        <w:tc>
          <w:tcPr>
            <w:tcW w:w="0" w:type="dxa"/>
            <w:vAlign w:val="bottom"/>
          </w:tcPr>
          <w:p>
            <w:pPr>
              <w:spacing w:after="0"/>
              <w:rPr>
                <w:sz w:val="1"/>
                <w:szCs w:val="1"/>
                <w:color w:val="auto"/>
              </w:rPr>
            </w:pPr>
          </w:p>
        </w:tc>
      </w:tr>
      <w:tr>
        <w:trPr>
          <w:trHeight w:val="235"/>
        </w:trPr>
        <w:tc>
          <w:tcPr>
            <w:tcW w:w="7920" w:type="dxa"/>
            <w:vAlign w:val="bottom"/>
          </w:tcPr>
          <w:p>
            <w:pPr>
              <w:ind w:left="160"/>
              <w:spacing w:after="0"/>
              <w:rPr>
                <w:sz w:val="20"/>
                <w:szCs w:val="20"/>
                <w:color w:val="auto"/>
              </w:rPr>
            </w:pPr>
            <w:r>
              <w:rPr>
                <w:rFonts w:ascii="Arial" w:cs="Arial" w:eastAsia="Arial" w:hAnsi="Arial"/>
                <w:sz w:val="18"/>
                <w:szCs w:val="18"/>
                <w:color w:val="auto"/>
              </w:rPr>
              <w:t>Accrued liabilities and deferred revenue</w:t>
            </w: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23"/>
        </w:trPr>
        <w:tc>
          <w:tcPr>
            <w:tcW w:w="792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(8,872)</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(40,561)</w:t>
            </w:r>
          </w:p>
        </w:tc>
        <w:tc>
          <w:tcPr>
            <w:tcW w:w="0" w:type="dxa"/>
            <w:vAlign w:val="bottom"/>
          </w:tcPr>
          <w:p>
            <w:pPr>
              <w:spacing w:after="0"/>
              <w:rPr>
                <w:sz w:val="1"/>
                <w:szCs w:val="1"/>
                <w:color w:val="auto"/>
              </w:rPr>
            </w:pPr>
          </w:p>
        </w:tc>
      </w:tr>
      <w:tr>
        <w:trPr>
          <w:trHeight w:val="204"/>
        </w:trPr>
        <w:tc>
          <w:tcPr>
            <w:tcW w:w="7920" w:type="dxa"/>
            <w:vAlign w:val="bottom"/>
          </w:tcPr>
          <w:p>
            <w:pPr>
              <w:spacing w:after="0" w:line="204" w:lineRule="exact"/>
              <w:rPr>
                <w:sz w:val="20"/>
                <w:szCs w:val="20"/>
                <w:color w:val="auto"/>
              </w:rPr>
            </w:pPr>
            <w:r>
              <w:rPr>
                <w:rFonts w:ascii="Arial" w:cs="Arial" w:eastAsia="Arial" w:hAnsi="Arial"/>
                <w:sz w:val="18"/>
                <w:szCs w:val="18"/>
                <w:b w:val="1"/>
                <w:bCs w:val="1"/>
                <w:color w:val="auto"/>
              </w:rPr>
              <w:t>Investing activities</w:t>
            </w: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Acquisition of Decipher Biosciences, net of cash acquired</w:t>
            </w:r>
          </w:p>
        </w:tc>
        <w:tc>
          <w:tcPr>
            <w:tcW w:w="2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(574,411)</w:t>
            </w:r>
          </w:p>
        </w:tc>
        <w:tc>
          <w:tcPr>
            <w:tcW w:w="0" w:type="dxa"/>
            <w:vAlign w:val="bottom"/>
          </w:tcPr>
          <w:p>
            <w:pPr>
              <w:spacing w:after="0"/>
              <w:rPr>
                <w:sz w:val="1"/>
                <w:szCs w:val="1"/>
                <w:color w:val="auto"/>
              </w:rPr>
            </w:pPr>
          </w:p>
        </w:tc>
      </w:tr>
      <w:tr>
        <w:trPr>
          <w:trHeight w:val="235"/>
        </w:trPr>
        <w:tc>
          <w:tcPr>
            <w:tcW w:w="792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(2,453)</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w:t>
            </w:r>
          </w:p>
        </w:tc>
        <w:tc>
          <w:tcPr>
            <w:tcW w:w="0" w:type="dxa"/>
            <w:vAlign w:val="bottom"/>
          </w:tcPr>
          <w:p>
            <w:pPr>
              <w:spacing w:after="0"/>
              <w:rPr>
                <w:sz w:val="1"/>
                <w:szCs w:val="1"/>
                <w:color w:val="auto"/>
              </w:rPr>
            </w:pPr>
          </w:p>
        </w:tc>
      </w:tr>
      <w:tr>
        <w:trPr>
          <w:trHeight w:val="223"/>
        </w:trPr>
        <w:tc>
          <w:tcPr>
            <w:tcW w:w="79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(2,453)</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(575,607)</w:t>
            </w:r>
          </w:p>
        </w:tc>
        <w:tc>
          <w:tcPr>
            <w:tcW w:w="0" w:type="dxa"/>
            <w:vAlign w:val="bottom"/>
          </w:tcPr>
          <w:p>
            <w:pPr>
              <w:spacing w:after="0"/>
              <w:rPr>
                <w:sz w:val="1"/>
                <w:szCs w:val="1"/>
                <w:color w:val="auto"/>
              </w:rPr>
            </w:pPr>
          </w:p>
        </w:tc>
      </w:tr>
      <w:tr>
        <w:trPr>
          <w:trHeight w:val="204"/>
        </w:trPr>
        <w:tc>
          <w:tcPr>
            <w:tcW w:w="7920" w:type="dxa"/>
            <w:vAlign w:val="bottom"/>
          </w:tcPr>
          <w:p>
            <w:pPr>
              <w:spacing w:after="0" w:line="204" w:lineRule="exact"/>
              <w:rPr>
                <w:sz w:val="20"/>
                <w:szCs w:val="20"/>
                <w:color w:val="auto"/>
              </w:rPr>
            </w:pPr>
            <w:r>
              <w:rPr>
                <w:rFonts w:ascii="Arial" w:cs="Arial" w:eastAsia="Arial" w:hAnsi="Arial"/>
                <w:sz w:val="18"/>
                <w:szCs w:val="18"/>
                <w:b w:val="1"/>
                <w:bCs w:val="1"/>
                <w:color w:val="auto"/>
              </w:rPr>
              <w:t>Financing activities</w:t>
            </w: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920" w:type="dxa"/>
            <w:vAlign w:val="bottom"/>
          </w:tcPr>
          <w:p>
            <w:pPr>
              <w:spacing w:after="0"/>
              <w:rPr>
                <w:sz w:val="20"/>
                <w:szCs w:val="20"/>
                <w:color w:val="auto"/>
              </w:rPr>
            </w:pPr>
            <w:r>
              <w:rPr>
                <w:rFonts w:ascii="Arial" w:cs="Arial" w:eastAsia="Arial" w:hAnsi="Arial"/>
                <w:sz w:val="18"/>
                <w:szCs w:val="18"/>
                <w:color w:val="auto"/>
              </w:rPr>
              <w:t>Proceeds from the issuance of common stock in a public offering, net of issuance costs</w:t>
            </w:r>
          </w:p>
        </w:tc>
        <w:tc>
          <w:tcPr>
            <w:tcW w:w="2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593,821</w:t>
            </w: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Payment of long-term debt</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Payment of taxes on vested restricted stock units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(1,447)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(6,774)</w:t>
            </w:r>
          </w:p>
        </w:tc>
        <w:tc>
          <w:tcPr>
            <w:tcW w:w="0" w:type="dxa"/>
            <w:vAlign w:val="bottom"/>
          </w:tcPr>
          <w:p>
            <w:pPr>
              <w:spacing w:after="0"/>
              <w:rPr>
                <w:sz w:val="1"/>
                <w:szCs w:val="1"/>
                <w:color w:val="auto"/>
              </w:rPr>
            </w:pPr>
          </w:p>
        </w:tc>
      </w:tr>
      <w:tr>
        <w:trPr>
          <w:trHeight w:val="235"/>
        </w:trPr>
        <w:tc>
          <w:tcPr>
            <w:tcW w:w="7920" w:type="dxa"/>
            <w:vAlign w:val="bottom"/>
          </w:tcPr>
          <w:p>
            <w:pPr>
              <w:spacing w:after="0"/>
              <w:rPr>
                <w:sz w:val="20"/>
                <w:szCs w:val="20"/>
                <w:color w:val="auto"/>
              </w:rPr>
            </w:pPr>
            <w:r>
              <w:rPr>
                <w:rFonts w:ascii="Arial" w:cs="Arial" w:eastAsia="Arial" w:hAnsi="Arial"/>
                <w:sz w:val="18"/>
                <w:szCs w:val="18"/>
                <w:color w:val="auto"/>
              </w:rPr>
              <w:t>Proceeds from the exercise of common stock options and employee stock purchases</w:t>
            </w: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3,537</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3,965</w:t>
            </w:r>
          </w:p>
        </w:tc>
        <w:tc>
          <w:tcPr>
            <w:tcW w:w="0" w:type="dxa"/>
            <w:vAlign w:val="bottom"/>
          </w:tcPr>
          <w:p>
            <w:pPr>
              <w:spacing w:after="0"/>
              <w:rPr>
                <w:sz w:val="1"/>
                <w:szCs w:val="1"/>
                <w:color w:val="auto"/>
              </w:rPr>
            </w:pPr>
          </w:p>
        </w:tc>
      </w:tr>
      <w:tr>
        <w:trPr>
          <w:trHeight w:val="223"/>
        </w:trPr>
        <w:tc>
          <w:tcPr>
            <w:tcW w:w="792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1,990</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591,012</w:t>
            </w:r>
          </w:p>
        </w:tc>
        <w:tc>
          <w:tcPr>
            <w:tcW w:w="0" w:type="dxa"/>
            <w:vAlign w:val="bottom"/>
          </w:tcPr>
          <w:p>
            <w:pPr>
              <w:spacing w:after="0"/>
              <w:rPr>
                <w:sz w:val="1"/>
                <w:szCs w:val="1"/>
                <w:color w:val="auto"/>
              </w:rPr>
            </w:pPr>
          </w:p>
        </w:tc>
      </w:tr>
      <w:tr>
        <w:trPr>
          <w:trHeight w:val="218"/>
        </w:trPr>
        <w:tc>
          <w:tcPr>
            <w:tcW w:w="7920" w:type="dxa"/>
            <w:vAlign w:val="bottom"/>
          </w:tcPr>
          <w:p>
            <w:pPr>
              <w:spacing w:after="0"/>
              <w:rPr>
                <w:sz w:val="20"/>
                <w:szCs w:val="20"/>
                <w:color w:val="auto"/>
              </w:rPr>
            </w:pPr>
            <w:r>
              <w:rPr>
                <w:rFonts w:ascii="Arial" w:cs="Arial" w:eastAsia="Arial" w:hAnsi="Arial"/>
                <w:sz w:val="18"/>
                <w:szCs w:val="18"/>
                <w:b w:val="1"/>
                <w:bCs w:val="1"/>
                <w:color w:val="auto"/>
              </w:rPr>
              <w:t>Decrease in cash, cash equivalents and restricted cash</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(9,335)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(25,156)</w:t>
            </w:r>
          </w:p>
        </w:tc>
        <w:tc>
          <w:tcPr>
            <w:tcW w:w="0" w:type="dxa"/>
            <w:vAlign w:val="bottom"/>
          </w:tcPr>
          <w:p>
            <w:pPr>
              <w:spacing w:after="0"/>
              <w:rPr>
                <w:sz w:val="1"/>
                <w:szCs w:val="1"/>
                <w:color w:val="auto"/>
              </w:rPr>
            </w:pPr>
          </w:p>
        </w:tc>
      </w:tr>
      <w:tr>
        <w:trPr>
          <w:trHeight w:val="235"/>
        </w:trPr>
        <w:tc>
          <w:tcPr>
            <w:tcW w:w="7920" w:type="dxa"/>
            <w:vAlign w:val="bottom"/>
          </w:tcPr>
          <w:p>
            <w:pPr>
              <w:spacing w:after="0"/>
              <w:rPr>
                <w:sz w:val="20"/>
                <w:szCs w:val="20"/>
                <w:color w:val="auto"/>
              </w:rPr>
            </w:pPr>
            <w:r>
              <w:rPr>
                <w:rFonts w:ascii="Arial" w:cs="Arial" w:eastAsia="Arial" w:hAnsi="Arial"/>
                <w:sz w:val="18"/>
                <w:szCs w:val="18"/>
                <w:b w:val="1"/>
                <w:bCs w:val="1"/>
                <w:color w:val="auto"/>
              </w:rPr>
              <w:t>Effect of foreign currency on cash, cash equivalents and restricted cash</w:t>
            </w: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7920" w:type="dxa"/>
            <w:vAlign w:val="bottom"/>
          </w:tcPr>
          <w:p>
            <w:pPr>
              <w:spacing w:after="0"/>
              <w:rPr>
                <w:sz w:val="20"/>
                <w:szCs w:val="20"/>
                <w:color w:val="auto"/>
              </w:rPr>
            </w:pPr>
            <w:r>
              <w:rPr>
                <w:rFonts w:ascii="Arial" w:cs="Arial" w:eastAsia="Arial" w:hAnsi="Arial"/>
                <w:sz w:val="18"/>
                <w:szCs w:val="18"/>
                <w:b w:val="1"/>
                <w:bCs w:val="1"/>
                <w:color w:val="auto"/>
              </w:rPr>
              <w:t>Net decrease in cash, cash equivalents and restricted cash</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(9,582)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(25,156)</w:t>
            </w:r>
          </w:p>
        </w:tc>
        <w:tc>
          <w:tcPr>
            <w:tcW w:w="0" w:type="dxa"/>
            <w:vAlign w:val="bottom"/>
          </w:tcPr>
          <w:p>
            <w:pPr>
              <w:spacing w:after="0"/>
              <w:rPr>
                <w:sz w:val="1"/>
                <w:szCs w:val="1"/>
                <w:color w:val="auto"/>
              </w:rPr>
            </w:pPr>
          </w:p>
        </w:tc>
      </w:tr>
      <w:tr>
        <w:trPr>
          <w:trHeight w:val="235"/>
        </w:trPr>
        <w:tc>
          <w:tcPr>
            <w:tcW w:w="7920" w:type="dxa"/>
            <w:vAlign w:val="bottom"/>
          </w:tcPr>
          <w:p>
            <w:pPr>
              <w:spacing w:after="0"/>
              <w:rPr>
                <w:sz w:val="20"/>
                <w:szCs w:val="20"/>
                <w:color w:val="auto"/>
              </w:rPr>
            </w:pPr>
            <w:r>
              <w:rPr>
                <w:rFonts w:ascii="Arial" w:cs="Arial" w:eastAsia="Arial" w:hAnsi="Arial"/>
                <w:sz w:val="18"/>
                <w:szCs w:val="18"/>
                <w:b w:val="1"/>
                <w:bCs w:val="1"/>
                <w:color w:val="auto"/>
              </w:rPr>
              <w:t>Cash, cash equivalents and restricted cash at beginning of period</w:t>
            </w: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173,946</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349,967</w:t>
            </w:r>
          </w:p>
        </w:tc>
        <w:tc>
          <w:tcPr>
            <w:tcW w:w="0" w:type="dxa"/>
            <w:vAlign w:val="bottom"/>
          </w:tcPr>
          <w:p>
            <w:pPr>
              <w:spacing w:after="0"/>
              <w:rPr>
                <w:sz w:val="1"/>
                <w:szCs w:val="1"/>
                <w:color w:val="auto"/>
              </w:rPr>
            </w:pPr>
          </w:p>
        </w:tc>
      </w:tr>
      <w:tr>
        <w:trPr>
          <w:trHeight w:val="223"/>
        </w:trPr>
        <w:tc>
          <w:tcPr>
            <w:tcW w:w="7920" w:type="dxa"/>
            <w:vAlign w:val="bottom"/>
          </w:tcPr>
          <w:p>
            <w:pPr>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164,364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324,811</w:t>
            </w: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400" w:top="1025" w:right="39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8"/>
          <w:szCs w:val="18"/>
          <w:color w:val="auto"/>
        </w:rPr>
        <w:t>CASH, CASH EQUIVALENTS AND RESTRICTED CASH</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 of dollars)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20"/>
              <w:spacing w:after="0"/>
              <w:rPr>
                <w:sz w:val="20"/>
                <w:szCs w:val="20"/>
                <w:color w:val="auto"/>
              </w:rPr>
            </w:pPr>
            <w:r>
              <w:rPr>
                <w:rFonts w:ascii="Arial" w:cs="Arial" w:eastAsia="Arial" w:hAnsi="Arial"/>
                <w:sz w:val="18"/>
                <w:szCs w:val="18"/>
                <w:color w:val="auto"/>
              </w:rPr>
              <w:t>March 31,</w:t>
            </w:r>
          </w:p>
        </w:tc>
        <w:tc>
          <w:tcPr>
            <w:tcW w:w="160" w:type="dxa"/>
            <w:vAlign w:val="bottom"/>
          </w:tcPr>
          <w:p>
            <w:pPr>
              <w:spacing w:after="0"/>
              <w:rPr>
                <w:sz w:val="19"/>
                <w:szCs w:val="19"/>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December 31,</w:t>
            </w:r>
          </w:p>
        </w:tc>
      </w:tr>
      <w:tr>
        <w:trPr>
          <w:trHeight w:val="242"/>
        </w:trPr>
        <w:tc>
          <w:tcPr>
            <w:tcW w:w="80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2021</w:t>
            </w:r>
          </w:p>
        </w:tc>
      </w:tr>
      <w:tr>
        <w:trPr>
          <w:trHeight w:val="224"/>
        </w:trPr>
        <w:tc>
          <w:tcPr>
            <w:tcW w:w="80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163,615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173,197</w:t>
            </w:r>
          </w:p>
        </w:tc>
      </w:tr>
      <w:tr>
        <w:trPr>
          <w:trHeight w:val="235"/>
        </w:trPr>
        <w:tc>
          <w:tcPr>
            <w:tcW w:w="8000" w:type="dxa"/>
            <w:vAlign w:val="bottom"/>
          </w:tcPr>
          <w:p>
            <w:pPr>
              <w:spacing w:after="0"/>
              <w:rPr>
                <w:sz w:val="20"/>
                <w:szCs w:val="20"/>
                <w:color w:val="auto"/>
              </w:rPr>
            </w:pPr>
            <w:r>
              <w:rPr>
                <w:rFonts w:ascii="Arial" w:cs="Arial" w:eastAsia="Arial" w:hAnsi="Arial"/>
                <w:sz w:val="18"/>
                <w:szCs w:val="18"/>
                <w:color w:val="auto"/>
              </w:rPr>
              <w:t>Restricted cash</w:t>
            </w: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w:t>
            </w:r>
          </w:p>
        </w:tc>
      </w:tr>
      <w:tr>
        <w:trPr>
          <w:trHeight w:val="223"/>
        </w:trPr>
        <w:tc>
          <w:tcPr>
            <w:tcW w:w="8000" w:type="dxa"/>
            <w:vAlign w:val="bottom"/>
          </w:tcPr>
          <w:p>
            <w:pPr>
              <w:spacing w:after="0"/>
              <w:rPr>
                <w:sz w:val="20"/>
                <w:szCs w:val="20"/>
                <w:color w:val="auto"/>
              </w:rPr>
            </w:pPr>
            <w:r>
              <w:rPr>
                <w:rFonts w:ascii="Arial" w:cs="Arial" w:eastAsia="Arial" w:hAnsi="Arial"/>
                <w:sz w:val="18"/>
                <w:szCs w:val="18"/>
                <w:color w:val="auto"/>
              </w:rPr>
              <w:t>Total cash, cash equivalents and restricted cash</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164,364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173,946</w:t>
            </w:r>
          </w:p>
        </w:tc>
      </w:tr>
      <w:tr>
        <w:trPr>
          <w:trHeight w:val="21"/>
        </w:trPr>
        <w:tc>
          <w:tcPr>
            <w:tcW w:w="8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180"/>
          </w:cols>
          <w:pgMar w:left="340" w:top="1025" w:right="37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200" w:type="dxa"/>
            <w:vAlign w:val="bottom"/>
            <w:gridSpan w:val="5"/>
          </w:tcPr>
          <w:p>
            <w:pPr>
              <w:spacing w:after="0"/>
              <w:rPr>
                <w:sz w:val="20"/>
                <w:szCs w:val="20"/>
                <w:color w:val="auto"/>
              </w:rPr>
            </w:pPr>
            <w:r>
              <w:rPr>
                <w:rFonts w:ascii="Arial" w:cs="Arial" w:eastAsia="Arial" w:hAnsi="Arial"/>
                <w:sz w:val="18"/>
                <w:szCs w:val="18"/>
                <w:b w:val="1"/>
                <w:bCs w:val="1"/>
                <w:color w:val="auto"/>
              </w:rPr>
              <w:t>Reconciliation of U.S. GAAP to Non-GAAP Financial Measures</w:t>
            </w:r>
          </w:p>
        </w:tc>
        <w:tc>
          <w:tcPr>
            <w:tcW w:w="3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(Unaudited)</w:t>
            </w: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160" w:type="dxa"/>
            <w:vAlign w:val="bottom"/>
          </w:tcPr>
          <w:p>
            <w:pPr>
              <w:spacing w:after="0"/>
              <w:rPr>
                <w:sz w:val="20"/>
                <w:szCs w:val="20"/>
                <w:color w:val="auto"/>
              </w:rPr>
            </w:pPr>
            <w:r>
              <w:rPr>
                <w:rFonts w:ascii="Arial" w:cs="Arial" w:eastAsia="Arial" w:hAnsi="Arial"/>
                <w:sz w:val="18"/>
                <w:szCs w:val="18"/>
                <w:color w:val="auto"/>
              </w:rPr>
              <w:t>(In thousands of dollars)</w:t>
            </w: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740" w:type="dxa"/>
            <w:vAlign w:val="bottom"/>
            <w:gridSpan w:val="2"/>
            <w:vMerge w:val="restart"/>
          </w:tcPr>
          <w:p>
            <w:pPr>
              <w:jc w:val="right"/>
              <w:ind w:right="490"/>
              <w:spacing w:after="0"/>
              <w:rPr>
                <w:sz w:val="20"/>
                <w:szCs w:val="20"/>
                <w:color w:val="auto"/>
              </w:rPr>
            </w:pPr>
            <w:r>
              <w:rPr>
                <w:rFonts w:ascii="Arial" w:cs="Arial" w:eastAsia="Arial" w:hAnsi="Arial"/>
                <w:sz w:val="18"/>
                <w:szCs w:val="18"/>
                <w:b w:val="1"/>
                <w:bCs w:val="1"/>
                <w:color w:val="auto"/>
              </w:rPr>
              <w:t>Adjustments</w:t>
            </w: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2"/>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center"/>
              <w:ind w:right="30"/>
              <w:spacing w:after="0" w:line="169" w:lineRule="exact"/>
              <w:rPr>
                <w:sz w:val="20"/>
                <w:szCs w:val="20"/>
                <w:color w:val="auto"/>
              </w:rPr>
            </w:pPr>
            <w:r>
              <w:rPr>
                <w:rFonts w:ascii="Arial" w:cs="Arial" w:eastAsia="Arial" w:hAnsi="Arial"/>
                <w:sz w:val="18"/>
                <w:szCs w:val="18"/>
                <w:b w:val="1"/>
                <w:bCs w:val="1"/>
                <w:color w:val="auto"/>
                <w:w w:val="99"/>
              </w:rPr>
              <w:t>Acquisition</w:t>
            </w:r>
          </w:p>
        </w:tc>
        <w:tc>
          <w:tcPr>
            <w:tcW w:w="1740" w:type="dxa"/>
            <w:vAlign w:val="bottom"/>
            <w:gridSpan w:val="2"/>
          </w:tcPr>
          <w:p>
            <w:pPr>
              <w:jc w:val="center"/>
              <w:spacing w:after="0" w:line="169" w:lineRule="exact"/>
              <w:rPr>
                <w:sz w:val="20"/>
                <w:szCs w:val="20"/>
                <w:color w:val="auto"/>
              </w:rPr>
            </w:pPr>
            <w:r>
              <w:rPr>
                <w:rFonts w:ascii="Arial" w:cs="Arial" w:eastAsia="Arial" w:hAnsi="Arial"/>
                <w:sz w:val="18"/>
                <w:szCs w:val="18"/>
                <w:b w:val="1"/>
                <w:bCs w:val="1"/>
                <w:color w:val="auto"/>
              </w:rPr>
              <w:t>Intangible Assets</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Total Non-GAAP</w:t>
            </w:r>
          </w:p>
        </w:tc>
        <w:tc>
          <w:tcPr>
            <w:tcW w:w="0" w:type="dxa"/>
            <w:vAlign w:val="bottom"/>
          </w:tcPr>
          <w:p>
            <w:pPr>
              <w:spacing w:after="0"/>
              <w:rPr>
                <w:sz w:val="1"/>
                <w:szCs w:val="1"/>
                <w:color w:val="auto"/>
              </w:rPr>
            </w:pPr>
          </w:p>
        </w:tc>
      </w:tr>
      <w:tr>
        <w:trPr>
          <w:trHeight w:val="176"/>
        </w:trPr>
        <w:tc>
          <w:tcPr>
            <w:tcW w:w="3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GAAP</w:t>
            </w:r>
          </w:p>
        </w:tc>
        <w:tc>
          <w:tcPr>
            <w:tcW w:w="140" w:type="dxa"/>
            <w:vAlign w:val="bottom"/>
          </w:tcPr>
          <w:p>
            <w:pPr>
              <w:spacing w:after="0"/>
              <w:rPr>
                <w:sz w:val="15"/>
                <w:szCs w:val="15"/>
                <w:color w:val="auto"/>
              </w:rPr>
            </w:pPr>
          </w:p>
        </w:tc>
        <w:tc>
          <w:tcPr>
            <w:tcW w:w="130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8"/>
              </w:rPr>
              <w:t>Related</w:t>
            </w:r>
          </w:p>
        </w:tc>
        <w:tc>
          <w:tcPr>
            <w:tcW w:w="300" w:type="dxa"/>
            <w:vAlign w:val="bottom"/>
          </w:tcPr>
          <w:p>
            <w:pPr>
              <w:spacing w:after="0"/>
              <w:rPr>
                <w:sz w:val="15"/>
                <w:szCs w:val="15"/>
                <w:color w:val="auto"/>
              </w:rPr>
            </w:pPr>
          </w:p>
        </w:tc>
        <w:tc>
          <w:tcPr>
            <w:tcW w:w="1440" w:type="dxa"/>
            <w:vAlign w:val="bottom"/>
          </w:tcPr>
          <w:p>
            <w:pPr>
              <w:jc w:val="center"/>
              <w:ind w:right="130"/>
              <w:spacing w:after="0" w:line="176" w:lineRule="exact"/>
              <w:rPr>
                <w:sz w:val="20"/>
                <w:szCs w:val="20"/>
                <w:color w:val="auto"/>
              </w:rPr>
            </w:pPr>
            <w:r>
              <w:rPr>
                <w:rFonts w:ascii="Arial" w:cs="Arial" w:eastAsia="Arial" w:hAnsi="Arial"/>
                <w:sz w:val="18"/>
                <w:szCs w:val="18"/>
                <w:b w:val="1"/>
                <w:bCs w:val="1"/>
                <w:color w:val="auto"/>
                <w:w w:val="99"/>
              </w:rPr>
              <w:t>Amortization</w:t>
            </w:r>
          </w:p>
        </w:tc>
        <w:tc>
          <w:tcPr>
            <w:tcW w:w="220" w:type="dxa"/>
            <w:vAlign w:val="bottom"/>
          </w:tcPr>
          <w:p>
            <w:pPr>
              <w:spacing w:after="0"/>
              <w:rPr>
                <w:sz w:val="15"/>
                <w:szCs w:val="15"/>
                <w:color w:val="auto"/>
              </w:rPr>
            </w:pPr>
          </w:p>
        </w:tc>
        <w:tc>
          <w:tcPr>
            <w:tcW w:w="7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Other</w:t>
            </w:r>
          </w:p>
        </w:tc>
        <w:tc>
          <w:tcPr>
            <w:tcW w:w="320" w:type="dxa"/>
            <w:vAlign w:val="bottom"/>
          </w:tcPr>
          <w:p>
            <w:pPr>
              <w:spacing w:after="0"/>
              <w:rPr>
                <w:sz w:val="15"/>
                <w:szCs w:val="15"/>
                <w:color w:val="auto"/>
              </w:rPr>
            </w:pPr>
          </w:p>
        </w:tc>
        <w:tc>
          <w:tcPr>
            <w:tcW w:w="1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60" w:type="dxa"/>
            <w:vAlign w:val="bottom"/>
            <w:vMerge w:val="restart"/>
          </w:tcPr>
          <w:p>
            <w:pPr>
              <w:spacing w:after="0"/>
              <w:rPr>
                <w:sz w:val="20"/>
                <w:szCs w:val="20"/>
                <w:color w:val="auto"/>
              </w:rPr>
            </w:pPr>
            <w:r>
              <w:rPr>
                <w:rFonts w:ascii="Arial" w:cs="Arial" w:eastAsia="Arial" w:hAnsi="Arial"/>
                <w:sz w:val="18"/>
                <w:szCs w:val="18"/>
                <w:b w:val="1"/>
                <w:bCs w:val="1"/>
                <w:color w:val="auto"/>
              </w:rPr>
              <w:t>Three Months Ended March 31, 2022</w:t>
            </w:r>
          </w:p>
        </w:tc>
        <w:tc>
          <w:tcPr>
            <w:tcW w:w="3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rPr>
              <w:t>Expenses (1)</w:t>
            </w:r>
          </w:p>
        </w:tc>
        <w:tc>
          <w:tcPr>
            <w:tcW w:w="3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9"/>
              </w:rPr>
              <w:t>Expense</w:t>
            </w:r>
          </w:p>
        </w:tc>
        <w:tc>
          <w:tcPr>
            <w:tcW w:w="2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vMerge w:val="continue"/>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Measure</w:t>
            </w:r>
          </w:p>
        </w:tc>
        <w:tc>
          <w:tcPr>
            <w:tcW w:w="0" w:type="dxa"/>
            <w:vAlign w:val="bottom"/>
          </w:tcPr>
          <w:p>
            <w:pPr>
              <w:spacing w:after="0"/>
              <w:rPr>
                <w:sz w:val="1"/>
                <w:szCs w:val="1"/>
                <w:color w:val="auto"/>
              </w:rPr>
            </w:pPr>
          </w:p>
        </w:tc>
      </w:tr>
      <w:tr>
        <w:trPr>
          <w:trHeight w:val="204"/>
        </w:trPr>
        <w:tc>
          <w:tcPr>
            <w:tcW w:w="31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160" w:type="dxa"/>
            <w:vAlign w:val="bottom"/>
          </w:tcPr>
          <w:p>
            <w:pPr>
              <w:spacing w:after="0"/>
              <w:rPr>
                <w:sz w:val="20"/>
                <w:szCs w:val="20"/>
                <w:color w:val="auto"/>
              </w:rPr>
            </w:pPr>
            <w:r>
              <w:rPr>
                <w:rFonts w:ascii="Arial" w:cs="Arial" w:eastAsia="Arial" w:hAnsi="Arial"/>
                <w:sz w:val="18"/>
                <w:szCs w:val="18"/>
                <w:color w:val="auto"/>
              </w:rPr>
              <w:t>Total revenue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250"/>
              <w:spacing w:after="0"/>
              <w:rPr>
                <w:sz w:val="20"/>
                <w:szCs w:val="20"/>
                <w:color w:val="auto"/>
              </w:rPr>
            </w:pPr>
            <w:r>
              <w:rPr>
                <w:rFonts w:ascii="Arial" w:cs="Arial" w:eastAsia="Arial" w:hAnsi="Arial"/>
                <w:sz w:val="18"/>
                <w:szCs w:val="18"/>
                <w:color w:val="auto"/>
              </w:rPr>
              <w:t>67,783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170"/>
              <w:spacing w:after="0"/>
              <w:rPr>
                <w:sz w:val="20"/>
                <w:szCs w:val="20"/>
                <w:color w:val="auto"/>
              </w:rPr>
            </w:pPr>
            <w:r>
              <w:rPr>
                <w:rFonts w:ascii="Arial" w:cs="Arial" w:eastAsia="Arial" w:hAnsi="Arial"/>
                <w:sz w:val="18"/>
                <w:szCs w:val="18"/>
                <w:color w:val="auto"/>
              </w:rPr>
              <w:t>67,783</w:t>
            </w: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Cost of testing revenue</w:t>
            </w:r>
          </w:p>
        </w:tc>
        <w:tc>
          <w:tcPr>
            <w:tcW w:w="300" w:type="dxa"/>
            <w:vAlign w:val="bottom"/>
          </w:tcPr>
          <w:p>
            <w:pPr>
              <w:spacing w:after="0"/>
              <w:rPr>
                <w:sz w:val="19"/>
                <w:szCs w:val="19"/>
                <w:color w:val="auto"/>
              </w:rPr>
            </w:pPr>
          </w:p>
        </w:tc>
        <w:tc>
          <w:tcPr>
            <w:tcW w:w="1300" w:type="dxa"/>
            <w:vAlign w:val="bottom"/>
          </w:tcPr>
          <w:p>
            <w:pPr>
              <w:jc w:val="right"/>
              <w:ind w:right="250"/>
              <w:spacing w:after="0"/>
              <w:rPr>
                <w:sz w:val="20"/>
                <w:szCs w:val="20"/>
                <w:color w:val="auto"/>
              </w:rPr>
            </w:pPr>
            <w:r>
              <w:rPr>
                <w:rFonts w:ascii="Arial" w:cs="Arial" w:eastAsia="Arial" w:hAnsi="Arial"/>
                <w:sz w:val="18"/>
                <w:szCs w:val="18"/>
                <w:color w:val="auto"/>
              </w:rPr>
              <w:t>17,523</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53</w:t>
            </w:r>
          </w:p>
        </w:tc>
        <w:tc>
          <w:tcPr>
            <w:tcW w:w="300" w:type="dxa"/>
            <w:vAlign w:val="bottom"/>
          </w:tcPr>
          <w:p>
            <w:pPr>
              <w:spacing w:after="0"/>
              <w:rPr>
                <w:sz w:val="19"/>
                <w:szCs w:val="19"/>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860" w:type="dxa"/>
            <w:vAlign w:val="bottom"/>
          </w:tcPr>
          <w:p>
            <w:pPr>
              <w:jc w:val="right"/>
              <w:ind w:right="170"/>
              <w:spacing w:after="0"/>
              <w:rPr>
                <w:sz w:val="20"/>
                <w:szCs w:val="20"/>
                <w:color w:val="auto"/>
              </w:rPr>
            </w:pPr>
            <w:r>
              <w:rPr>
                <w:rFonts w:ascii="Arial" w:cs="Arial" w:eastAsia="Arial" w:hAnsi="Arial"/>
                <w:sz w:val="18"/>
                <w:szCs w:val="18"/>
                <w:color w:val="auto"/>
              </w:rPr>
              <w:t>17,470</w:t>
            </w:r>
          </w:p>
        </w:tc>
        <w:tc>
          <w:tcPr>
            <w:tcW w:w="0" w:type="dxa"/>
            <w:vAlign w:val="bottom"/>
          </w:tcPr>
          <w:p>
            <w:pPr>
              <w:spacing w:after="0"/>
              <w:rPr>
                <w:sz w:val="1"/>
                <w:szCs w:val="1"/>
                <w:color w:val="auto"/>
              </w:rPr>
            </w:pPr>
          </w:p>
        </w:tc>
      </w:tr>
      <w:tr>
        <w:trPr>
          <w:trHeight w:val="229"/>
        </w:trPr>
        <w:tc>
          <w:tcPr>
            <w:tcW w:w="3160" w:type="dxa"/>
            <w:vAlign w:val="bottom"/>
          </w:tcPr>
          <w:p>
            <w:pPr>
              <w:spacing w:after="0"/>
              <w:rPr>
                <w:sz w:val="20"/>
                <w:szCs w:val="20"/>
                <w:color w:val="auto"/>
              </w:rPr>
            </w:pPr>
            <w:r>
              <w:rPr>
                <w:rFonts w:ascii="Arial" w:cs="Arial" w:eastAsia="Arial" w:hAnsi="Arial"/>
                <w:sz w:val="18"/>
                <w:szCs w:val="18"/>
                <w:color w:val="auto"/>
              </w:rPr>
              <w:t>Cost of product revenue</w:t>
            </w:r>
          </w:p>
        </w:tc>
        <w:tc>
          <w:tcPr>
            <w:tcW w:w="300" w:type="dxa"/>
            <w:vAlign w:val="bottom"/>
          </w:tcPr>
          <w:p>
            <w:pPr>
              <w:spacing w:after="0"/>
              <w:rPr>
                <w:sz w:val="19"/>
                <w:szCs w:val="19"/>
                <w:color w:val="auto"/>
              </w:rPr>
            </w:pPr>
          </w:p>
        </w:tc>
        <w:tc>
          <w:tcPr>
            <w:tcW w:w="1300" w:type="dxa"/>
            <w:vAlign w:val="bottom"/>
          </w:tcPr>
          <w:p>
            <w:pPr>
              <w:jc w:val="right"/>
              <w:ind w:right="250"/>
              <w:spacing w:after="0"/>
              <w:rPr>
                <w:sz w:val="20"/>
                <w:szCs w:val="20"/>
                <w:color w:val="auto"/>
              </w:rPr>
            </w:pPr>
            <w:r>
              <w:rPr>
                <w:rFonts w:ascii="Arial" w:cs="Arial" w:eastAsia="Arial" w:hAnsi="Arial"/>
                <w:sz w:val="18"/>
                <w:szCs w:val="18"/>
                <w:color w:val="auto"/>
              </w:rPr>
              <w:t>1,575</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860" w:type="dxa"/>
            <w:vAlign w:val="bottom"/>
          </w:tcPr>
          <w:p>
            <w:pPr>
              <w:jc w:val="right"/>
              <w:ind w:right="170"/>
              <w:spacing w:after="0"/>
              <w:rPr>
                <w:sz w:val="20"/>
                <w:szCs w:val="20"/>
                <w:color w:val="auto"/>
              </w:rPr>
            </w:pPr>
            <w:r>
              <w:rPr>
                <w:rFonts w:ascii="Arial" w:cs="Arial" w:eastAsia="Arial" w:hAnsi="Arial"/>
                <w:sz w:val="18"/>
                <w:szCs w:val="18"/>
                <w:color w:val="auto"/>
              </w:rPr>
              <w:t>1,575</w:t>
            </w:r>
          </w:p>
        </w:tc>
        <w:tc>
          <w:tcPr>
            <w:tcW w:w="0" w:type="dxa"/>
            <w:vAlign w:val="bottom"/>
          </w:tcPr>
          <w:p>
            <w:pPr>
              <w:spacing w:after="0"/>
              <w:rPr>
                <w:sz w:val="1"/>
                <w:szCs w:val="1"/>
                <w:color w:val="auto"/>
              </w:rPr>
            </w:pPr>
          </w:p>
        </w:tc>
      </w:tr>
      <w:tr>
        <w:trPr>
          <w:trHeight w:val="181"/>
        </w:trPr>
        <w:tc>
          <w:tcPr>
            <w:tcW w:w="3160" w:type="dxa"/>
            <w:vAlign w:val="bottom"/>
          </w:tcPr>
          <w:p>
            <w:pPr>
              <w:spacing w:after="0" w:line="181" w:lineRule="exact"/>
              <w:rPr>
                <w:sz w:val="20"/>
                <w:szCs w:val="20"/>
                <w:color w:val="auto"/>
              </w:rPr>
            </w:pPr>
            <w:r>
              <w:rPr>
                <w:rFonts w:ascii="Arial" w:cs="Arial" w:eastAsia="Arial" w:hAnsi="Arial"/>
                <w:sz w:val="18"/>
                <w:szCs w:val="18"/>
                <w:color w:val="auto"/>
              </w:rPr>
              <w:t>Cost of biopharmaceutical and other</w:t>
            </w:r>
          </w:p>
        </w:tc>
        <w:tc>
          <w:tcPr>
            <w:tcW w:w="300" w:type="dxa"/>
            <w:vAlign w:val="bottom"/>
          </w:tcPr>
          <w:p>
            <w:pPr>
              <w:spacing w:after="0"/>
              <w:rPr>
                <w:sz w:val="15"/>
                <w:szCs w:val="15"/>
                <w:color w:val="auto"/>
              </w:rPr>
            </w:pPr>
          </w:p>
        </w:tc>
        <w:tc>
          <w:tcPr>
            <w:tcW w:w="1300" w:type="dxa"/>
            <w:vAlign w:val="bottom"/>
            <w:vMerge w:val="restart"/>
          </w:tcPr>
          <w:p>
            <w:pPr>
              <w:jc w:val="right"/>
              <w:ind w:right="250"/>
              <w:spacing w:after="0"/>
              <w:rPr>
                <w:sz w:val="20"/>
                <w:szCs w:val="20"/>
                <w:color w:val="auto"/>
              </w:rPr>
            </w:pPr>
            <w:r>
              <w:rPr>
                <w:rFonts w:ascii="Arial" w:cs="Arial" w:eastAsia="Arial" w:hAnsi="Arial"/>
                <w:sz w:val="18"/>
                <w:szCs w:val="18"/>
                <w:color w:val="auto"/>
              </w:rPr>
              <w:t>4,615</w:t>
            </w:r>
          </w:p>
        </w:tc>
        <w:tc>
          <w:tcPr>
            <w:tcW w:w="14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133</w:t>
            </w:r>
          </w:p>
        </w:tc>
        <w:tc>
          <w:tcPr>
            <w:tcW w:w="300" w:type="dxa"/>
            <w:vAlign w:val="bottom"/>
          </w:tcPr>
          <w:p>
            <w:pPr>
              <w:spacing w:after="0"/>
              <w:rPr>
                <w:sz w:val="15"/>
                <w:szCs w:val="15"/>
                <w:color w:val="auto"/>
              </w:rPr>
            </w:pPr>
          </w:p>
        </w:tc>
        <w:tc>
          <w:tcPr>
            <w:tcW w:w="144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740" w:type="dxa"/>
            <w:vAlign w:val="bottom"/>
            <w:vMerge w:val="restart"/>
          </w:tcPr>
          <w:p>
            <w:pPr>
              <w:ind w:left="4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5"/>
                <w:szCs w:val="15"/>
                <w:color w:val="auto"/>
              </w:rPr>
            </w:pPr>
          </w:p>
        </w:tc>
        <w:tc>
          <w:tcPr>
            <w:tcW w:w="1860" w:type="dxa"/>
            <w:vAlign w:val="bottom"/>
            <w:vMerge w:val="restart"/>
          </w:tcPr>
          <w:p>
            <w:pPr>
              <w:jc w:val="right"/>
              <w:ind w:right="170"/>
              <w:spacing w:after="0"/>
              <w:rPr>
                <w:sz w:val="20"/>
                <w:szCs w:val="20"/>
                <w:color w:val="auto"/>
              </w:rPr>
            </w:pPr>
            <w:r>
              <w:rPr>
                <w:rFonts w:ascii="Arial" w:cs="Arial" w:eastAsia="Arial" w:hAnsi="Arial"/>
                <w:sz w:val="18"/>
                <w:szCs w:val="18"/>
                <w:color w:val="auto"/>
              </w:rPr>
              <w:t>4,482</w:t>
            </w:r>
          </w:p>
        </w:tc>
        <w:tc>
          <w:tcPr>
            <w:tcW w:w="0" w:type="dxa"/>
            <w:vAlign w:val="bottom"/>
          </w:tcPr>
          <w:p>
            <w:pPr>
              <w:spacing w:after="0"/>
              <w:rPr>
                <w:sz w:val="1"/>
                <w:szCs w:val="1"/>
                <w:color w:val="auto"/>
              </w:rPr>
            </w:pPr>
          </w:p>
        </w:tc>
      </w:tr>
      <w:tr>
        <w:trPr>
          <w:trHeight w:val="238"/>
        </w:trPr>
        <w:tc>
          <w:tcPr>
            <w:tcW w:w="3160" w:type="dxa"/>
            <w:vAlign w:val="bottom"/>
          </w:tcPr>
          <w:p>
            <w:pPr>
              <w:spacing w:after="0"/>
              <w:rPr>
                <w:sz w:val="20"/>
                <w:szCs w:val="20"/>
                <w:color w:val="auto"/>
              </w:rPr>
            </w:pPr>
            <w:r>
              <w:rPr>
                <w:rFonts w:ascii="Arial" w:cs="Arial" w:eastAsia="Arial" w:hAnsi="Arial"/>
                <w:sz w:val="18"/>
                <w:szCs w:val="18"/>
                <w:color w:val="auto"/>
              </w:rPr>
              <w:t>revenue</w:t>
            </w:r>
          </w:p>
        </w:tc>
        <w:tc>
          <w:tcPr>
            <w:tcW w:w="300" w:type="dxa"/>
            <w:vAlign w:val="bottom"/>
          </w:tcPr>
          <w:p>
            <w:pPr>
              <w:spacing w:after="0"/>
              <w:rPr>
                <w:sz w:val="20"/>
                <w:szCs w:val="20"/>
                <w:color w:val="auto"/>
              </w:rPr>
            </w:pPr>
          </w:p>
        </w:tc>
        <w:tc>
          <w:tcPr>
            <w:tcW w:w="13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4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8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3160" w:type="dxa"/>
            <w:vAlign w:val="bottom"/>
          </w:tcPr>
          <w:p>
            <w:pPr>
              <w:spacing w:after="0"/>
              <w:rPr>
                <w:sz w:val="20"/>
                <w:szCs w:val="20"/>
                <w:color w:val="auto"/>
              </w:rPr>
            </w:pPr>
            <w:r>
              <w:rPr>
                <w:rFonts w:ascii="Arial" w:cs="Arial" w:eastAsia="Arial" w:hAnsi="Arial"/>
                <w:sz w:val="18"/>
                <w:szCs w:val="18"/>
                <w:color w:val="auto"/>
              </w:rPr>
              <w:t>Intangible asset amortization (2)</w:t>
            </w: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4,953</w:t>
            </w: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4,953</w:t>
            </w: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3160" w:type="dxa"/>
            <w:vAlign w:val="bottom"/>
          </w:tcPr>
          <w:p>
            <w:pPr>
              <w:ind w:left="100"/>
              <w:spacing w:after="0"/>
              <w:rPr>
                <w:sz w:val="20"/>
                <w:szCs w:val="20"/>
                <w:color w:val="auto"/>
              </w:rPr>
            </w:pPr>
            <w:r>
              <w:rPr>
                <w:rFonts w:ascii="Arial" w:cs="Arial" w:eastAsia="Arial" w:hAnsi="Arial"/>
                <w:sz w:val="18"/>
                <w:szCs w:val="18"/>
                <w:color w:val="auto"/>
              </w:rPr>
              <w:t>Gross margin $</w:t>
            </w:r>
          </w:p>
        </w:tc>
        <w:tc>
          <w:tcPr>
            <w:tcW w:w="300" w:type="dxa"/>
            <w:vAlign w:val="bottom"/>
          </w:tcPr>
          <w:p>
            <w:pPr>
              <w:spacing w:after="0"/>
              <w:rPr>
                <w:sz w:val="18"/>
                <w:szCs w:val="18"/>
                <w:color w:val="auto"/>
              </w:rPr>
            </w:pPr>
          </w:p>
        </w:tc>
        <w:tc>
          <w:tcPr>
            <w:tcW w:w="1300" w:type="dxa"/>
            <w:vAlign w:val="bottom"/>
          </w:tcPr>
          <w:p>
            <w:pPr>
              <w:jc w:val="right"/>
              <w:ind w:right="250"/>
              <w:spacing w:after="0"/>
              <w:rPr>
                <w:sz w:val="20"/>
                <w:szCs w:val="20"/>
                <w:color w:val="auto"/>
              </w:rPr>
            </w:pPr>
            <w:r>
              <w:rPr>
                <w:rFonts w:ascii="Arial" w:cs="Arial" w:eastAsia="Arial" w:hAnsi="Arial"/>
                <w:sz w:val="18"/>
                <w:szCs w:val="18"/>
                <w:color w:val="auto"/>
              </w:rPr>
              <w:t>39,117</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186</w:t>
            </w:r>
          </w:p>
        </w:tc>
        <w:tc>
          <w:tcPr>
            <w:tcW w:w="30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4,953</w:t>
            </w:r>
          </w:p>
        </w:tc>
        <w:tc>
          <w:tcPr>
            <w:tcW w:w="22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860" w:type="dxa"/>
            <w:vAlign w:val="bottom"/>
          </w:tcPr>
          <w:p>
            <w:pPr>
              <w:jc w:val="right"/>
              <w:ind w:right="170"/>
              <w:spacing w:after="0"/>
              <w:rPr>
                <w:sz w:val="20"/>
                <w:szCs w:val="20"/>
                <w:color w:val="auto"/>
              </w:rPr>
            </w:pPr>
            <w:r>
              <w:rPr>
                <w:rFonts w:ascii="Arial" w:cs="Arial" w:eastAsia="Arial" w:hAnsi="Arial"/>
                <w:sz w:val="18"/>
                <w:szCs w:val="18"/>
                <w:color w:val="auto"/>
              </w:rPr>
              <w:t>44,256</w:t>
            </w:r>
          </w:p>
        </w:tc>
        <w:tc>
          <w:tcPr>
            <w:tcW w:w="0" w:type="dxa"/>
            <w:vAlign w:val="bottom"/>
          </w:tcPr>
          <w:p>
            <w:pPr>
              <w:spacing w:after="0"/>
              <w:rPr>
                <w:sz w:val="1"/>
                <w:szCs w:val="1"/>
                <w:color w:val="auto"/>
              </w:rPr>
            </w:pPr>
          </w:p>
        </w:tc>
      </w:tr>
      <w:tr>
        <w:trPr>
          <w:trHeight w:val="239"/>
        </w:trPr>
        <w:tc>
          <w:tcPr>
            <w:tcW w:w="3160" w:type="dxa"/>
            <w:vAlign w:val="bottom"/>
          </w:tcPr>
          <w:p>
            <w:pPr>
              <w:ind w:left="100"/>
              <w:spacing w:after="0"/>
              <w:rPr>
                <w:sz w:val="20"/>
                <w:szCs w:val="20"/>
                <w:color w:val="auto"/>
              </w:rPr>
            </w:pPr>
            <w:r>
              <w:rPr>
                <w:rFonts w:ascii="Arial" w:cs="Arial" w:eastAsia="Arial" w:hAnsi="Arial"/>
                <w:sz w:val="18"/>
                <w:szCs w:val="18"/>
                <w:color w:val="auto"/>
              </w:rPr>
              <w:t>Gross margin %</w:t>
            </w:r>
          </w:p>
        </w:tc>
        <w:tc>
          <w:tcPr>
            <w:tcW w:w="300" w:type="dxa"/>
            <w:vAlign w:val="bottom"/>
          </w:tcPr>
          <w:p>
            <w:pPr>
              <w:spacing w:after="0"/>
              <w:rPr>
                <w:sz w:val="20"/>
                <w:szCs w:val="20"/>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58 %</w:t>
            </w: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65 %</w:t>
            </w:r>
          </w:p>
        </w:tc>
        <w:tc>
          <w:tcPr>
            <w:tcW w:w="0" w:type="dxa"/>
            <w:vAlign w:val="bottom"/>
          </w:tcPr>
          <w:p>
            <w:pPr>
              <w:spacing w:after="0"/>
              <w:rPr>
                <w:sz w:val="1"/>
                <w:szCs w:val="1"/>
                <w:color w:val="auto"/>
              </w:rPr>
            </w:pPr>
          </w:p>
        </w:tc>
      </w:tr>
      <w:tr>
        <w:trPr>
          <w:trHeight w:val="477"/>
        </w:trPr>
        <w:tc>
          <w:tcPr>
            <w:tcW w:w="31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24"/>
                <w:szCs w:val="24"/>
                <w:color w:val="auto"/>
              </w:rPr>
            </w:pPr>
          </w:p>
        </w:tc>
        <w:tc>
          <w:tcPr>
            <w:tcW w:w="1300" w:type="dxa"/>
            <w:vAlign w:val="bottom"/>
          </w:tcPr>
          <w:p>
            <w:pPr>
              <w:jc w:val="right"/>
              <w:ind w:right="250"/>
              <w:spacing w:after="0"/>
              <w:rPr>
                <w:sz w:val="20"/>
                <w:szCs w:val="20"/>
                <w:color w:val="auto"/>
              </w:rPr>
            </w:pPr>
            <w:r>
              <w:rPr>
                <w:rFonts w:ascii="Arial" w:cs="Arial" w:eastAsia="Arial" w:hAnsi="Arial"/>
                <w:sz w:val="18"/>
                <w:szCs w:val="18"/>
                <w:color w:val="auto"/>
              </w:rPr>
              <w:t>9,166</w:t>
            </w:r>
          </w:p>
        </w:tc>
        <w:tc>
          <w:tcPr>
            <w:tcW w:w="1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642</w:t>
            </w:r>
          </w:p>
        </w:tc>
        <w:tc>
          <w:tcPr>
            <w:tcW w:w="300" w:type="dxa"/>
            <w:vAlign w:val="bottom"/>
          </w:tcPr>
          <w:p>
            <w:pPr>
              <w:spacing w:after="0"/>
              <w:rPr>
                <w:sz w:val="24"/>
                <w:szCs w:val="24"/>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1860" w:type="dxa"/>
            <w:vAlign w:val="bottom"/>
          </w:tcPr>
          <w:p>
            <w:pPr>
              <w:jc w:val="right"/>
              <w:ind w:right="170"/>
              <w:spacing w:after="0"/>
              <w:rPr>
                <w:sz w:val="20"/>
                <w:szCs w:val="20"/>
                <w:color w:val="auto"/>
              </w:rPr>
            </w:pPr>
            <w:r>
              <w:rPr>
                <w:rFonts w:ascii="Arial" w:cs="Arial" w:eastAsia="Arial" w:hAnsi="Arial"/>
                <w:sz w:val="18"/>
                <w:szCs w:val="18"/>
                <w:color w:val="auto"/>
              </w:rPr>
              <w:t>8,524</w:t>
            </w:r>
          </w:p>
        </w:tc>
        <w:tc>
          <w:tcPr>
            <w:tcW w:w="0" w:type="dxa"/>
            <w:vAlign w:val="bottom"/>
          </w:tcPr>
          <w:p>
            <w:pPr>
              <w:spacing w:after="0"/>
              <w:rPr>
                <w:sz w:val="1"/>
                <w:szCs w:val="1"/>
                <w:color w:val="auto"/>
              </w:rPr>
            </w:pPr>
          </w:p>
        </w:tc>
      </w:tr>
      <w:tr>
        <w:trPr>
          <w:trHeight w:val="229"/>
        </w:trPr>
        <w:tc>
          <w:tcPr>
            <w:tcW w:w="3160" w:type="dxa"/>
            <w:vAlign w:val="bottom"/>
          </w:tcPr>
          <w:p>
            <w:pPr>
              <w:spacing w:after="0"/>
              <w:rPr>
                <w:sz w:val="20"/>
                <w:szCs w:val="20"/>
                <w:color w:val="auto"/>
              </w:rPr>
            </w:pPr>
            <w:r>
              <w:rPr>
                <w:rFonts w:ascii="Arial" w:cs="Arial" w:eastAsia="Arial" w:hAnsi="Arial"/>
                <w:sz w:val="18"/>
                <w:szCs w:val="18"/>
                <w:color w:val="auto"/>
              </w:rPr>
              <w:t>Selling and marketing</w:t>
            </w:r>
          </w:p>
        </w:tc>
        <w:tc>
          <w:tcPr>
            <w:tcW w:w="300" w:type="dxa"/>
            <w:vAlign w:val="bottom"/>
          </w:tcPr>
          <w:p>
            <w:pPr>
              <w:spacing w:after="0"/>
              <w:rPr>
                <w:sz w:val="19"/>
                <w:szCs w:val="19"/>
                <w:color w:val="auto"/>
              </w:rPr>
            </w:pPr>
          </w:p>
        </w:tc>
        <w:tc>
          <w:tcPr>
            <w:tcW w:w="1300" w:type="dxa"/>
            <w:vAlign w:val="bottom"/>
          </w:tcPr>
          <w:p>
            <w:pPr>
              <w:jc w:val="right"/>
              <w:ind w:right="250"/>
              <w:spacing w:after="0"/>
              <w:rPr>
                <w:sz w:val="20"/>
                <w:szCs w:val="20"/>
                <w:color w:val="auto"/>
              </w:rPr>
            </w:pPr>
            <w:r>
              <w:rPr>
                <w:rFonts w:ascii="Arial" w:cs="Arial" w:eastAsia="Arial" w:hAnsi="Arial"/>
                <w:sz w:val="18"/>
                <w:szCs w:val="18"/>
                <w:color w:val="auto"/>
              </w:rPr>
              <w:t>23,754</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1,216</w:t>
            </w:r>
          </w:p>
        </w:tc>
        <w:tc>
          <w:tcPr>
            <w:tcW w:w="300" w:type="dxa"/>
            <w:vAlign w:val="bottom"/>
          </w:tcPr>
          <w:p>
            <w:pPr>
              <w:spacing w:after="0"/>
              <w:rPr>
                <w:sz w:val="19"/>
                <w:szCs w:val="19"/>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860" w:type="dxa"/>
            <w:vAlign w:val="bottom"/>
          </w:tcPr>
          <w:p>
            <w:pPr>
              <w:jc w:val="right"/>
              <w:ind w:right="170"/>
              <w:spacing w:after="0"/>
              <w:rPr>
                <w:sz w:val="20"/>
                <w:szCs w:val="20"/>
                <w:color w:val="auto"/>
              </w:rPr>
            </w:pPr>
            <w:r>
              <w:rPr>
                <w:rFonts w:ascii="Arial" w:cs="Arial" w:eastAsia="Arial" w:hAnsi="Arial"/>
                <w:sz w:val="18"/>
                <w:szCs w:val="18"/>
                <w:color w:val="auto"/>
              </w:rPr>
              <w:t>22,538</w:t>
            </w:r>
          </w:p>
        </w:tc>
        <w:tc>
          <w:tcPr>
            <w:tcW w:w="0" w:type="dxa"/>
            <w:vAlign w:val="bottom"/>
          </w:tcPr>
          <w:p>
            <w:pPr>
              <w:spacing w:after="0"/>
              <w:rPr>
                <w:sz w:val="1"/>
                <w:szCs w:val="1"/>
                <w:color w:val="auto"/>
              </w:rPr>
            </w:pPr>
          </w:p>
        </w:tc>
      </w:tr>
      <w:tr>
        <w:trPr>
          <w:trHeight w:val="229"/>
        </w:trPr>
        <w:tc>
          <w:tcPr>
            <w:tcW w:w="31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19"/>
                <w:szCs w:val="19"/>
                <w:color w:val="auto"/>
              </w:rPr>
            </w:pPr>
          </w:p>
        </w:tc>
        <w:tc>
          <w:tcPr>
            <w:tcW w:w="1300" w:type="dxa"/>
            <w:vAlign w:val="bottom"/>
          </w:tcPr>
          <w:p>
            <w:pPr>
              <w:jc w:val="right"/>
              <w:ind w:right="250"/>
              <w:spacing w:after="0"/>
              <w:rPr>
                <w:sz w:val="20"/>
                <w:szCs w:val="20"/>
                <w:color w:val="auto"/>
              </w:rPr>
            </w:pPr>
            <w:r>
              <w:rPr>
                <w:rFonts w:ascii="Arial" w:cs="Arial" w:eastAsia="Arial" w:hAnsi="Arial"/>
                <w:sz w:val="18"/>
                <w:szCs w:val="18"/>
                <w:color w:val="auto"/>
              </w:rPr>
              <w:t>20,912</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2,890</w:t>
            </w:r>
          </w:p>
        </w:tc>
        <w:tc>
          <w:tcPr>
            <w:tcW w:w="300" w:type="dxa"/>
            <w:vAlign w:val="bottom"/>
          </w:tcPr>
          <w:p>
            <w:pPr>
              <w:spacing w:after="0"/>
              <w:rPr>
                <w:sz w:val="19"/>
                <w:szCs w:val="19"/>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860" w:type="dxa"/>
            <w:vAlign w:val="bottom"/>
          </w:tcPr>
          <w:p>
            <w:pPr>
              <w:jc w:val="right"/>
              <w:ind w:right="170"/>
              <w:spacing w:after="0"/>
              <w:rPr>
                <w:sz w:val="20"/>
                <w:szCs w:val="20"/>
                <w:color w:val="auto"/>
              </w:rPr>
            </w:pPr>
            <w:r>
              <w:rPr>
                <w:rFonts w:ascii="Arial" w:cs="Arial" w:eastAsia="Arial" w:hAnsi="Arial"/>
                <w:sz w:val="18"/>
                <w:szCs w:val="18"/>
                <w:color w:val="auto"/>
              </w:rPr>
              <w:t>18,022</w:t>
            </w:r>
          </w:p>
        </w:tc>
        <w:tc>
          <w:tcPr>
            <w:tcW w:w="0" w:type="dxa"/>
            <w:vAlign w:val="bottom"/>
          </w:tcPr>
          <w:p>
            <w:pPr>
              <w:spacing w:after="0"/>
              <w:rPr>
                <w:sz w:val="1"/>
                <w:szCs w:val="1"/>
                <w:color w:val="auto"/>
              </w:rPr>
            </w:pPr>
          </w:p>
        </w:tc>
      </w:tr>
      <w:tr>
        <w:trPr>
          <w:trHeight w:val="235"/>
        </w:trPr>
        <w:tc>
          <w:tcPr>
            <w:tcW w:w="3160" w:type="dxa"/>
            <w:vAlign w:val="bottom"/>
          </w:tcPr>
          <w:p>
            <w:pPr>
              <w:spacing w:after="0"/>
              <w:rPr>
                <w:sz w:val="20"/>
                <w:szCs w:val="20"/>
                <w:color w:val="auto"/>
              </w:rPr>
            </w:pPr>
            <w:r>
              <w:rPr>
                <w:rFonts w:ascii="Arial" w:cs="Arial" w:eastAsia="Arial" w:hAnsi="Arial"/>
                <w:sz w:val="18"/>
                <w:szCs w:val="18"/>
                <w:color w:val="auto"/>
              </w:rPr>
              <w:t>Intangible asset amortization</w:t>
            </w: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533</w:t>
            </w: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533</w:t>
            </w: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6"/>
        </w:trPr>
        <w:tc>
          <w:tcPr>
            <w:tcW w:w="3160" w:type="dxa"/>
            <w:vAlign w:val="bottom"/>
          </w:tcPr>
          <w:p>
            <w:pPr>
              <w:ind w:left="100"/>
              <w:spacing w:after="0" w:line="156" w:lineRule="exact"/>
              <w:rPr>
                <w:sz w:val="20"/>
                <w:szCs w:val="20"/>
                <w:color w:val="auto"/>
              </w:rPr>
            </w:pPr>
            <w:r>
              <w:rPr>
                <w:rFonts w:ascii="Arial" w:cs="Arial" w:eastAsia="Arial" w:hAnsi="Arial"/>
                <w:sz w:val="18"/>
                <w:szCs w:val="18"/>
                <w:color w:val="auto"/>
              </w:rPr>
              <w:t>Total operating expenses excluding</w:t>
            </w:r>
          </w:p>
        </w:tc>
        <w:tc>
          <w:tcPr>
            <w:tcW w:w="300" w:type="dxa"/>
            <w:vAlign w:val="bottom"/>
          </w:tcPr>
          <w:p>
            <w:pPr>
              <w:spacing w:after="0"/>
              <w:rPr>
                <w:sz w:val="13"/>
                <w:szCs w:val="13"/>
                <w:color w:val="auto"/>
              </w:rPr>
            </w:pPr>
          </w:p>
        </w:tc>
        <w:tc>
          <w:tcPr>
            <w:tcW w:w="1300" w:type="dxa"/>
            <w:vAlign w:val="bottom"/>
            <w:vMerge w:val="restart"/>
          </w:tcPr>
          <w:p>
            <w:pPr>
              <w:jc w:val="right"/>
              <w:ind w:right="250"/>
              <w:spacing w:after="0"/>
              <w:rPr>
                <w:sz w:val="20"/>
                <w:szCs w:val="20"/>
                <w:color w:val="auto"/>
              </w:rPr>
            </w:pPr>
            <w:r>
              <w:rPr>
                <w:rFonts w:ascii="Arial" w:cs="Arial" w:eastAsia="Arial" w:hAnsi="Arial"/>
                <w:sz w:val="18"/>
                <w:szCs w:val="18"/>
                <w:color w:val="auto"/>
              </w:rPr>
              <w:t>54,365</w:t>
            </w:r>
          </w:p>
        </w:tc>
        <w:tc>
          <w:tcPr>
            <w:tcW w:w="140" w:type="dxa"/>
            <w:vAlign w:val="bottom"/>
          </w:tcPr>
          <w:p>
            <w:pPr>
              <w:spacing w:after="0"/>
              <w:rPr>
                <w:sz w:val="13"/>
                <w:szCs w:val="13"/>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4,748</w:t>
            </w:r>
          </w:p>
        </w:tc>
        <w:tc>
          <w:tcPr>
            <w:tcW w:w="300" w:type="dxa"/>
            <w:vAlign w:val="bottom"/>
          </w:tcPr>
          <w:p>
            <w:pPr>
              <w:spacing w:after="0"/>
              <w:rPr>
                <w:sz w:val="13"/>
                <w:szCs w:val="13"/>
                <w:color w:val="auto"/>
              </w:rPr>
            </w:pPr>
          </w:p>
        </w:tc>
        <w:tc>
          <w:tcPr>
            <w:tcW w:w="1440" w:type="dxa"/>
            <w:vAlign w:val="bottom"/>
            <w:vMerge w:val="restart"/>
          </w:tcPr>
          <w:p>
            <w:pPr>
              <w:jc w:val="right"/>
              <w:ind w:right="30"/>
              <w:spacing w:after="0"/>
              <w:rPr>
                <w:sz w:val="20"/>
                <w:szCs w:val="20"/>
                <w:color w:val="auto"/>
              </w:rPr>
            </w:pPr>
            <w:r>
              <w:rPr>
                <w:rFonts w:ascii="Arial" w:cs="Arial" w:eastAsia="Arial" w:hAnsi="Arial"/>
                <w:sz w:val="18"/>
                <w:szCs w:val="18"/>
                <w:color w:val="auto"/>
              </w:rPr>
              <w:t>533</w:t>
            </w:r>
          </w:p>
        </w:tc>
        <w:tc>
          <w:tcPr>
            <w:tcW w:w="220" w:type="dxa"/>
            <w:vAlign w:val="bottom"/>
          </w:tcPr>
          <w:p>
            <w:pPr>
              <w:spacing w:after="0"/>
              <w:rPr>
                <w:sz w:val="13"/>
                <w:szCs w:val="13"/>
                <w:color w:val="auto"/>
              </w:rPr>
            </w:pPr>
          </w:p>
        </w:tc>
        <w:tc>
          <w:tcPr>
            <w:tcW w:w="740" w:type="dxa"/>
            <w:vAlign w:val="bottom"/>
            <w:vMerge w:val="restart"/>
          </w:tcPr>
          <w:p>
            <w:pPr>
              <w:ind w:left="4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3"/>
                <w:szCs w:val="13"/>
                <w:color w:val="auto"/>
              </w:rPr>
            </w:pPr>
          </w:p>
        </w:tc>
        <w:tc>
          <w:tcPr>
            <w:tcW w:w="1860" w:type="dxa"/>
            <w:vAlign w:val="bottom"/>
            <w:vMerge w:val="restart"/>
          </w:tcPr>
          <w:p>
            <w:pPr>
              <w:jc w:val="right"/>
              <w:ind w:right="170"/>
              <w:spacing w:after="0"/>
              <w:rPr>
                <w:sz w:val="20"/>
                <w:szCs w:val="20"/>
                <w:color w:val="auto"/>
              </w:rPr>
            </w:pPr>
            <w:r>
              <w:rPr>
                <w:rFonts w:ascii="Arial" w:cs="Arial" w:eastAsia="Arial" w:hAnsi="Arial"/>
                <w:sz w:val="18"/>
                <w:szCs w:val="18"/>
                <w:color w:val="auto"/>
              </w:rPr>
              <w:t>49,084</w:t>
            </w:r>
          </w:p>
        </w:tc>
        <w:tc>
          <w:tcPr>
            <w:tcW w:w="0" w:type="dxa"/>
            <w:vAlign w:val="bottom"/>
          </w:tcPr>
          <w:p>
            <w:pPr>
              <w:spacing w:after="0"/>
              <w:rPr>
                <w:sz w:val="1"/>
                <w:szCs w:val="1"/>
                <w:color w:val="auto"/>
              </w:rPr>
            </w:pPr>
          </w:p>
        </w:tc>
      </w:tr>
      <w:tr>
        <w:trPr>
          <w:trHeight w:val="243"/>
        </w:trPr>
        <w:tc>
          <w:tcPr>
            <w:tcW w:w="3160" w:type="dxa"/>
            <w:vAlign w:val="bottom"/>
          </w:tcPr>
          <w:p>
            <w:pPr>
              <w:ind w:left="100"/>
              <w:spacing w:after="0"/>
              <w:rPr>
                <w:sz w:val="20"/>
                <w:szCs w:val="20"/>
                <w:color w:val="auto"/>
              </w:rPr>
            </w:pPr>
            <w:r>
              <w:rPr>
                <w:rFonts w:ascii="Arial" w:cs="Arial" w:eastAsia="Arial" w:hAnsi="Arial"/>
                <w:sz w:val="18"/>
                <w:szCs w:val="18"/>
                <w:color w:val="auto"/>
              </w:rPr>
              <w:t>cost of revenue (3)</w:t>
            </w:r>
          </w:p>
        </w:tc>
        <w:tc>
          <w:tcPr>
            <w:tcW w:w="3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vMerge w:val="continue"/>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vMerge w:val="continue"/>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vMerge w:val="continue"/>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160" w:type="dxa"/>
            <w:vAlign w:val="bottom"/>
          </w:tcPr>
          <w:p>
            <w:pPr>
              <w:spacing w:after="0"/>
              <w:rPr>
                <w:sz w:val="20"/>
                <w:szCs w:val="20"/>
                <w:color w:val="auto"/>
              </w:rPr>
            </w:pPr>
            <w:r>
              <w:rPr>
                <w:rFonts w:ascii="Arial" w:cs="Arial" w:eastAsia="Arial" w:hAnsi="Arial"/>
                <w:sz w:val="18"/>
                <w:szCs w:val="18"/>
                <w:color w:val="auto"/>
              </w:rPr>
              <w:t>Loss from operations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(15,248)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4,934</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5,486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(4,828)</w:t>
            </w:r>
          </w:p>
        </w:tc>
        <w:tc>
          <w:tcPr>
            <w:tcW w:w="0" w:type="dxa"/>
            <w:vAlign w:val="bottom"/>
          </w:tcPr>
          <w:p>
            <w:pPr>
              <w:spacing w:after="0"/>
              <w:rPr>
                <w:sz w:val="1"/>
                <w:szCs w:val="1"/>
                <w:color w:val="auto"/>
              </w:rPr>
            </w:pPr>
          </w:p>
        </w:tc>
      </w:tr>
      <w:tr>
        <w:trPr>
          <w:trHeight w:val="21"/>
        </w:trPr>
        <w:tc>
          <w:tcPr>
            <w:tcW w:w="3160" w:type="dxa"/>
            <w:vAlign w:val="bottom"/>
            <w:vMerge w:val="restart"/>
          </w:tcPr>
          <w:p>
            <w:pPr>
              <w:spacing w:after="0"/>
              <w:rPr>
                <w:sz w:val="20"/>
                <w:szCs w:val="20"/>
                <w:color w:val="auto"/>
              </w:rPr>
            </w:pPr>
            <w:r>
              <w:rPr>
                <w:rFonts w:ascii="Arial" w:cs="Arial" w:eastAsia="Arial" w:hAnsi="Arial"/>
                <w:sz w:val="18"/>
                <w:szCs w:val="18"/>
                <w:b w:val="1"/>
                <w:bCs w:val="1"/>
                <w:color w:val="auto"/>
              </w:rPr>
              <w:t>Three Months Ended March 31, 2021</w:t>
            </w: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7"/>
        </w:trPr>
        <w:tc>
          <w:tcPr>
            <w:tcW w:w="31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Total revenue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250"/>
              <w:spacing w:after="0"/>
              <w:rPr>
                <w:sz w:val="20"/>
                <w:szCs w:val="20"/>
                <w:color w:val="auto"/>
              </w:rPr>
            </w:pPr>
            <w:r>
              <w:rPr>
                <w:rFonts w:ascii="Arial" w:cs="Arial" w:eastAsia="Arial" w:hAnsi="Arial"/>
                <w:sz w:val="18"/>
                <w:szCs w:val="18"/>
                <w:color w:val="auto"/>
              </w:rPr>
              <w:t>36,703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170"/>
              <w:spacing w:after="0"/>
              <w:rPr>
                <w:sz w:val="20"/>
                <w:szCs w:val="20"/>
                <w:color w:val="auto"/>
              </w:rPr>
            </w:pPr>
            <w:r>
              <w:rPr>
                <w:rFonts w:ascii="Arial" w:cs="Arial" w:eastAsia="Arial" w:hAnsi="Arial"/>
                <w:sz w:val="18"/>
                <w:szCs w:val="18"/>
                <w:color w:val="auto"/>
              </w:rPr>
              <w:t>36,703</w:t>
            </w: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Cost of testing revenue</w:t>
            </w:r>
          </w:p>
        </w:tc>
        <w:tc>
          <w:tcPr>
            <w:tcW w:w="300" w:type="dxa"/>
            <w:vAlign w:val="bottom"/>
          </w:tcPr>
          <w:p>
            <w:pPr>
              <w:spacing w:after="0"/>
              <w:rPr>
                <w:sz w:val="19"/>
                <w:szCs w:val="19"/>
                <w:color w:val="auto"/>
              </w:rPr>
            </w:pPr>
          </w:p>
        </w:tc>
        <w:tc>
          <w:tcPr>
            <w:tcW w:w="1300" w:type="dxa"/>
            <w:vAlign w:val="bottom"/>
          </w:tcPr>
          <w:p>
            <w:pPr>
              <w:jc w:val="right"/>
              <w:ind w:right="250"/>
              <w:spacing w:after="0"/>
              <w:rPr>
                <w:sz w:val="20"/>
                <w:szCs w:val="20"/>
                <w:color w:val="auto"/>
              </w:rPr>
            </w:pPr>
            <w:r>
              <w:rPr>
                <w:rFonts w:ascii="Arial" w:cs="Arial" w:eastAsia="Arial" w:hAnsi="Arial"/>
                <w:sz w:val="18"/>
                <w:szCs w:val="18"/>
                <w:color w:val="auto"/>
              </w:rPr>
              <w:t>10,832</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860" w:type="dxa"/>
            <w:vAlign w:val="bottom"/>
          </w:tcPr>
          <w:p>
            <w:pPr>
              <w:jc w:val="right"/>
              <w:ind w:right="170"/>
              <w:spacing w:after="0"/>
              <w:rPr>
                <w:sz w:val="20"/>
                <w:szCs w:val="20"/>
                <w:color w:val="auto"/>
              </w:rPr>
            </w:pPr>
            <w:r>
              <w:rPr>
                <w:rFonts w:ascii="Arial" w:cs="Arial" w:eastAsia="Arial" w:hAnsi="Arial"/>
                <w:sz w:val="18"/>
                <w:szCs w:val="18"/>
                <w:color w:val="auto"/>
              </w:rPr>
              <w:t>10,832</w:t>
            </w:r>
          </w:p>
        </w:tc>
        <w:tc>
          <w:tcPr>
            <w:tcW w:w="0" w:type="dxa"/>
            <w:vAlign w:val="bottom"/>
          </w:tcPr>
          <w:p>
            <w:pPr>
              <w:spacing w:after="0"/>
              <w:rPr>
                <w:sz w:val="1"/>
                <w:szCs w:val="1"/>
                <w:color w:val="auto"/>
              </w:rPr>
            </w:pPr>
          </w:p>
        </w:tc>
      </w:tr>
      <w:tr>
        <w:trPr>
          <w:trHeight w:val="229"/>
        </w:trPr>
        <w:tc>
          <w:tcPr>
            <w:tcW w:w="3160" w:type="dxa"/>
            <w:vAlign w:val="bottom"/>
          </w:tcPr>
          <w:p>
            <w:pPr>
              <w:spacing w:after="0"/>
              <w:rPr>
                <w:sz w:val="20"/>
                <w:szCs w:val="20"/>
                <w:color w:val="auto"/>
              </w:rPr>
            </w:pPr>
            <w:r>
              <w:rPr>
                <w:rFonts w:ascii="Arial" w:cs="Arial" w:eastAsia="Arial" w:hAnsi="Arial"/>
                <w:sz w:val="18"/>
                <w:szCs w:val="18"/>
                <w:color w:val="auto"/>
              </w:rPr>
              <w:t>Cost of product revenue</w:t>
            </w:r>
          </w:p>
        </w:tc>
        <w:tc>
          <w:tcPr>
            <w:tcW w:w="300" w:type="dxa"/>
            <w:vAlign w:val="bottom"/>
          </w:tcPr>
          <w:p>
            <w:pPr>
              <w:spacing w:after="0"/>
              <w:rPr>
                <w:sz w:val="19"/>
                <w:szCs w:val="19"/>
                <w:color w:val="auto"/>
              </w:rPr>
            </w:pPr>
          </w:p>
        </w:tc>
        <w:tc>
          <w:tcPr>
            <w:tcW w:w="1300" w:type="dxa"/>
            <w:vAlign w:val="bottom"/>
          </w:tcPr>
          <w:p>
            <w:pPr>
              <w:jc w:val="right"/>
              <w:ind w:right="250"/>
              <w:spacing w:after="0"/>
              <w:rPr>
                <w:sz w:val="20"/>
                <w:szCs w:val="20"/>
                <w:color w:val="auto"/>
              </w:rPr>
            </w:pPr>
            <w:r>
              <w:rPr>
                <w:rFonts w:ascii="Arial" w:cs="Arial" w:eastAsia="Arial" w:hAnsi="Arial"/>
                <w:sz w:val="18"/>
                <w:szCs w:val="18"/>
                <w:color w:val="auto"/>
              </w:rPr>
              <w:t>1,490</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860" w:type="dxa"/>
            <w:vAlign w:val="bottom"/>
          </w:tcPr>
          <w:p>
            <w:pPr>
              <w:jc w:val="right"/>
              <w:ind w:right="170"/>
              <w:spacing w:after="0"/>
              <w:rPr>
                <w:sz w:val="20"/>
                <w:szCs w:val="20"/>
                <w:color w:val="auto"/>
              </w:rPr>
            </w:pPr>
            <w:r>
              <w:rPr>
                <w:rFonts w:ascii="Arial" w:cs="Arial" w:eastAsia="Arial" w:hAnsi="Arial"/>
                <w:sz w:val="18"/>
                <w:szCs w:val="18"/>
                <w:color w:val="auto"/>
              </w:rPr>
              <w:t>1,490</w:t>
            </w:r>
          </w:p>
        </w:tc>
        <w:tc>
          <w:tcPr>
            <w:tcW w:w="0" w:type="dxa"/>
            <w:vAlign w:val="bottom"/>
          </w:tcPr>
          <w:p>
            <w:pPr>
              <w:spacing w:after="0"/>
              <w:rPr>
                <w:sz w:val="1"/>
                <w:szCs w:val="1"/>
                <w:color w:val="auto"/>
              </w:rPr>
            </w:pPr>
          </w:p>
        </w:tc>
      </w:tr>
      <w:tr>
        <w:trPr>
          <w:trHeight w:val="181"/>
        </w:trPr>
        <w:tc>
          <w:tcPr>
            <w:tcW w:w="3160" w:type="dxa"/>
            <w:vAlign w:val="bottom"/>
          </w:tcPr>
          <w:p>
            <w:pPr>
              <w:spacing w:after="0" w:line="181" w:lineRule="exact"/>
              <w:rPr>
                <w:sz w:val="20"/>
                <w:szCs w:val="20"/>
                <w:color w:val="auto"/>
              </w:rPr>
            </w:pPr>
            <w:r>
              <w:rPr>
                <w:rFonts w:ascii="Arial" w:cs="Arial" w:eastAsia="Arial" w:hAnsi="Arial"/>
                <w:sz w:val="18"/>
                <w:szCs w:val="18"/>
                <w:color w:val="auto"/>
              </w:rPr>
              <w:t>Cost of biopharmaceutical and other</w:t>
            </w:r>
          </w:p>
        </w:tc>
        <w:tc>
          <w:tcPr>
            <w:tcW w:w="300" w:type="dxa"/>
            <w:vAlign w:val="bottom"/>
          </w:tcPr>
          <w:p>
            <w:pPr>
              <w:spacing w:after="0"/>
              <w:rPr>
                <w:sz w:val="15"/>
                <w:szCs w:val="15"/>
                <w:color w:val="auto"/>
              </w:rPr>
            </w:pPr>
          </w:p>
        </w:tc>
        <w:tc>
          <w:tcPr>
            <w:tcW w:w="1300" w:type="dxa"/>
            <w:vAlign w:val="bottom"/>
            <w:vMerge w:val="restart"/>
          </w:tcPr>
          <w:p>
            <w:pPr>
              <w:jc w:val="right"/>
              <w:ind w:right="250"/>
              <w:spacing w:after="0"/>
              <w:rPr>
                <w:sz w:val="20"/>
                <w:szCs w:val="20"/>
                <w:color w:val="auto"/>
              </w:rPr>
            </w:pPr>
            <w:r>
              <w:rPr>
                <w:rFonts w:ascii="Arial" w:cs="Arial" w:eastAsia="Arial" w:hAnsi="Arial"/>
                <w:sz w:val="18"/>
                <w:szCs w:val="18"/>
                <w:color w:val="auto"/>
              </w:rPr>
              <w:t>81</w:t>
            </w:r>
          </w:p>
        </w:tc>
        <w:tc>
          <w:tcPr>
            <w:tcW w:w="14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144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740" w:type="dxa"/>
            <w:vAlign w:val="bottom"/>
            <w:vMerge w:val="restart"/>
          </w:tcPr>
          <w:p>
            <w:pPr>
              <w:ind w:left="4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5"/>
                <w:szCs w:val="15"/>
                <w:color w:val="auto"/>
              </w:rPr>
            </w:pPr>
          </w:p>
        </w:tc>
        <w:tc>
          <w:tcPr>
            <w:tcW w:w="1860" w:type="dxa"/>
            <w:vAlign w:val="bottom"/>
            <w:vMerge w:val="restart"/>
          </w:tcPr>
          <w:p>
            <w:pPr>
              <w:jc w:val="right"/>
              <w:ind w:right="17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38"/>
        </w:trPr>
        <w:tc>
          <w:tcPr>
            <w:tcW w:w="3160" w:type="dxa"/>
            <w:vAlign w:val="bottom"/>
          </w:tcPr>
          <w:p>
            <w:pPr>
              <w:spacing w:after="0"/>
              <w:rPr>
                <w:sz w:val="20"/>
                <w:szCs w:val="20"/>
                <w:color w:val="auto"/>
              </w:rPr>
            </w:pPr>
            <w:r>
              <w:rPr>
                <w:rFonts w:ascii="Arial" w:cs="Arial" w:eastAsia="Arial" w:hAnsi="Arial"/>
                <w:sz w:val="18"/>
                <w:szCs w:val="18"/>
                <w:color w:val="auto"/>
              </w:rPr>
              <w:t>revenue</w:t>
            </w:r>
          </w:p>
        </w:tc>
        <w:tc>
          <w:tcPr>
            <w:tcW w:w="300" w:type="dxa"/>
            <w:vAlign w:val="bottom"/>
          </w:tcPr>
          <w:p>
            <w:pPr>
              <w:spacing w:after="0"/>
              <w:rPr>
                <w:sz w:val="20"/>
                <w:szCs w:val="20"/>
                <w:color w:val="auto"/>
              </w:rPr>
            </w:pPr>
          </w:p>
        </w:tc>
        <w:tc>
          <w:tcPr>
            <w:tcW w:w="13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4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8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3160" w:type="dxa"/>
            <w:vAlign w:val="bottom"/>
          </w:tcPr>
          <w:p>
            <w:pPr>
              <w:spacing w:after="0"/>
              <w:rPr>
                <w:sz w:val="20"/>
                <w:szCs w:val="20"/>
                <w:color w:val="auto"/>
              </w:rPr>
            </w:pPr>
            <w:r>
              <w:rPr>
                <w:rFonts w:ascii="Arial" w:cs="Arial" w:eastAsia="Arial" w:hAnsi="Arial"/>
                <w:sz w:val="18"/>
                <w:szCs w:val="18"/>
                <w:color w:val="auto"/>
              </w:rPr>
              <w:t>Intangible asset amortization (2)</w:t>
            </w: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1,636</w:t>
            </w: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1,636</w:t>
            </w: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3160" w:type="dxa"/>
            <w:vAlign w:val="bottom"/>
          </w:tcPr>
          <w:p>
            <w:pPr>
              <w:spacing w:after="0"/>
              <w:rPr>
                <w:sz w:val="20"/>
                <w:szCs w:val="20"/>
                <w:color w:val="auto"/>
              </w:rPr>
            </w:pPr>
            <w:r>
              <w:rPr>
                <w:rFonts w:ascii="Arial" w:cs="Arial" w:eastAsia="Arial" w:hAnsi="Arial"/>
                <w:sz w:val="18"/>
                <w:szCs w:val="18"/>
                <w:color w:val="auto"/>
              </w:rPr>
              <w:t>Gross margin $</w:t>
            </w:r>
          </w:p>
        </w:tc>
        <w:tc>
          <w:tcPr>
            <w:tcW w:w="300" w:type="dxa"/>
            <w:vAlign w:val="bottom"/>
          </w:tcPr>
          <w:p>
            <w:pPr>
              <w:spacing w:after="0"/>
              <w:rPr>
                <w:sz w:val="18"/>
                <w:szCs w:val="18"/>
                <w:color w:val="auto"/>
              </w:rPr>
            </w:pPr>
          </w:p>
        </w:tc>
        <w:tc>
          <w:tcPr>
            <w:tcW w:w="1300" w:type="dxa"/>
            <w:vAlign w:val="bottom"/>
          </w:tcPr>
          <w:p>
            <w:pPr>
              <w:jc w:val="right"/>
              <w:ind w:right="250"/>
              <w:spacing w:after="0"/>
              <w:rPr>
                <w:sz w:val="20"/>
                <w:szCs w:val="20"/>
                <w:color w:val="auto"/>
              </w:rPr>
            </w:pPr>
            <w:r>
              <w:rPr>
                <w:rFonts w:ascii="Arial" w:cs="Arial" w:eastAsia="Arial" w:hAnsi="Arial"/>
                <w:sz w:val="18"/>
                <w:szCs w:val="18"/>
                <w:color w:val="auto"/>
              </w:rPr>
              <w:t>22,664</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1,636</w:t>
            </w:r>
          </w:p>
        </w:tc>
        <w:tc>
          <w:tcPr>
            <w:tcW w:w="22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860" w:type="dxa"/>
            <w:vAlign w:val="bottom"/>
          </w:tcPr>
          <w:p>
            <w:pPr>
              <w:jc w:val="right"/>
              <w:ind w:right="170"/>
              <w:spacing w:after="0"/>
              <w:rPr>
                <w:sz w:val="20"/>
                <w:szCs w:val="20"/>
                <w:color w:val="auto"/>
              </w:rPr>
            </w:pPr>
            <w:r>
              <w:rPr>
                <w:rFonts w:ascii="Arial" w:cs="Arial" w:eastAsia="Arial" w:hAnsi="Arial"/>
                <w:sz w:val="18"/>
                <w:szCs w:val="18"/>
                <w:color w:val="auto"/>
              </w:rPr>
              <w:t>24,300</w:t>
            </w:r>
          </w:p>
        </w:tc>
        <w:tc>
          <w:tcPr>
            <w:tcW w:w="0" w:type="dxa"/>
            <w:vAlign w:val="bottom"/>
          </w:tcPr>
          <w:p>
            <w:pPr>
              <w:spacing w:after="0"/>
              <w:rPr>
                <w:sz w:val="1"/>
                <w:szCs w:val="1"/>
                <w:color w:val="auto"/>
              </w:rPr>
            </w:pPr>
          </w:p>
        </w:tc>
      </w:tr>
      <w:tr>
        <w:trPr>
          <w:trHeight w:val="239"/>
        </w:trPr>
        <w:tc>
          <w:tcPr>
            <w:tcW w:w="3160" w:type="dxa"/>
            <w:vAlign w:val="bottom"/>
          </w:tcPr>
          <w:p>
            <w:pPr>
              <w:spacing w:after="0"/>
              <w:rPr>
                <w:sz w:val="20"/>
                <w:szCs w:val="20"/>
                <w:color w:val="auto"/>
              </w:rPr>
            </w:pPr>
            <w:r>
              <w:rPr>
                <w:rFonts w:ascii="Arial" w:cs="Arial" w:eastAsia="Arial" w:hAnsi="Arial"/>
                <w:sz w:val="18"/>
                <w:szCs w:val="18"/>
                <w:color w:val="auto"/>
              </w:rPr>
              <w:t>Gross margin %</w:t>
            </w:r>
          </w:p>
        </w:tc>
        <w:tc>
          <w:tcPr>
            <w:tcW w:w="300" w:type="dxa"/>
            <w:vAlign w:val="bottom"/>
          </w:tcPr>
          <w:p>
            <w:pPr>
              <w:spacing w:after="0"/>
              <w:rPr>
                <w:sz w:val="20"/>
                <w:szCs w:val="20"/>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62 %</w:t>
            </w: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66 %</w:t>
            </w:r>
          </w:p>
        </w:tc>
        <w:tc>
          <w:tcPr>
            <w:tcW w:w="0" w:type="dxa"/>
            <w:vAlign w:val="bottom"/>
          </w:tcPr>
          <w:p>
            <w:pPr>
              <w:spacing w:after="0"/>
              <w:rPr>
                <w:sz w:val="1"/>
                <w:szCs w:val="1"/>
                <w:color w:val="auto"/>
              </w:rPr>
            </w:pPr>
          </w:p>
        </w:tc>
      </w:tr>
      <w:tr>
        <w:trPr>
          <w:trHeight w:val="477"/>
        </w:trPr>
        <w:tc>
          <w:tcPr>
            <w:tcW w:w="31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24"/>
                <w:szCs w:val="24"/>
                <w:color w:val="auto"/>
              </w:rPr>
            </w:pPr>
          </w:p>
        </w:tc>
        <w:tc>
          <w:tcPr>
            <w:tcW w:w="1300" w:type="dxa"/>
            <w:vAlign w:val="bottom"/>
          </w:tcPr>
          <w:p>
            <w:pPr>
              <w:jc w:val="right"/>
              <w:ind w:right="250"/>
              <w:spacing w:after="0"/>
              <w:rPr>
                <w:sz w:val="20"/>
                <w:szCs w:val="20"/>
                <w:color w:val="auto"/>
              </w:rPr>
            </w:pPr>
            <w:r>
              <w:rPr>
                <w:rFonts w:ascii="Arial" w:cs="Arial" w:eastAsia="Arial" w:hAnsi="Arial"/>
                <w:sz w:val="18"/>
                <w:szCs w:val="18"/>
                <w:color w:val="auto"/>
              </w:rPr>
              <w:t>5,336</w:t>
            </w:r>
          </w:p>
        </w:tc>
        <w:tc>
          <w:tcPr>
            <w:tcW w:w="1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24"/>
                <w:szCs w:val="24"/>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1860" w:type="dxa"/>
            <w:vAlign w:val="bottom"/>
          </w:tcPr>
          <w:p>
            <w:pPr>
              <w:jc w:val="right"/>
              <w:ind w:right="170"/>
              <w:spacing w:after="0"/>
              <w:rPr>
                <w:sz w:val="20"/>
                <w:szCs w:val="20"/>
                <w:color w:val="auto"/>
              </w:rPr>
            </w:pPr>
            <w:r>
              <w:rPr>
                <w:rFonts w:ascii="Arial" w:cs="Arial" w:eastAsia="Arial" w:hAnsi="Arial"/>
                <w:sz w:val="18"/>
                <w:szCs w:val="18"/>
                <w:color w:val="auto"/>
              </w:rPr>
              <w:t>5,335</w:t>
            </w:r>
          </w:p>
        </w:tc>
        <w:tc>
          <w:tcPr>
            <w:tcW w:w="0" w:type="dxa"/>
            <w:vAlign w:val="bottom"/>
          </w:tcPr>
          <w:p>
            <w:pPr>
              <w:spacing w:after="0"/>
              <w:rPr>
                <w:sz w:val="1"/>
                <w:szCs w:val="1"/>
                <w:color w:val="auto"/>
              </w:rPr>
            </w:pPr>
          </w:p>
        </w:tc>
      </w:tr>
      <w:tr>
        <w:trPr>
          <w:trHeight w:val="229"/>
        </w:trPr>
        <w:tc>
          <w:tcPr>
            <w:tcW w:w="3160" w:type="dxa"/>
            <w:vAlign w:val="bottom"/>
          </w:tcPr>
          <w:p>
            <w:pPr>
              <w:spacing w:after="0"/>
              <w:rPr>
                <w:sz w:val="20"/>
                <w:szCs w:val="20"/>
                <w:color w:val="auto"/>
              </w:rPr>
            </w:pPr>
            <w:r>
              <w:rPr>
                <w:rFonts w:ascii="Arial" w:cs="Arial" w:eastAsia="Arial" w:hAnsi="Arial"/>
                <w:sz w:val="18"/>
                <w:szCs w:val="18"/>
                <w:color w:val="auto"/>
              </w:rPr>
              <w:t>Selling and marketing</w:t>
            </w:r>
          </w:p>
        </w:tc>
        <w:tc>
          <w:tcPr>
            <w:tcW w:w="300" w:type="dxa"/>
            <w:vAlign w:val="bottom"/>
          </w:tcPr>
          <w:p>
            <w:pPr>
              <w:spacing w:after="0"/>
              <w:rPr>
                <w:sz w:val="19"/>
                <w:szCs w:val="19"/>
                <w:color w:val="auto"/>
              </w:rPr>
            </w:pPr>
          </w:p>
        </w:tc>
        <w:tc>
          <w:tcPr>
            <w:tcW w:w="1300" w:type="dxa"/>
            <w:vAlign w:val="bottom"/>
          </w:tcPr>
          <w:p>
            <w:pPr>
              <w:jc w:val="right"/>
              <w:ind w:right="250"/>
              <w:spacing w:after="0"/>
              <w:rPr>
                <w:sz w:val="20"/>
                <w:szCs w:val="20"/>
                <w:color w:val="auto"/>
              </w:rPr>
            </w:pPr>
            <w:r>
              <w:rPr>
                <w:rFonts w:ascii="Arial" w:cs="Arial" w:eastAsia="Arial" w:hAnsi="Arial"/>
                <w:sz w:val="18"/>
                <w:szCs w:val="18"/>
                <w:color w:val="auto"/>
              </w:rPr>
              <w:t>16,296</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57</w:t>
            </w:r>
          </w:p>
        </w:tc>
        <w:tc>
          <w:tcPr>
            <w:tcW w:w="300" w:type="dxa"/>
            <w:vAlign w:val="bottom"/>
          </w:tcPr>
          <w:p>
            <w:pPr>
              <w:spacing w:after="0"/>
              <w:rPr>
                <w:sz w:val="19"/>
                <w:szCs w:val="19"/>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860" w:type="dxa"/>
            <w:vAlign w:val="bottom"/>
          </w:tcPr>
          <w:p>
            <w:pPr>
              <w:jc w:val="right"/>
              <w:ind w:right="170"/>
              <w:spacing w:after="0"/>
              <w:rPr>
                <w:sz w:val="20"/>
                <w:szCs w:val="20"/>
                <w:color w:val="auto"/>
              </w:rPr>
            </w:pPr>
            <w:r>
              <w:rPr>
                <w:rFonts w:ascii="Arial" w:cs="Arial" w:eastAsia="Arial" w:hAnsi="Arial"/>
                <w:sz w:val="18"/>
                <w:szCs w:val="18"/>
                <w:color w:val="auto"/>
              </w:rPr>
              <w:t>16,239</w:t>
            </w: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19"/>
                <w:szCs w:val="19"/>
                <w:color w:val="auto"/>
              </w:rPr>
            </w:pPr>
          </w:p>
        </w:tc>
        <w:tc>
          <w:tcPr>
            <w:tcW w:w="1300" w:type="dxa"/>
            <w:vAlign w:val="bottom"/>
          </w:tcPr>
          <w:p>
            <w:pPr>
              <w:jc w:val="right"/>
              <w:ind w:right="250"/>
              <w:spacing w:after="0"/>
              <w:rPr>
                <w:sz w:val="20"/>
                <w:szCs w:val="20"/>
                <w:color w:val="auto"/>
              </w:rPr>
            </w:pPr>
            <w:r>
              <w:rPr>
                <w:rFonts w:ascii="Arial" w:cs="Arial" w:eastAsia="Arial" w:hAnsi="Arial"/>
                <w:sz w:val="18"/>
                <w:szCs w:val="18"/>
                <w:color w:val="auto"/>
              </w:rPr>
              <w:t>46,282</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35,988</w:t>
            </w:r>
          </w:p>
        </w:tc>
        <w:tc>
          <w:tcPr>
            <w:tcW w:w="300" w:type="dxa"/>
            <w:vAlign w:val="bottom"/>
          </w:tcPr>
          <w:p>
            <w:pPr>
              <w:spacing w:after="0"/>
              <w:rPr>
                <w:sz w:val="19"/>
                <w:szCs w:val="19"/>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860" w:type="dxa"/>
            <w:vAlign w:val="bottom"/>
          </w:tcPr>
          <w:p>
            <w:pPr>
              <w:jc w:val="right"/>
              <w:ind w:right="170"/>
              <w:spacing w:after="0"/>
              <w:rPr>
                <w:sz w:val="20"/>
                <w:szCs w:val="20"/>
                <w:color w:val="auto"/>
              </w:rPr>
            </w:pPr>
            <w:r>
              <w:rPr>
                <w:rFonts w:ascii="Arial" w:cs="Arial" w:eastAsia="Arial" w:hAnsi="Arial"/>
                <w:sz w:val="18"/>
                <w:szCs w:val="18"/>
                <w:color w:val="auto"/>
              </w:rPr>
              <w:t>10,294</w:t>
            </w:r>
          </w:p>
        </w:tc>
        <w:tc>
          <w:tcPr>
            <w:tcW w:w="0" w:type="dxa"/>
            <w:vAlign w:val="bottom"/>
          </w:tcPr>
          <w:p>
            <w:pPr>
              <w:spacing w:after="0"/>
              <w:rPr>
                <w:sz w:val="1"/>
                <w:szCs w:val="1"/>
                <w:color w:val="auto"/>
              </w:rPr>
            </w:pPr>
          </w:p>
        </w:tc>
      </w:tr>
      <w:tr>
        <w:trPr>
          <w:trHeight w:val="235"/>
        </w:trPr>
        <w:tc>
          <w:tcPr>
            <w:tcW w:w="3160" w:type="dxa"/>
            <w:vAlign w:val="bottom"/>
          </w:tcPr>
          <w:p>
            <w:pPr>
              <w:spacing w:after="0"/>
              <w:rPr>
                <w:sz w:val="20"/>
                <w:szCs w:val="20"/>
                <w:color w:val="auto"/>
              </w:rPr>
            </w:pPr>
            <w:r>
              <w:rPr>
                <w:rFonts w:ascii="Arial" w:cs="Arial" w:eastAsia="Arial" w:hAnsi="Arial"/>
                <w:sz w:val="18"/>
                <w:szCs w:val="18"/>
                <w:color w:val="auto"/>
              </w:rPr>
              <w:t>Intangible asset amortization</w:t>
            </w: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165</w:t>
            </w: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165</w:t>
            </w: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6"/>
        </w:trPr>
        <w:tc>
          <w:tcPr>
            <w:tcW w:w="3160" w:type="dxa"/>
            <w:vAlign w:val="bottom"/>
          </w:tcPr>
          <w:p>
            <w:pPr>
              <w:ind w:left="100"/>
              <w:spacing w:after="0" w:line="156" w:lineRule="exact"/>
              <w:rPr>
                <w:sz w:val="20"/>
                <w:szCs w:val="20"/>
                <w:color w:val="auto"/>
              </w:rPr>
            </w:pPr>
            <w:r>
              <w:rPr>
                <w:rFonts w:ascii="Arial" w:cs="Arial" w:eastAsia="Arial" w:hAnsi="Arial"/>
                <w:sz w:val="18"/>
                <w:szCs w:val="18"/>
                <w:color w:val="auto"/>
              </w:rPr>
              <w:t>Total operating expenses excluding</w:t>
            </w:r>
          </w:p>
        </w:tc>
        <w:tc>
          <w:tcPr>
            <w:tcW w:w="300" w:type="dxa"/>
            <w:vAlign w:val="bottom"/>
          </w:tcPr>
          <w:p>
            <w:pPr>
              <w:spacing w:after="0"/>
              <w:rPr>
                <w:sz w:val="13"/>
                <w:szCs w:val="13"/>
                <w:color w:val="auto"/>
              </w:rPr>
            </w:pPr>
          </w:p>
        </w:tc>
        <w:tc>
          <w:tcPr>
            <w:tcW w:w="1300" w:type="dxa"/>
            <w:vAlign w:val="bottom"/>
            <w:vMerge w:val="restart"/>
          </w:tcPr>
          <w:p>
            <w:pPr>
              <w:jc w:val="right"/>
              <w:ind w:right="250"/>
              <w:spacing w:after="0"/>
              <w:rPr>
                <w:sz w:val="20"/>
                <w:szCs w:val="20"/>
                <w:color w:val="auto"/>
              </w:rPr>
            </w:pPr>
            <w:r>
              <w:rPr>
                <w:rFonts w:ascii="Arial" w:cs="Arial" w:eastAsia="Arial" w:hAnsi="Arial"/>
                <w:sz w:val="18"/>
                <w:szCs w:val="18"/>
                <w:color w:val="auto"/>
              </w:rPr>
              <w:t>68,079</w:t>
            </w:r>
          </w:p>
        </w:tc>
        <w:tc>
          <w:tcPr>
            <w:tcW w:w="140" w:type="dxa"/>
            <w:vAlign w:val="bottom"/>
          </w:tcPr>
          <w:p>
            <w:pPr>
              <w:spacing w:after="0"/>
              <w:rPr>
                <w:sz w:val="13"/>
                <w:szCs w:val="13"/>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36,046</w:t>
            </w:r>
          </w:p>
        </w:tc>
        <w:tc>
          <w:tcPr>
            <w:tcW w:w="300" w:type="dxa"/>
            <w:vAlign w:val="bottom"/>
          </w:tcPr>
          <w:p>
            <w:pPr>
              <w:spacing w:after="0"/>
              <w:rPr>
                <w:sz w:val="13"/>
                <w:szCs w:val="13"/>
                <w:color w:val="auto"/>
              </w:rPr>
            </w:pPr>
          </w:p>
        </w:tc>
        <w:tc>
          <w:tcPr>
            <w:tcW w:w="1440" w:type="dxa"/>
            <w:vAlign w:val="bottom"/>
            <w:vMerge w:val="restart"/>
          </w:tcPr>
          <w:p>
            <w:pPr>
              <w:jc w:val="right"/>
              <w:ind w:right="30"/>
              <w:spacing w:after="0"/>
              <w:rPr>
                <w:sz w:val="20"/>
                <w:szCs w:val="20"/>
                <w:color w:val="auto"/>
              </w:rPr>
            </w:pPr>
            <w:r>
              <w:rPr>
                <w:rFonts w:ascii="Arial" w:cs="Arial" w:eastAsia="Arial" w:hAnsi="Arial"/>
                <w:sz w:val="18"/>
                <w:szCs w:val="18"/>
                <w:color w:val="auto"/>
              </w:rPr>
              <w:t>165</w:t>
            </w:r>
          </w:p>
        </w:tc>
        <w:tc>
          <w:tcPr>
            <w:tcW w:w="220" w:type="dxa"/>
            <w:vAlign w:val="bottom"/>
          </w:tcPr>
          <w:p>
            <w:pPr>
              <w:spacing w:after="0"/>
              <w:rPr>
                <w:sz w:val="13"/>
                <w:szCs w:val="13"/>
                <w:color w:val="auto"/>
              </w:rPr>
            </w:pPr>
          </w:p>
        </w:tc>
        <w:tc>
          <w:tcPr>
            <w:tcW w:w="740" w:type="dxa"/>
            <w:vAlign w:val="bottom"/>
            <w:vMerge w:val="restart"/>
          </w:tcPr>
          <w:p>
            <w:pPr>
              <w:ind w:left="4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3"/>
                <w:szCs w:val="13"/>
                <w:color w:val="auto"/>
              </w:rPr>
            </w:pPr>
          </w:p>
        </w:tc>
        <w:tc>
          <w:tcPr>
            <w:tcW w:w="1860" w:type="dxa"/>
            <w:vAlign w:val="bottom"/>
            <w:vMerge w:val="restart"/>
          </w:tcPr>
          <w:p>
            <w:pPr>
              <w:jc w:val="right"/>
              <w:ind w:right="170"/>
              <w:spacing w:after="0"/>
              <w:rPr>
                <w:sz w:val="20"/>
                <w:szCs w:val="20"/>
                <w:color w:val="auto"/>
              </w:rPr>
            </w:pPr>
            <w:r>
              <w:rPr>
                <w:rFonts w:ascii="Arial" w:cs="Arial" w:eastAsia="Arial" w:hAnsi="Arial"/>
                <w:sz w:val="18"/>
                <w:szCs w:val="18"/>
                <w:color w:val="auto"/>
              </w:rPr>
              <w:t>31,868</w:t>
            </w:r>
          </w:p>
        </w:tc>
        <w:tc>
          <w:tcPr>
            <w:tcW w:w="0" w:type="dxa"/>
            <w:vAlign w:val="bottom"/>
          </w:tcPr>
          <w:p>
            <w:pPr>
              <w:spacing w:after="0"/>
              <w:rPr>
                <w:sz w:val="1"/>
                <w:szCs w:val="1"/>
                <w:color w:val="auto"/>
              </w:rPr>
            </w:pPr>
          </w:p>
        </w:tc>
      </w:tr>
      <w:tr>
        <w:trPr>
          <w:trHeight w:val="243"/>
        </w:trPr>
        <w:tc>
          <w:tcPr>
            <w:tcW w:w="3160" w:type="dxa"/>
            <w:vAlign w:val="bottom"/>
          </w:tcPr>
          <w:p>
            <w:pPr>
              <w:ind w:left="100"/>
              <w:spacing w:after="0"/>
              <w:rPr>
                <w:sz w:val="20"/>
                <w:szCs w:val="20"/>
                <w:color w:val="auto"/>
              </w:rPr>
            </w:pPr>
            <w:r>
              <w:rPr>
                <w:rFonts w:ascii="Arial" w:cs="Arial" w:eastAsia="Arial" w:hAnsi="Arial"/>
                <w:sz w:val="18"/>
                <w:szCs w:val="18"/>
                <w:color w:val="auto"/>
              </w:rPr>
              <w:t>cost of revenue (3)</w:t>
            </w:r>
          </w:p>
        </w:tc>
        <w:tc>
          <w:tcPr>
            <w:tcW w:w="3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vMerge w:val="continue"/>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vMerge w:val="continue"/>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vMerge w:val="continue"/>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160" w:type="dxa"/>
            <w:vAlign w:val="bottom"/>
          </w:tcPr>
          <w:p>
            <w:pPr>
              <w:spacing w:after="0"/>
              <w:rPr>
                <w:sz w:val="20"/>
                <w:szCs w:val="20"/>
                <w:color w:val="auto"/>
              </w:rPr>
            </w:pPr>
            <w:r>
              <w:rPr>
                <w:rFonts w:ascii="Arial" w:cs="Arial" w:eastAsia="Arial" w:hAnsi="Arial"/>
                <w:sz w:val="18"/>
                <w:szCs w:val="18"/>
                <w:color w:val="auto"/>
              </w:rPr>
              <w:t>Loss from operations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(45,415)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36,046</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1,801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(7,568)</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left="240" w:right="540" w:hanging="240"/>
        <w:spacing w:after="0" w:line="233" w:lineRule="auto"/>
        <w:tabs>
          <w:tab w:leader="none" w:pos="197"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transaction related expenses as well as post-combination compensation expenses. 2021 adjustments consist primarily of transaction-related expenses associated with the acquisition of Decipher Biosciences. 2022 adjustments consist primarily of post-combination compensation expenses associated with the acquisition of HalioDx.</w:t>
      </w:r>
    </w:p>
    <w:p>
      <w:pPr>
        <w:sectPr>
          <w:pgSz w:w="11900" w:h="16838" w:orient="portrait"/>
          <w:cols w:equalWidth="0" w:num="1">
            <w:col w:w="11080"/>
          </w:cols>
          <w:pgMar w:left="420" w:top="1174" w:right="399" w:bottom="1440" w:gutter="0" w:footer="0" w:header="0"/>
        </w:sectPr>
      </w:pPr>
    </w:p>
    <w:bookmarkStart w:id="12" w:name="page13"/>
    <w:bookmarkEnd w:id="12"/>
    <w:p>
      <w:pPr>
        <w:ind w:left="340" w:right="80" w:hanging="240"/>
        <w:spacing w:after="0"/>
        <w:tabs>
          <w:tab w:leader="none" w:pos="297"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only amortization of intangible assets identified as developed technology assets through purchase accounting transactions, which otherwise would have been allocated to cost of revenue.</w:t>
      </w:r>
    </w:p>
    <w:p>
      <w:pPr>
        <w:spacing w:after="0" w:line="4" w:lineRule="exact"/>
        <w:rPr>
          <w:rFonts w:ascii="Arial" w:cs="Arial" w:eastAsia="Arial" w:hAnsi="Arial"/>
          <w:sz w:val="18"/>
          <w:szCs w:val="18"/>
          <w:color w:val="auto"/>
        </w:rPr>
      </w:pPr>
    </w:p>
    <w:p>
      <w:pPr>
        <w:jc w:val="both"/>
        <w:ind w:left="340" w:hanging="240"/>
        <w:spacing w:after="0" w:line="233" w:lineRule="auto"/>
        <w:tabs>
          <w:tab w:leader="none" w:pos="297"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only amortization of intangible assets, which otherwise would have been allocated to research and development, selling and marketing or general and administrative expense and excludes the cost of revenue ($23.7 and $12.4 million) and the amortization of intangible assets which would have been allocated to the cost of revenue ($5.0 and $1.6 million) for 2022 and 2021 respectively.</w:t>
      </w:r>
    </w:p>
    <w:p>
      <w:pPr>
        <w:spacing w:after="0" w:line="315" w:lineRule="exact"/>
        <w:rPr>
          <w:rFonts w:ascii="Arial" w:cs="Arial" w:eastAsia="Arial" w:hAnsi="Arial"/>
          <w:sz w:val="18"/>
          <w:szCs w:val="18"/>
          <w:color w:val="auto"/>
        </w:rPr>
      </w:pPr>
    </w:p>
    <w:p>
      <w:pPr>
        <w:ind w:left="5580" w:hanging="206"/>
        <w:spacing w:after="0"/>
        <w:tabs>
          <w:tab w:leader="none" w:pos="5580" w:val="left"/>
        </w:tabs>
        <w:numPr>
          <w:ilvl w:val="1"/>
          <w:numId w:val="6"/>
        </w:numPr>
        <w:rPr>
          <w:rFonts w:ascii="Arial" w:cs="Arial" w:eastAsia="Arial" w:hAnsi="Arial"/>
          <w:sz w:val="18"/>
          <w:szCs w:val="18"/>
          <w:color w:val="auto"/>
        </w:rPr>
      </w:pPr>
      <w:r>
        <w:rPr>
          <w:rFonts w:ascii="Arial" w:cs="Arial" w:eastAsia="Arial" w:hAnsi="Arial"/>
          <w:sz w:val="18"/>
          <w:szCs w:val="18"/>
          <w:color w:val="auto"/>
        </w:rPr>
        <w:t># #</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Shayla Gorman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619-393-1545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investors@veracyte.com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Tracy Morris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of Global Corporate Communications</w:t>
      </w:r>
    </w:p>
    <w:p>
      <w:pPr>
        <w:spacing w:after="0"/>
        <w:rPr>
          <w:sz w:val="20"/>
          <w:szCs w:val="20"/>
          <w:color w:val="auto"/>
        </w:rPr>
      </w:pPr>
      <w:r>
        <w:rPr>
          <w:rFonts w:ascii="Arial" w:cs="Arial" w:eastAsia="Arial" w:hAnsi="Arial"/>
          <w:sz w:val="18"/>
          <w:szCs w:val="18"/>
          <w:color w:val="auto"/>
        </w:rPr>
        <w:t>650-380-4413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tracy.morris@veracyte.com</w:t>
      </w:r>
    </w:p>
    <w:sectPr>
      <w:pgSz w:w="11900" w:h="16838" w:orient="portrait"/>
      <w:cols w:equalWidth="0" w:num="1">
        <w:col w:w="10880"/>
      </w:cols>
      <w:pgMar w:left="320" w:top="931"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2"/>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2022-05-03T15:21:19Z</dcterms:created>
  <dcterms:modified xsi:type="dcterms:W3CDTF">2022-05-03T15:21:19Z</dcterms:modified>
</cp:coreProperties>
</file>