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333-231173</w:t>
      </w:r>
    </w:p>
    <w:p>
      <w:pPr>
        <w:spacing w:after="0" w:line="139" w:lineRule="exact"/>
        <w:rPr>
          <w:sz w:val="24"/>
          <w:szCs w:val="24"/>
          <w:color w:val="auto"/>
        </w:rPr>
      </w:pPr>
    </w:p>
    <w:p>
      <w:pPr>
        <w:ind w:left="120" w:right="120"/>
        <w:spacing w:after="0" w:line="266" w:lineRule="auto"/>
        <w:rPr>
          <w:sz w:val="20"/>
          <w:szCs w:val="20"/>
          <w:color w:val="auto"/>
        </w:rPr>
      </w:pPr>
      <w:r>
        <w:rPr>
          <w:rFonts w:ascii="Arial" w:cs="Arial" w:eastAsia="Arial" w:hAnsi="Arial"/>
          <w:sz w:val="18"/>
          <w:szCs w:val="18"/>
          <w:b w:val="1"/>
          <w:bCs w:val="1"/>
          <w:color w:val="EB0029"/>
        </w:rPr>
        <w:t>The information contained in this preliminary prospectus supplement is not complete and may be changed. This preliminary prospectus supplement and the accompanying prospectus are not an offer to sell nor do they seek an offer to buy these securities in any jurisdiction where such offer or sale is not permitted.</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EB0029"/>
        </w:rPr>
        <w:t>Subject to completion, dated August 3, 2020</w:t>
      </w:r>
    </w:p>
    <w:p>
      <w:pPr>
        <w:spacing w:after="0" w:line="11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(To Prospectus dated May 2, 2019)</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6,000,000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2372995</wp:posOffset>
            </wp:positionV>
            <wp:extent cx="6995160" cy="1525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525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Veracyte, Inc.</w:t>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19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We are offering 6,000,000 shares of our common stock.</w:t>
      </w:r>
    </w:p>
    <w:p>
      <w:pPr>
        <w:spacing w:after="0" w:line="185" w:lineRule="exact"/>
        <w:rPr>
          <w:sz w:val="24"/>
          <w:szCs w:val="24"/>
          <w:color w:val="auto"/>
        </w:rPr>
      </w:pPr>
    </w:p>
    <w:p>
      <w:pPr>
        <w:ind w:left="120" w:right="36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July 31, 2020, the last reported sale price of our shares of common stock on The Nasdaq Global Market was $35.67 per share.</w:t>
      </w:r>
    </w:p>
    <w:p>
      <w:pPr>
        <w:spacing w:after="0" w:line="130" w:lineRule="exact"/>
        <w:rPr>
          <w:sz w:val="24"/>
          <w:szCs w:val="24"/>
          <w:color w:val="auto"/>
        </w:rPr>
      </w:pPr>
    </w:p>
    <w:p>
      <w:pPr>
        <w:ind w:left="120" w:right="88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S-6 of this prospectus supplement.</w:t>
      </w:r>
    </w:p>
    <w:p>
      <w:pPr>
        <w:spacing w:after="0" w:line="167" w:lineRule="exact"/>
        <w:rPr>
          <w:sz w:val="24"/>
          <w:szCs w:val="24"/>
          <w:color w:val="auto"/>
        </w:rPr>
      </w:pPr>
    </w:p>
    <w:p>
      <w:pPr>
        <w:ind w:left="8060"/>
        <w:spacing w:after="0"/>
        <w:rPr>
          <w:sz w:val="20"/>
          <w:szCs w:val="20"/>
          <w:color w:val="auto"/>
        </w:rPr>
      </w:pPr>
      <w:r>
        <w:rPr>
          <w:rFonts w:ascii="Arial" w:cs="Arial" w:eastAsia="Arial" w:hAnsi="Arial"/>
          <w:sz w:val="14"/>
          <w:szCs w:val="14"/>
          <w:b w:val="1"/>
          <w:bCs w:val="1"/>
          <w:color w:val="auto"/>
        </w:rPr>
        <w:t>Per</w:t>
      </w:r>
    </w:p>
    <w:p>
      <w:pPr>
        <w:ind w:left="8000"/>
        <w:spacing w:after="0"/>
        <w:tabs>
          <w:tab w:leader="none" w:pos="9240" w:val="left"/>
        </w:tabs>
        <w:rPr>
          <w:sz w:val="20"/>
          <w:szCs w:val="20"/>
          <w:color w:val="auto"/>
        </w:rPr>
      </w:pPr>
      <w:r>
        <w:rPr>
          <w:rFonts w:ascii="Arial" w:cs="Arial" w:eastAsia="Arial" w:hAnsi="Arial"/>
          <w:sz w:val="14"/>
          <w:szCs w:val="14"/>
          <w:b w:val="1"/>
          <w:bCs w:val="1"/>
          <w:color w:val="auto"/>
        </w:rPr>
        <w:t>Share</w:t>
      </w:r>
      <w:r>
        <w:rPr>
          <w:sz w:val="20"/>
          <w:szCs w:val="20"/>
          <w:color w:val="auto"/>
        </w:rPr>
        <w:tab/>
      </w:r>
      <w:r>
        <w:rPr>
          <w:rFonts w:ascii="Arial" w:cs="Arial" w:eastAsia="Arial" w:hAnsi="Arial"/>
          <w:sz w:val="14"/>
          <w:szCs w:val="14"/>
          <w:b w:val="1"/>
          <w:bCs w:val="1"/>
          <w:color w:val="auto"/>
        </w:rPr>
        <w:t>Total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-635</wp:posOffset>
            </wp:positionV>
            <wp:extent cx="5314950" cy="145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ectPr>
          <w:pgSz w:w="11900" w:h="16838" w:orient="portrait"/>
          <w:cols w:equalWidth="0" w:num="1">
            <w:col w:w="11140"/>
          </w:cols>
          <w:pgMar w:left="320" w:top="230" w:right="439" w:bottom="0" w:gutter="0" w:footer="0" w:header="0"/>
        </w:sectPr>
      </w:pPr>
    </w:p>
    <w:p>
      <w:pPr>
        <w:ind w:left="1440"/>
        <w:spacing w:after="0"/>
        <w:tabs>
          <w:tab w:leader="none" w:pos="7800" w:val="left"/>
          <w:tab w:leader="none" w:pos="9040" w:val="left"/>
        </w:tabs>
        <w:rPr>
          <w:sz w:val="20"/>
          <w:szCs w:val="20"/>
          <w:color w:val="auto"/>
        </w:rPr>
      </w:pPr>
      <w:r>
        <w:rPr>
          <w:rFonts w:ascii="Arial" w:cs="Arial" w:eastAsia="Arial" w:hAnsi="Arial"/>
          <w:sz w:val="18"/>
          <w:szCs w:val="18"/>
          <w:color w:val="auto"/>
        </w:rPr>
        <w:t>Public offering price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ectPr>
          <w:pgSz w:w="11900" w:h="16838" w:orient="portrait"/>
          <w:cols w:equalWidth="0" w:num="1">
            <w:col w:w="11140"/>
          </w:cols>
          <w:pgMar w:left="320" w:top="230" w:right="439" w:bottom="0" w:gutter="0" w:footer="0" w:header="0"/>
          <w:type w:val="continuous"/>
        </w:sectPr>
      </w:pPr>
    </w:p>
    <w:bookmarkStart w:id="1" w:name="page2"/>
    <w:bookmarkEnd w:id="1"/>
    <w:tbl>
      <w:tblPr>
        <w:tblLayout w:type="fixed"/>
        <w:tblInd w:w="132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22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2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85725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1960" w:hanging="533"/>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 description of compensation payable to the underwriters.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granted the underwriters the right to purchase up to 900,000 additional shares of our common stock. The underwriters may exercise this right at any time within 30 days after the date of this prospectus supplement.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r>
              <w:rPr>
                <w:rFonts w:ascii="Arial" w:cs="Arial" w:eastAsia="Arial" w:hAnsi="Arial"/>
                <w:sz w:val="18"/>
                <w:szCs w:val="18"/>
                <w:color w:val="auto"/>
                <w:w w:val="94"/>
              </w:rPr>
              <w:t>The underwriters expect to deliver the shares of common stock against payment in New York, New York on or about</w:t>
            </w:r>
          </w:p>
        </w:tc>
        <w:tc>
          <w:tcPr>
            <w:tcW w:w="88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5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Lead Book-Running Managers</w:t>
      </w:r>
    </w:p>
    <w:p>
      <w:pPr>
        <w:sectPr>
          <w:pgSz w:w="11900" w:h="16838" w:orient="portrait"/>
          <w:cols w:equalWidth="0" w:num="1">
            <w:col w:w="11020"/>
          </w:cols>
          <w:pgMar w:left="440" w:top="139" w:right="4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0" w:lineRule="exact"/>
        <w:rPr>
          <w:sz w:val="20"/>
          <w:szCs w:val="20"/>
          <w:color w:val="auto"/>
        </w:rPr>
      </w:pPr>
    </w:p>
    <w:p>
      <w:pPr>
        <w:sectPr>
          <w:pgSz w:w="11900" w:h="16838" w:orient="portrait"/>
          <w:cols w:equalWidth="0" w:num="2">
            <w:col w:w="8680" w:space="720"/>
            <w:col w:w="1620"/>
          </w:cols>
          <w:pgMar w:left="440" w:top="139" w:right="439" w:bottom="1440" w:gutter="0" w:footer="0" w:header="0"/>
          <w:type w:val="continuous"/>
        </w:sectPr>
      </w:pP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Book-Running Manager</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William Blair</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Co-Managers</w:t>
      </w:r>
    </w:p>
    <w:p>
      <w:pPr>
        <w:sectPr>
          <w:pgSz w:w="11900" w:h="16838" w:orient="portrait"/>
          <w:cols w:equalWidth="0" w:num="1">
            <w:col w:w="11020"/>
          </w:cols>
          <w:pgMar w:left="440" w:top="139" w:right="43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BTIG</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Needham &amp; Company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Lake Street</w:t>
      </w:r>
    </w:p>
    <w:p>
      <w:pPr>
        <w:spacing w:after="0" w:line="222" w:lineRule="exact"/>
        <w:rPr>
          <w:sz w:val="20"/>
          <w:szCs w:val="20"/>
          <w:color w:val="auto"/>
        </w:rPr>
      </w:pPr>
    </w:p>
    <w:p>
      <w:pPr>
        <w:sectPr>
          <w:pgSz w:w="11900" w:h="16838" w:orient="portrait"/>
          <w:cols w:equalWidth="0" w:num="3">
            <w:col w:w="3820" w:space="720"/>
            <w:col w:w="4680" w:space="720"/>
            <w:col w:w="1080"/>
          </w:cols>
          <w:pgMar w:left="440" w:top="139" w:right="439" w:bottom="1440" w:gutter="0" w:footer="0" w:header="0"/>
          <w:type w:val="continuous"/>
        </w:sectPr>
      </w:pPr>
    </w:p>
    <w:p>
      <w:pPr>
        <w:ind w:left="3320"/>
        <w:spacing w:after="0"/>
        <w:rPr>
          <w:sz w:val="20"/>
          <w:szCs w:val="20"/>
          <w:color w:val="auto"/>
        </w:rPr>
      </w:pPr>
      <w:r>
        <w:rPr>
          <w:rFonts w:ascii="Arial" w:cs="Arial" w:eastAsia="Arial" w:hAnsi="Arial"/>
          <w:sz w:val="15"/>
          <w:szCs w:val="15"/>
          <w:b w:val="1"/>
          <w:bCs w:val="1"/>
          <w:color w:val="auto"/>
        </w:rPr>
        <w:t>The date of this prospectus supplement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2020.</w:t>
      </w:r>
    </w:p>
    <w:p>
      <w:pPr>
        <w:sectPr>
          <w:pgSz w:w="11900" w:h="16838" w:orient="portrait"/>
          <w:cols w:equalWidth="0" w:num="2">
            <w:col w:w="6480" w:space="720"/>
            <w:col w:w="3820"/>
          </w:cols>
          <w:pgMar w:left="440" w:top="13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6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20" w:type="dxa"/>
            <w:vAlign w:val="bottom"/>
          </w:tcPr>
          <w:p>
            <w:pPr>
              <w:spacing w:after="0"/>
              <w:rPr>
                <w:sz w:val="20"/>
                <w:szCs w:val="20"/>
                <w:color w:val="auto"/>
              </w:rPr>
            </w:pPr>
          </w:p>
        </w:tc>
      </w:tr>
      <w:tr>
        <w:trPr>
          <w:trHeight w:val="513"/>
        </w:trPr>
        <w:tc>
          <w:tcPr>
            <w:tcW w:w="104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4"/>
                <w:szCs w:val="24"/>
                <w:color w:val="auto"/>
              </w:rPr>
            </w:pPr>
          </w:p>
        </w:tc>
      </w:tr>
      <w:tr>
        <w:trPr>
          <w:trHeight w:val="459"/>
        </w:trPr>
        <w:tc>
          <w:tcPr>
            <w:tcW w:w="10460" w:type="dxa"/>
            <w:vAlign w:val="bottom"/>
          </w:tcPr>
          <w:p>
            <w:pPr>
              <w:ind w:left="120"/>
              <w:spacing w:after="0"/>
              <w:rPr>
                <w:sz w:val="20"/>
                <w:szCs w:val="20"/>
                <w:color w:val="auto"/>
              </w:rPr>
            </w:pPr>
            <w:r>
              <w:rPr>
                <w:rFonts w:ascii="Arial" w:cs="Arial" w:eastAsia="Arial" w:hAnsi="Arial"/>
                <w:sz w:val="18"/>
                <w:szCs w:val="18"/>
                <w:b w:val="1"/>
                <w:bCs w:val="1"/>
                <w:color w:val="auto"/>
              </w:rPr>
              <w:t>Prospectus Supplement</w:t>
            </w:r>
          </w:p>
        </w:tc>
        <w:tc>
          <w:tcPr>
            <w:tcW w:w="620" w:type="dxa"/>
            <w:vAlign w:val="bottom"/>
          </w:tcPr>
          <w:p>
            <w:pPr>
              <w:spacing w:after="0"/>
              <w:rPr>
                <w:sz w:val="24"/>
                <w:szCs w:val="24"/>
                <w:color w:val="auto"/>
              </w:rPr>
            </w:pPr>
          </w:p>
        </w:tc>
      </w:tr>
      <w:tr>
        <w:trPr>
          <w:trHeight w:val="310"/>
        </w:trPr>
        <w:tc>
          <w:tcPr>
            <w:tcW w:w="1046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SUPPLEMENT SUMMARY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S-2</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THE OFFERING</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S-5</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S-6</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FORWARD-LOOKING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S-10</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DILUTION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DIVIDEND POLICY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S-13</w:t>
            </w:r>
          </w:p>
        </w:tc>
      </w:tr>
      <w:tr>
        <w:trPr>
          <w:trHeight w:val="216"/>
        </w:trPr>
        <w:tc>
          <w:tcPr>
            <w:tcW w:w="10460" w:type="dxa"/>
            <w:vAlign w:val="bottom"/>
          </w:tcPr>
          <w:p>
            <w:pPr>
              <w:ind w:left="120"/>
              <w:spacing w:after="0"/>
              <w:rPr>
                <w:rFonts w:ascii="Arial" w:cs="Arial" w:eastAsia="Arial" w:hAnsi="Arial"/>
                <w:sz w:val="18"/>
                <w:szCs w:val="18"/>
                <w:u w:val="single" w:color="auto"/>
                <w:color w:val="0000EE"/>
                <w:w w:val="98"/>
              </w:rPr>
            </w:pPr>
            <w:hyperlink w:anchor="page17">
              <w:r>
                <w:rPr>
                  <w:rFonts w:ascii="Arial" w:cs="Arial" w:eastAsia="Arial" w:hAnsi="Arial"/>
                  <w:sz w:val="18"/>
                  <w:szCs w:val="18"/>
                  <w:u w:val="single" w:color="auto"/>
                  <w:color w:val="0000EE"/>
                  <w:w w:val="98"/>
                </w:rPr>
                <w:t>MATERIAL UNITED STATES FEDERAL INCOME TAX CONSEQUENCES FOR NON-U.S. HOLDERS OF OUR COMMON STOCK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S-14</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UNDERWRITING</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LEGAL MATTERS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EXPERTS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230"/>
        </w:trPr>
        <w:tc>
          <w:tcPr>
            <w:tcW w:w="10460" w:type="dxa"/>
            <w:vAlign w:val="bottom"/>
          </w:tcPr>
          <w:p>
            <w:pPr>
              <w:ind w:left="1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WHERE YOU CAN FIND MORE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324"/>
        </w:trPr>
        <w:tc>
          <w:tcPr>
            <w:tcW w:w="10460" w:type="dxa"/>
            <w:vAlign w:val="bottom"/>
          </w:tcPr>
          <w:p>
            <w:pPr>
              <w:ind w:left="120"/>
              <w:spacing w:after="0"/>
              <w:rPr>
                <w:sz w:val="20"/>
                <w:szCs w:val="20"/>
                <w:color w:val="auto"/>
              </w:rPr>
            </w:pPr>
            <w:r>
              <w:rPr>
                <w:rFonts w:ascii="Arial" w:cs="Arial" w:eastAsia="Arial" w:hAnsi="Arial"/>
                <w:sz w:val="18"/>
                <w:szCs w:val="18"/>
                <w:b w:val="1"/>
                <w:bCs w:val="1"/>
                <w:color w:val="auto"/>
              </w:rPr>
              <w:t>Prospectus</w:t>
            </w:r>
          </w:p>
        </w:tc>
        <w:tc>
          <w:tcPr>
            <w:tcW w:w="620" w:type="dxa"/>
            <w:vAlign w:val="bottom"/>
          </w:tcPr>
          <w:p>
            <w:pPr>
              <w:spacing w:after="0"/>
              <w:rPr>
                <w:sz w:val="24"/>
                <w:szCs w:val="24"/>
                <w:color w:val="auto"/>
              </w:rPr>
            </w:pPr>
          </w:p>
        </w:tc>
      </w:tr>
      <w:tr>
        <w:trPr>
          <w:trHeight w:val="310"/>
        </w:trPr>
        <w:tc>
          <w:tcPr>
            <w:tcW w:w="10460" w:type="dxa"/>
            <w:vAlign w:val="bottom"/>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ABOUT THIS PROSPECTUS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PROSPECTUS SUMMARY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FORWARD-LOOKING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SECURITIES WE MAY OFFER</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DESCRIPTION OF COMMON STOCK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PREFERRED STOCK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DEBT SECURITIES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DESCRIPTION OF WARRANTS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DESCRIPTION OF SUBSCRIPTION RIGHTS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DESCRIPTION OF UNITS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SELLING SECURITYHOLDERS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PLAN OF DISTRIBUTION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LEGAL MATTERS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EXPERTS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460" w:type="dxa"/>
            <w:vAlign w:val="bottom"/>
          </w:tcPr>
          <w:p>
            <w:pPr>
              <w:ind w:left="1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WHERE YOU CAN FIND MORE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On May 2, 2019, we filed with the Securities and Exchange Commission, or SEC, a registration statement on Form S-3 utilizing a shelf registration process relating to the securities described in this prospectus supplement, which registration statement became automatically effective upon filing. Under this shelf registration process, we may, from time to time, sell common stock and other securities, of which this offering is a part.</w:t>
      </w:r>
    </w:p>
    <w:p>
      <w:pPr>
        <w:spacing w:after="0" w:line="14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76"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7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8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supplement and the accompanying prospectus to “Veracyte,” the “company,” “we,” “us” and “our” refer to Veracyte, Inc.</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Veracyte, Afirma, Percepta, Envisia, Prosigna, LymphMark, and Know by Design, and the Veracyte, Afirma, Percepta, Envisia and Prosigna logos are our trademarks.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61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20"/>
        <w:spacing w:after="0" w:line="296" w:lineRule="auto"/>
        <w:rPr>
          <w:sz w:val="20"/>
          <w:szCs w:val="20"/>
          <w:color w:val="auto"/>
        </w:rPr>
      </w:pPr>
      <w:r>
        <w:rPr>
          <w:rFonts w:ascii="Arial" w:cs="Arial" w:eastAsia="Arial" w:hAnsi="Arial"/>
          <w:sz w:val="16"/>
          <w:szCs w:val="16"/>
          <w:i w:val="1"/>
          <w:iCs w:val="1"/>
          <w:color w:val="auto"/>
        </w:rPr>
        <w:t>This summary highlights selected information about us and this offering. Because it is a summary, it does not contain all of the information that you should consider before investing. Before you decide to invest in our common stock, you should read carefully and in their entirety this entire prospectus supplement and the accompanying prospectus, including the section in this prospectus supplement entitled “Risk Factors,” and the documents we have incorporated by reference in this prospectus supplement and the accompanying prospectus, along with our financial statements and accompanying notes incorporated by reference in this prospectus supplement and the accompanying prospectus.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20"/>
        <w:spacing w:after="0" w:line="275" w:lineRule="auto"/>
        <w:rPr>
          <w:sz w:val="20"/>
          <w:szCs w:val="20"/>
          <w:color w:val="auto"/>
        </w:rPr>
      </w:pPr>
      <w:r>
        <w:rPr>
          <w:rFonts w:ascii="Arial" w:cs="Arial" w:eastAsia="Arial" w:hAnsi="Arial"/>
          <w:sz w:val="17"/>
          <w:szCs w:val="17"/>
          <w:color w:val="auto"/>
        </w:rPr>
        <w:t>We are a global genomic diagnostics company that improves patient care by answering important clinical questions to inform diagnosis and treatment decisions throughout the patient journey in cancer and other diseases. Our growing menu of genomic tests leverage advances in genomic science and technology to change care for patients, enabling them to avoid risky, costly procedures and quicken time to appropriate treatment. With our exclusive global access to what we believe is a best-in-class diagnostics instrument platform, we are positioned to deliver our tests to patients worldwide through laboratories and hospitals that can perform the tests locally.</w:t>
      </w:r>
    </w:p>
    <w:p>
      <w:pPr>
        <w:spacing w:after="0" w:line="176" w:lineRule="exact"/>
        <w:rPr>
          <w:sz w:val="20"/>
          <w:szCs w:val="20"/>
          <w:color w:val="auto"/>
        </w:rPr>
      </w:pPr>
    </w:p>
    <w:p>
      <w:pPr>
        <w:ind w:left="300" w:right="20"/>
        <w:spacing w:after="0" w:line="254" w:lineRule="auto"/>
        <w:rPr>
          <w:sz w:val="20"/>
          <w:szCs w:val="20"/>
          <w:color w:val="auto"/>
        </w:rPr>
      </w:pPr>
      <w:r>
        <w:rPr>
          <w:rFonts w:ascii="Arial" w:cs="Arial" w:eastAsia="Arial" w:hAnsi="Arial"/>
          <w:sz w:val="18"/>
          <w:szCs w:val="18"/>
          <w:color w:val="auto"/>
        </w:rPr>
        <w:t>We perform our genomic tests for thyroid cancer, lung cancer and idiopathic pulmonary fibrosis, or IPF, in our CLIA-certified laboratory in South San Francisco, California. In December 2019, we announced an exclusive global diagnostics license to the nCounter Analysis System from NanoString Technologies, Inc., or NanoString, as well as the acquisition of the Prosigna breast cancer prognostic gene signature assay, which is commercially available, and the LymphMark lymphoma subtyping assay, which is in development. Both tests are designed for use on the nCounter system. We believe this strategic transaction positions us to expand our business globally with a broad menu of advanced genomic tests that may be offered as distributed kits and performed in local laboratories worldwide. We believe our current and pipeline products address a collective global market of over $40 billion.</w:t>
      </w:r>
    </w:p>
    <w:p>
      <w:pPr>
        <w:spacing w:after="0" w:line="195"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develop our genomic tests using advanced scientific methods, such as ribo nucleic acid, or RNA, whole-transcriptome sequencing and machine learning, and then optimize the assay and classifier results for the platform on which the test will be performed. Historically, that platform has been RNA sequencing, performed in our CLIA lab. Beginning in 2021, we expect this to also include the nCounter platform for international distribution of our tests.</w:t>
      </w:r>
    </w:p>
    <w:p>
      <w:pPr>
        <w:spacing w:after="0" w:line="187" w:lineRule="exact"/>
        <w:rPr>
          <w:sz w:val="20"/>
          <w:szCs w:val="20"/>
          <w:color w:val="auto"/>
        </w:rPr>
      </w:pPr>
    </w:p>
    <w:p>
      <w:pPr>
        <w:ind w:left="300" w:right="100"/>
        <w:spacing w:after="0" w:line="296" w:lineRule="auto"/>
        <w:rPr>
          <w:sz w:val="20"/>
          <w:szCs w:val="20"/>
          <w:color w:val="auto"/>
        </w:rPr>
      </w:pPr>
      <w:r>
        <w:rPr>
          <w:rFonts w:ascii="Arial" w:cs="Arial" w:eastAsia="Arial" w:hAnsi="Arial"/>
          <w:sz w:val="16"/>
          <w:szCs w:val="16"/>
          <w:color w:val="auto"/>
        </w:rPr>
        <w:t>Our genomic classifiers are designed to improve diagnostic and prognostic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cancer indications, diagnosis can be ambiguous in 15-70% of cases. This diagnostic uncertainty can lead to additional, invasive procedures that are often unnecessary, delayed or incorrect treatment, increased healthcare costs and patient anxiety.</w:t>
      </w:r>
    </w:p>
    <w:p>
      <w:pPr>
        <w:spacing w:after="0" w:line="161" w:lineRule="exact"/>
        <w:rPr>
          <w:sz w:val="20"/>
          <w:szCs w:val="20"/>
          <w:color w:val="auto"/>
        </w:rPr>
      </w:pPr>
    </w:p>
    <w:p>
      <w:pPr>
        <w:ind w:left="300" w:right="260"/>
        <w:spacing w:after="0" w:line="342" w:lineRule="auto"/>
        <w:rPr>
          <w:sz w:val="20"/>
          <w:szCs w:val="20"/>
          <w:color w:val="auto"/>
        </w:rPr>
      </w:pPr>
      <w:r>
        <w:rPr>
          <w:rFonts w:ascii="Arial" w:cs="Arial" w:eastAsia="Arial" w:hAnsi="Arial"/>
          <w:sz w:val="16"/>
          <w:szCs w:val="16"/>
          <w:color w:val="auto"/>
        </w:rPr>
        <w:t>We position our tests to fit into the way physicians currently evaluate patients in order to facilitate adoption. We also design our tests to improve patient care and outcomes, while delivering clinical and economic utility to physicians, payers and the healthcare system in general.</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spacing w:after="0" w:line="277" w:lineRule="auto"/>
        <w:rPr>
          <w:sz w:val="20"/>
          <w:szCs w:val="20"/>
          <w:color w:val="auto"/>
        </w:rPr>
      </w:pPr>
      <w:r>
        <w:rPr>
          <w:rFonts w:ascii="Arial" w:cs="Arial" w:eastAsia="Arial" w:hAnsi="Arial"/>
          <w:sz w:val="18"/>
          <w:szCs w:val="18"/>
          <w:color w:val="auto"/>
        </w:rPr>
        <w:t>We believe our powerful scientific platform provides multiple vectors to create value for patients, providers and payers, as well as stockholders, and to help advance precision medicine:</w:t>
      </w:r>
    </w:p>
    <w:p>
      <w:pPr>
        <w:spacing w:after="0" w:line="76" w:lineRule="exact"/>
        <w:rPr>
          <w:sz w:val="20"/>
          <w:szCs w:val="20"/>
          <w:color w:val="auto"/>
        </w:rPr>
      </w:pPr>
    </w:p>
    <w:p>
      <w:pPr>
        <w:ind w:left="1240" w:right="40" w:hanging="415"/>
        <w:spacing w:after="0" w:line="255"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Unique Biorepositories—When we develop new tests, we build extensive, robust biorepositories of patient-consented samples and well-curated clinical, radiological, outcome and other information from Institutional Review Board-approved clinical trials to inform our discovery efforts. Our biorepositories are designed to encompass the broad spectrum of disease that our tests may encounter when used in clinical practice, as well as the wide range of conditions associated with patients who are suspected of having a particular disease. We extract extensive genomic information from these patient samples using our RNA whole-transcriptome sequencing platform.</w:t>
      </w:r>
    </w:p>
    <w:p>
      <w:pPr>
        <w:spacing w:after="0" w:line="97" w:lineRule="exact"/>
        <w:rPr>
          <w:rFonts w:ascii="Arial" w:cs="Arial" w:eastAsia="Arial" w:hAnsi="Arial"/>
          <w:sz w:val="18"/>
          <w:szCs w:val="18"/>
          <w:color w:val="auto"/>
        </w:rPr>
      </w:pPr>
    </w:p>
    <w:p>
      <w:pPr>
        <w:jc w:val="both"/>
        <w:ind w:left="1240" w:hanging="415"/>
        <w:spacing w:after="0" w:line="301" w:lineRule="auto"/>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Proprietary Technology and Bioinformatics—For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or at the time of diagnosis to inform therapeutic selection.</w:t>
      </w:r>
    </w:p>
    <w:p>
      <w:pPr>
        <w:spacing w:after="0" w:line="62" w:lineRule="exact"/>
        <w:rPr>
          <w:rFonts w:ascii="Arial" w:cs="Arial" w:eastAsia="Arial" w:hAnsi="Arial"/>
          <w:sz w:val="16"/>
          <w:szCs w:val="16"/>
          <w:color w:val="auto"/>
        </w:rPr>
      </w:pPr>
    </w:p>
    <w:p>
      <w:pPr>
        <w:ind w:left="1240" w:right="40" w:hanging="415"/>
        <w:spacing w:after="0" w:line="293" w:lineRule="auto"/>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High-Performing Commercial Genomic Tests – With the exception of Prosigna, which competes with a first-to-market test in a highly competitive environment, our genomic tests generally serve large, untapped markets where they are changing the diagnostic and treatment paradigm for patients. We believe the nCounter platform affords us the opportunity to adapt our test menu for multiple markets globally, providing flexibility for a global distributed testing model and potentially increased efficiency in our United States-based CLIA lab. Regardless of the testing platform used for diagnosis, our RNA sequencing platform enables us to offer testing from our CLIA lab for a broad range of gene alterations, which can inform treatment decisions at the time of diagnosis.</w:t>
      </w:r>
    </w:p>
    <w:p>
      <w:pPr>
        <w:spacing w:after="0" w:line="164"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color w:val="auto"/>
        </w:rPr>
        <w:t>We believe our ability to leverage RNA whole-transcriptome sequencing data in large biorepositories of patient-consented samples in oncology and other indications presents an opportunity for biopharmaceutical companies to enhance their research and development capabilities. In April 2018, we announced a collaboration with Loxo Oncology (now a wholly owned subsidiary of Eli Lilly and Company) to advance its development of highly selective medicines for patients with genetically defined cancers, including thyroid cancer. In December 2018, we entered into a long-term strategic collaboration with Johnson &amp; Johnson Innovation and the Lung Cancer Initiative at Johnson &amp; Johnson to advance the development and commercialization of novel diagnostic tests to detect lung cancer at its earliest stages, when the disease is most treatable. The collaboration builds upon foundational “field of injury” science whereby genomic changes associated with lung cancer can be identified with a simple brushing of a person’s airway to develop new interventions that can save lives. Additionally, in January 2020, we announced an agreement with Acerta Pharma, the hematology research and development arm of AstraZeneca, to provide genomic information that will support its development of oncology therapeutics in lymphoma.</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collaboration with the Lung Cancer Initiative at Johnson &amp; Johnson has helped accelerate two of our key lung cancer programs:</w:t>
      </w:r>
    </w:p>
    <w:p>
      <w:pPr>
        <w:spacing w:after="0" w:line="23" w:lineRule="exact"/>
        <w:rPr>
          <w:sz w:val="20"/>
          <w:szCs w:val="20"/>
          <w:color w:val="auto"/>
        </w:rPr>
      </w:pPr>
    </w:p>
    <w:p>
      <w:pPr>
        <w:ind w:left="300" w:right="180" w:hanging="2"/>
        <w:spacing w:after="0" w:line="295" w:lineRule="auto"/>
        <w:tabs>
          <w:tab w:leader="none" w:pos="51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commercialization of the Percepta GSC on our RNA whole-transcriptome sequencing platform, and (ii) development of the first non-invasive nasal swab test for early lung cancer detection. We began making the Percepta GSC available to customers in June 2019. In October 2019, we announced preliminary data for our nasal swab classifier, which demonstrated the test’s potential to identify patients at low risk of lung cancer so they can potentially avoid unnecessary procedures and those at high risk so they can receive prompt diagnosis and treatment.</w:t>
      </w:r>
    </w:p>
    <w:p>
      <w:pPr>
        <w:spacing w:after="0" w:line="161" w:lineRule="exact"/>
        <w:rPr>
          <w:sz w:val="20"/>
          <w:szCs w:val="20"/>
          <w:color w:val="auto"/>
        </w:rPr>
      </w:pPr>
    </w:p>
    <w:p>
      <w:pPr>
        <w:ind w:left="300" w:right="180"/>
        <w:spacing w:after="0" w:line="263"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which we believe is key to driving adoption and reimbursement. Patients and physicians can access our full list of publications on our website. Over 50 clinical studies covering our products have been published, including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401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44018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342" w:lineRule="auto"/>
        <w:rPr>
          <w:sz w:val="20"/>
          <w:szCs w:val="20"/>
          <w:color w:val="auto"/>
        </w:rPr>
      </w:pPr>
      <w:r>
        <w:rPr>
          <w:rFonts w:ascii="Arial" w:cs="Arial" w:eastAsia="Arial" w:hAnsi="Arial"/>
          <w:sz w:val="16"/>
          <w:szCs w:val="16"/>
          <w:color w:val="auto"/>
        </w:rPr>
        <w:t xml:space="preserve">three landmark clinical validation papers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for the Afirma and Percepta classifiers, respectively, and in </w:t>
      </w:r>
      <w:r>
        <w:rPr>
          <w:rFonts w:ascii="Arial" w:cs="Arial" w:eastAsia="Arial" w:hAnsi="Arial"/>
          <w:sz w:val="16"/>
          <w:szCs w:val="16"/>
          <w:i w:val="1"/>
          <w:iCs w:val="1"/>
          <w:color w:val="auto"/>
        </w:rPr>
        <w:t>The Lancet Respiratory Medicine</w:t>
      </w:r>
      <w:r>
        <w:rPr>
          <w:rFonts w:ascii="Arial" w:cs="Arial" w:eastAsia="Arial" w:hAnsi="Arial"/>
          <w:sz w:val="16"/>
          <w:szCs w:val="16"/>
          <w:color w:val="auto"/>
        </w:rPr>
        <w:t xml:space="preserve"> for the Envisia classifier. We continue to build upon our extensive library of clinical evidence.</w:t>
      </w:r>
    </w:p>
    <w:p>
      <w:pPr>
        <w:spacing w:after="0" w:line="124" w:lineRule="exact"/>
        <w:rPr>
          <w:sz w:val="20"/>
          <w:szCs w:val="20"/>
          <w:color w:val="auto"/>
        </w:rPr>
      </w:pPr>
    </w:p>
    <w:p>
      <w:pPr>
        <w:ind w:left="300" w:right="40"/>
        <w:spacing w:after="0" w:line="254" w:lineRule="auto"/>
        <w:rPr>
          <w:sz w:val="20"/>
          <w:szCs w:val="20"/>
          <w:color w:val="auto"/>
        </w:rPr>
      </w:pPr>
      <w:r>
        <w:rPr>
          <w:rFonts w:ascii="Arial" w:cs="Arial" w:eastAsia="Arial" w:hAnsi="Arial"/>
          <w:sz w:val="18"/>
          <w:szCs w:val="18"/>
          <w:color w:val="auto"/>
        </w:rPr>
        <w:t>We believe our focus on developing clinically useful tests that change patient care is enabling us to set new standards in genomic test reimbursement. Our genomic classifiers in thyroid cancer, lung cancer and IPF, as well as the Prosigna breast cancer assay are covered by Medicare. Our Afirma classifier, for use in thyroid cancer diagnosis, is now covered by every major health plan in the United States, which collectively insure more than 275 million people. We are contracted as an in-network service provider to health plans representing over 225 million people in the United States. We believe that our in-network status with private payers will help facilitate private insurer reimbursement for our Percepta and Envisia classifiers. The Prosigna test is covered by leading private payers in the United States and is widely reimbursed by government and private payers in the countries where it is available.</w:t>
      </w:r>
    </w:p>
    <w:p>
      <w:pPr>
        <w:spacing w:after="0" w:line="195" w:lineRule="exact"/>
        <w:rPr>
          <w:sz w:val="20"/>
          <w:szCs w:val="20"/>
          <w:color w:val="auto"/>
        </w:rPr>
      </w:pPr>
    </w:p>
    <w:p>
      <w:pPr>
        <w:ind w:left="300" w:right="80"/>
        <w:spacing w:after="0" w:line="272" w:lineRule="auto"/>
        <w:rPr>
          <w:sz w:val="20"/>
          <w:szCs w:val="20"/>
          <w:color w:val="auto"/>
        </w:rPr>
      </w:pPr>
      <w:r>
        <w:rPr>
          <w:rFonts w:ascii="Arial" w:cs="Arial" w:eastAsia="Arial" w:hAnsi="Arial"/>
          <w:sz w:val="17"/>
          <w:szCs w:val="17"/>
          <w:color w:val="auto"/>
        </w:rPr>
        <w:t>We also expect to continue expanding our offerings in thyroid cancer, lung cancer, interstitial lung diseases such as IPF, breast cancer and lymphoma, as well as other indications that we believe will benefit from our technology and approach. Our product development pipelines address what we believe to be significant market opportunities for addressing clinical questions in early detection, diagnosis, staging/prognosis, therapy selection/surgery and disease monitoring across the aforementioned indications. We plan to commercially introduce four products in 2021: Our nasal swab classifier for early lung cancer detection and our Percepta Lung Cancer Atlas, which together with the Percepta GSC, form a comprehensive lung cancer portfolio; our Envisia classifier on the nCounter system for expansion into global markets; and, if the FDA grants our De Novo classification request, our LymphMark lymphoma subtyping test.</w:t>
      </w:r>
    </w:p>
    <w:p>
      <w:pPr>
        <w:spacing w:after="0" w:line="177"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Additionally, since the beginning of the second quarter of 2020 we announced our first two diagnostic company partnerships – with CareDx in transplantation and MAVIDx in COVID-19 and other infectious diseases, which we expect to help expand our testing menu on the nCounter system and fuel additional revenue-generation opportunities.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jc w:val="both"/>
        <w:ind w:left="300" w:right="200"/>
        <w:spacing w:after="0" w:line="296" w:lineRule="auto"/>
        <w:rPr>
          <w:sz w:val="20"/>
          <w:szCs w:val="20"/>
          <w:color w:val="auto"/>
        </w:rPr>
      </w:pPr>
      <w:r>
        <w:rPr>
          <w:rFonts w:ascii="Arial" w:cs="Arial" w:eastAsia="Arial" w:hAnsi="Arial"/>
          <w:sz w:val="16"/>
          <w:szCs w:val="16"/>
          <w:color w:val="auto"/>
        </w:rPr>
        <w:t>We were incorporated in the state of Delaware on August 15, 2006 as Calderome, Inc. Calderome, Inc.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supplement or the accompanying prospectus, and you should not consider any information on, or accessible through, our website as part of this prospectus supplement or the accompanying prospectus.</w:t>
      </w: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00"/>
          </w:cols>
          <w:pgMar w:left="320" w:top="459" w:right="67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Veracyte, Inc.</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we are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6,000,000 shares.</w:t>
      </w:r>
    </w:p>
    <w:p>
      <w:pPr>
        <w:spacing w:after="0" w:line="211"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56,446,104 shares (or 57,346,104 shares if the underwriters exercise in full their option to purchase additional shares of our common stock).</w:t>
      </w:r>
    </w:p>
    <w:p>
      <w:pPr>
        <w:spacing w:after="0" w:line="197" w:lineRule="exact"/>
        <w:rPr>
          <w:sz w:val="20"/>
          <w:szCs w:val="20"/>
          <w:color w:val="auto"/>
        </w:rPr>
      </w:pPr>
    </w:p>
    <w:p>
      <w:pPr>
        <w:sectPr>
          <w:pgSz w:w="11900" w:h="16838" w:orient="portrait"/>
          <w:cols w:equalWidth="0" w:num="2">
            <w:col w:w="3940" w:space="40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We have granted the underwriters a 30-day option to purchase additional 900,000 shares of our common stock.</w:t>
      </w:r>
    </w:p>
    <w:p>
      <w:pPr>
        <w:spacing w:after="0" w:line="197"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We currently intend to use the net proceeds from this offering for working capital and other general corporate purposes. We may also use a portion of the net proceeds from this offering to acquire or invest in complementary businesses, technologies or other assets, although we have no present commitments or agreements to do so. See the section entitled “Use of Proceeds.”</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See the section entitled “Risk Factors” for a discussion of factors you should consider carefully before deciding to invest in our common stock.</w:t>
      </w:r>
    </w:p>
    <w:p>
      <w:pPr>
        <w:spacing w:after="0" w:line="197"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“VCYT”</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39" w:lineRule="exact"/>
        <w:rPr>
          <w:sz w:val="20"/>
          <w:szCs w:val="20"/>
          <w:color w:val="auto"/>
        </w:rPr>
      </w:pPr>
    </w:p>
    <w:p>
      <w:pPr>
        <w:ind w:left="300" w:right="100"/>
        <w:spacing w:after="0" w:line="277" w:lineRule="auto"/>
        <w:rPr>
          <w:sz w:val="20"/>
          <w:szCs w:val="20"/>
          <w:color w:val="auto"/>
        </w:rPr>
      </w:pPr>
      <w:r>
        <w:rPr>
          <w:rFonts w:ascii="Arial" w:cs="Arial" w:eastAsia="Arial" w:hAnsi="Arial"/>
          <w:sz w:val="18"/>
          <w:szCs w:val="18"/>
          <w:color w:val="auto"/>
        </w:rPr>
        <w:t>The number of shares of common stock to be outstanding immediately after this offering is based on 50,446,104 shares outstanding as of June 30, 2020 and excludes:</w:t>
      </w:r>
    </w:p>
    <w:p>
      <w:pPr>
        <w:spacing w:after="0" w:line="76" w:lineRule="exact"/>
        <w:rPr>
          <w:sz w:val="20"/>
          <w:szCs w:val="20"/>
          <w:color w:val="auto"/>
        </w:rPr>
      </w:pPr>
    </w:p>
    <w:p>
      <w:pPr>
        <w:ind w:left="1240" w:right="1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4,619,640 shares of our common stock issuable upon the exercise of stock options outstanding as of June 30, 2020, with a weighted-average exercise price of $13.16 per share;</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210,000 shares of our common stock issuable upon the exercise of stock options granted after June 30, 2020, with a weighted-average exercise price of $29.89 per share, and an additional 35,000 shares of common stock issuable upon the exercise of stock options granted on August 1, 2020;</w:t>
      </w:r>
    </w:p>
    <w:p>
      <w:pPr>
        <w:spacing w:after="0" w:line="89" w:lineRule="exact"/>
        <w:rPr>
          <w:rFonts w:ascii="Arial" w:cs="Arial" w:eastAsia="Arial" w:hAnsi="Arial"/>
          <w:sz w:val="18"/>
          <w:szCs w:val="18"/>
          <w:color w:val="auto"/>
        </w:rPr>
      </w:pPr>
    </w:p>
    <w:p>
      <w:pPr>
        <w:ind w:left="1240" w:right="20" w:hanging="415"/>
        <w:spacing w:after="0" w:line="342" w:lineRule="auto"/>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790,182 shares of common stock issuable upon the settlement of restricted stock units, or RSUs, and 125,000 shares of common stock issuable upon the settlement of performance stock units, or PSUs, in each case, outstanding as of June 30, 2020;</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2,962,661 shares of common stock reserved for future issuance under our 2013 Stock Incentive Plan, as amended;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1,612,226 shares of common stock reserved for future issuance under our Amended and Restated Employee Stock Purchase Plan.</w:t>
      </w:r>
    </w:p>
    <w:p>
      <w:pPr>
        <w:spacing w:after="0" w:line="248" w:lineRule="exact"/>
        <w:rPr>
          <w:sz w:val="20"/>
          <w:szCs w:val="20"/>
          <w:color w:val="auto"/>
        </w:rPr>
      </w:pPr>
    </w:p>
    <w:p>
      <w:pPr>
        <w:ind w:left="300" w:right="240"/>
        <w:spacing w:after="0" w:line="308" w:lineRule="auto"/>
        <w:rPr>
          <w:sz w:val="20"/>
          <w:szCs w:val="20"/>
          <w:color w:val="auto"/>
        </w:rPr>
      </w:pPr>
      <w:r>
        <w:rPr>
          <w:rFonts w:ascii="Arial" w:cs="Arial" w:eastAsia="Arial" w:hAnsi="Arial"/>
          <w:sz w:val="17"/>
          <w:szCs w:val="17"/>
          <w:color w:val="auto"/>
        </w:rPr>
        <w:t>Except as otherwise indicated, all information in this prospectus supplement assumes no exercise or settlement of the outstanding stock options, RSUs or other equity awards described above and no exercise by the underwriters of their option to purchase additional shares.</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00"/>
          </w:cols>
          <w:pgMar w:left="320" w:top="459" w:right="67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i w:val="1"/>
          <w:iCs w:val="1"/>
          <w:color w:val="auto"/>
        </w:rPr>
        <w:t>Investing in shares of our common stock involves a high degree of risk. You should consider carefully the risks and uncertainties described below and in our Quarterly Report on Form 10-Q for the quarter ended June 30, 2020 incorporated by reference in this prospectus supplement and the accompanying prospectus, any amendment or update thereto reflected in our subsequent filings with the SEC, and all of the other information in this prospectus supplement and the accompanying prospectus, including our financial statements and related notes incorporated by reference in this prospectus supplement and the accompanying prospectus, before making an investment decision.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6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303" w:lineRule="exact"/>
        <w:rPr>
          <w:sz w:val="20"/>
          <w:szCs w:val="20"/>
          <w:color w:val="auto"/>
        </w:rPr>
      </w:pPr>
    </w:p>
    <w:p>
      <w:pPr>
        <w:ind w:left="120" w:right="360"/>
        <w:spacing w:after="0" w:line="375" w:lineRule="auto"/>
        <w:rPr>
          <w:sz w:val="20"/>
          <w:szCs w:val="20"/>
          <w:color w:val="auto"/>
        </w:rPr>
      </w:pPr>
      <w:r>
        <w:rPr>
          <w:rFonts w:ascii="Arial" w:cs="Arial" w:eastAsia="Arial" w:hAnsi="Arial"/>
          <w:sz w:val="15"/>
          <w:szCs w:val="15"/>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price per share of our common stock being offered may be higher than the net tangible book value per share of our outstanding common stock prior to this offering. Based on an assumed public offering price of $35.67 per share, which was the last reported sale price of our shares of common stock on The Nasdaq Global Market on July 31, 2020, and our net tangible book value as of June 30, 2020 of approximately $3.19 per share, if you purchase shares of common stock in this offering, you will suffer immediate and substantial dilution of $29.27 per share, representing the difference between the assumed public offering price and the as adjusted net tangible book value per share of our common stock as of June 30, 2020 after giving effect to this offering. See the section entitled “Dilution” below for a more detailed discussion of the dilution you will incur if you purchase common stock in this offering.</w:t>
      </w:r>
    </w:p>
    <w:p>
      <w:pPr>
        <w:spacing w:after="0" w:line="19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addition, we have a significant number of stock options to purchase common stock and RSUs outstanding, and may choose to issue additional common stock, or securities convertible into or exchangeable for common stock, in the future. In the event that the outstanding stock options or RSUs are exercised or settled,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shares of our common stock by our existing stockholders could cause our stock price to decline.</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Further, we have a significant number of stock options and RSUs outstanding. As of June 30, 2020, we had 50,446,104 shares of outstanding common stock, of which approximately 509,290 shares and an additional 3,568,690 shares underlying stock options and RSUs are subject to restrictions on transfer under 60-day lock-up arrangements with the underwriters of this offering. These shares will become eligible for public sale at the expiration of the lock-up period, subject to vesting requirements and volume limitations applicable to affiliates. If a substantial number of shares of common stock, including shares of common stock underlying outstanding stock options and RSUs, are sold, or if it is perceived that they will be sold, in the public market, it could have an adverse impact on the market price of our common stock.</w:t>
      </w:r>
    </w:p>
    <w:p>
      <w:pPr>
        <w:spacing w:after="0" w:line="17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Furthermore, certain of our directors and executive officers have adopted, and other directors and executive officers may in the future adopt, written trading plans that are intended to comply with Rule 10b5-1 under the Securities Exchange Act of 1934, as amended, or Exchange Act, under which they have contracted, or may in the future contract, with a broker to sell shares of our common stock. Sales of substantial amounts of our common stock in the public markets during the lock-up period pursuant to existing Rule 10b5-1 plans or pursuant to new Rule 10b5-1 plans following the expiration of the lock-up period or otherwise, or the perception that these sales could occur, could cause the market price of our common stock to decline. We are unable to predict the effect that sales may have on the prevailing market price of our common stock.</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This prospectus supplement, the accompanying prospectus and the documents we have filed with the SEC that are incorporated by reference in this prospectus supplement and the accompanying prospectus contain forward-looking statements within the meaning of the Private Securities Litigation Reform Act of 1995. When used in this prospectus supplement, the accompanying prospectus and the documents we have filed with the SEC that are incorporated by reference in this prospectus supplement and the accompanying prospectus,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the impact of the COVID-19 pandemic on our business and the U.S. and global economies; our expectations regarding the return to pre-COVID-19 volume and revenue levels; our beliefs with respect to the optimization of our processes for the analysis of RNA samples; our integration of the assets acquired from NanoString; our ability to deploy the nCounter Analysis System successfully and run our tests on this platform worldwide; our beliefs with respect to the optimization of our processes for the analysis of RNA samples; our collaboration with Johnson &amp; Johnson; our belief in the importance of maintaining libraries of clinical evidence; our expectations regarding the nasal swab classifier for early lung cancer detection, the Percepta Lung Cancer Atlas, the Envisia classifier on the nCounter system and the LymphMark lymphoma subtyping test; our expectations regarding our diagnostic company partnerships with CareDx and MAVIDx; our ability to have the targeted Atlas platform transferred to our pulmonology indications; our expectations regarding the Percepta Lung Cancer Atlas;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Thyroid Cytopathology Partners, and on other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herein.</w:t>
      </w:r>
    </w:p>
    <w:p>
      <w:pPr>
        <w:spacing w:after="0" w:line="200" w:lineRule="exact"/>
        <w:rPr>
          <w:sz w:val="20"/>
          <w:szCs w:val="20"/>
          <w:color w:val="auto"/>
        </w:rPr>
      </w:pPr>
    </w:p>
    <w:p>
      <w:pPr>
        <w:spacing w:after="0" w:line="202"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Any forward-looking statement made by us in this prospectus supplement, the accompanying prospectus, or any of the documents incorporated by reference in this prospectus supplement and the accompanying prospectus speaks only as of the date on which it was made. We expressly disclaim any obligation or undertaking to release publicly any updates or revisions to any forward-looking statements contained herein to reflect any change in our expectations with regard thereto or any change in events, conditions or circumstances on which any such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statement is based. You should, however, review additional disclosures we make in our Annual Report on Form 10-K, Quarterly Reports on Form 10-Q, and Current Reports on Form 8-K filed with the SEC.</w:t>
      </w:r>
    </w:p>
    <w:p>
      <w:pPr>
        <w:spacing w:after="0" w:line="170"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You should read this prospectus supplement, the accompanying prospectus, and the documents that we reference in this prospectus supplement and the accompanying prospectus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4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This prospectus supplement, the accompanying prospectus, and the documents that we reference in this prospectus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60"/>
          </w:cols>
          <w:pgMar w:left="32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estimate that the net proceeds from the sale of 6,000,000 shares of our common stock in this offering, at an assumed public offering price of $35.67 per share, which was the last reported sale price of our common stock on The Nasdaq Global Market on July 31, 2020, will be approximately $200.4 million, after deducting the estimated underwriting discounts and commissions and estimated offering expenses we expect to pay. If the underwriters exercise their option to purchase additional shares in full, we estimate that our net proceeds will be approximately $230.6 million, after deducting the estimated underwriting discounts and commissions and estimated offering expenses we expect to pay.</w:t>
      </w:r>
    </w:p>
    <w:p>
      <w:pPr>
        <w:spacing w:after="0" w:line="17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intend to use the net proceeds from this offering for working capital and other general corporate purposes. As a result, our management will have broad discretion in the way that we use the net proceeds and investors will be relying on our judgment regarding the application of the net proceeds of this offering. We may also use a portion of the net proceeds from this offering to acquire or invest in complementary businesses, technologies or other assets, although we have no present commitments or agreements to do so.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9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Each $1.00 increase (decrease) in the assumed public offering price of $35.67 per share would increase (decrease) the net proceeds to us from this offering by approximately $5.6 million, assuming that the number of shares offered by us, as set forth on the cover page of this preliminary prospectus supplement, remains the same, and after deducting the estimated underwriting discounts and commissions. Each increase (decrease) of 1.0 million shares in the number of shares of common stock offered by us would increase (decrease) the net proceeds to us from this offering by approximately $33.5 million, assuming that the assumed public offering price remains the same, and after deducting the estimated underwriting discounts and commissions.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00"/>
          </w:cols>
          <w:pgMar w:left="320" w:top="459" w:right="5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price per share of our common stock you pay in this offering and the net tangible book value per share of our common stock immediately after this offering.</w:t>
      </w:r>
    </w:p>
    <w:p>
      <w:pPr>
        <w:spacing w:after="0" w:line="12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Our net tangible book value as of June 30, 2020 was approximately $160.9 million, or $3.19 per share of our common stock. Net tangible book value per share is calculated by subtracting our total liabilities from our total tangible assets, which is total assets less intangible assets, and dividing this amount by the number of shares of our common stock outstanding.</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After giving effect to the sale by us of 6,000,000 shares of our common stock at an assumed public offering price of $35.67 per share, which was the last reported sale price of our shares of common stock on The Nasdaq Global Market on July 31, 2020, and after deducting the estimated underwriting discounts and commissions and estimated offering expenses, our as adjusted net tangible book value as of June 30, 2020 would have been approximately $361.4 million, or $6.40 per share of our common stock. This represents an immediate increase in the net tangible book value of $3.21 per share to our existing stockholders and an immediate and substantial dilution in net tangible book value of $29.27 per share to new investors.</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per share dilution:</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June 30, 2020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Increase in as adjusted net tangible book value per share attributable to new investors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gridSpan w:val="2"/>
          </w:tcPr>
          <w:p>
            <w:pPr>
              <w:ind w:left="880"/>
              <w:spacing w:after="0"/>
              <w:rPr>
                <w:sz w:val="20"/>
                <w:szCs w:val="20"/>
                <w:color w:val="auto"/>
              </w:rPr>
            </w:pPr>
            <w:r>
              <w:rPr>
                <w:rFonts w:ascii="Arial" w:cs="Arial" w:eastAsia="Arial" w:hAnsi="Arial"/>
                <w:sz w:val="18"/>
                <w:szCs w:val="18"/>
                <w:color w:val="auto"/>
              </w:rPr>
              <w:t>As adjusted net tangible book value per share after this offering</w:t>
            </w:r>
          </w:p>
        </w:tc>
        <w:tc>
          <w:tcPr>
            <w:tcW w:w="6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Each $1.00 increase (decrease) in the assumed public offering price of $35.67 per share, which was the last reported sale price of our shares of common stock on The Nasdaq Global Market on July 31, 2020, would increase (decrease) our as adjusted net tangible book value per share after this offering by $0.10 per share, and would increase (decrease) dilution per share to new investors participating in this offering by $0.90 per share, assuming that the number of shares offered by us, as set forth on the cover page of this preliminary prospectus supplement, remains the same, and after deducting the estimated underwriting discounts and commissions. Similarly, each increase of 1.0 million shares in the number of shares of common stock offered by us would increase our as adjusted net tangible book value per share after this offering by $0.47 per share, and would decrease dilution per share to new investors participating in this offering by $0.47 per share, assuming that the assumed public offering price remains the same, and after deducting the estimated underwriting discounts and commissions. Similarly each decrease of 1.0 million shares in the number of shares of common stock offered by us would decrease our as adjusted net tangible book value per share after this offering by $0.49 per share, and would increase dilution per share to new investors participating in this offering by $0.49 per share, assuming that the assumed public offering price remains the same, and after deducting the estimated underwriting discounts and commissions. The as adjusted information discussed above is illustrative only and will be adjusted based on the actual public offering price and other terms of this offering determined at pricing.</w:t>
      </w:r>
    </w:p>
    <w:p>
      <w:pPr>
        <w:spacing w:after="0" w:line="16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If the underwriters exercise in full their option to purchase up to 900,000 additional shares from us at an assumed public offering price of $35.67 per share, the as adjusted net tangible book value per share after this offering would be $6.83 per share and the dilution to new investors participating in this offering would be $28.84 per share.</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calculations above are based on 50,446,104 shares of our common stock outstanding as of June 30, 2020. The number of shares of common stock outstanding as of June 30, 2020 excludes:</w:t>
      </w:r>
    </w:p>
    <w:p>
      <w:pPr>
        <w:spacing w:after="0" w:line="76" w:lineRule="exact"/>
        <w:rPr>
          <w:sz w:val="20"/>
          <w:szCs w:val="20"/>
          <w:color w:val="auto"/>
        </w:rPr>
      </w:pPr>
    </w:p>
    <w:p>
      <w:pPr>
        <w:ind w:left="1080" w:right="5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4,619,640 shares of our common stock issuable upon the exercise of stock options outstanding as of June 30, 2020, with a weighted-average exercise price of $13.16 per share;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210,000 shares of our common stock issuable upon the exercise of stock options granted after June 30, 2020, with a weighted-average exercise price of $29.89 per share, and an additional 35,000 shares of common stock issuable upon the exercise of stock options granted on August 1, 2020;</w:t>
      </w:r>
    </w:p>
    <w:p>
      <w:pPr>
        <w:spacing w:after="0" w:line="89" w:lineRule="exact"/>
        <w:rPr>
          <w:rFonts w:ascii="Arial" w:cs="Arial" w:eastAsia="Arial" w:hAnsi="Arial"/>
          <w:sz w:val="18"/>
          <w:szCs w:val="18"/>
          <w:color w:val="auto"/>
        </w:rPr>
      </w:pPr>
    </w:p>
    <w:p>
      <w:pPr>
        <w:ind w:left="1080" w:right="36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790,182 shares of common stock issuable upon the settlement of restricted stock units, or RSUs, and 125,000 shares of common stock issuable upon the settlement of performance stock units, or PSUs, in each case, outstanding as of June 30, 2020;</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2,962,661 shares of common stock reserved for future issuance under our 2013 Stock Incentive Plan, as amended;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1,612,226 shares of common stock reserved for future issuance under our Employee Stock Purchase Plan.</w:t>
      </w:r>
    </w:p>
    <w:p>
      <w:pPr>
        <w:spacing w:after="0" w:line="22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To the extent that any outstanding stock options have been or may be exercised, RSUs are settled or other shares are issued, investors purchasing our common stock in this offering may experience further dilution. In addition, we may choose to issue additional common stock, or securities convertible into or exchangeable for common stock, in the future. The issuance of these securities could result in further dilution to investors participating in this offering.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and do not expect to pay any dividends in the foreseeable future. On November 3, 2017, we entered into a loan and security agreement, or Loan and Security Agreement, with Silicon Valley Bank. The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NON-U.S. HOLDERS OF OUR COMMON STOCK</w:t>
      </w:r>
    </w:p>
    <w:p>
      <w:pPr>
        <w:spacing w:after="0" w:line="21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tax or Medicare contribution tax on net investment income and does not discuss state, local, U.S. federal gift and estate tax laws, except to the limited extent provided below, or any non-U.S. tax consequences that may be relevant to Non-U.S. Holders in light of their particular circumstances.</w:t>
      </w:r>
    </w:p>
    <w:p>
      <w:pPr>
        <w:spacing w:after="0" w:line="188"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 Internal Revenue Code of 1986, as amended, or Code, such as:</w:t>
      </w:r>
    </w:p>
    <w:p>
      <w:pPr>
        <w:spacing w:after="0" w:line="76"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451(b) of the Code;</w:t>
      </w:r>
    </w:p>
    <w:p>
      <w:pPr>
        <w:spacing w:after="0" w:line="75"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purposes);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partnerships and other pass-through entities, and investors in such pass-through entities or entities that are treated as disregarded entities for U.S. federal income tax purposes (regardless of their places of organization or formation);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Such Non-U.S. Holders are urged to consult their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and will not request a ruling from the Internal Revenue Service, or IRS, with respect to the statements made and the conclusions reached in the following summary, and there can be no assurance that the IRS will agree with such statements and conclusions or will not take a contrary position regarding the tax consequences of the acquisition, ownership, and disposition of our common stock, or that any such contrary position would not be sustained by a court.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PERSONS CONSIDERING THE PURCHASE OF OUR COMMON STOCK PURSUANT TO THIS OFFERING SHOULD CONSULT THEIR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76"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For the purposes of this discussion, a “Non-U.S. Holder” is, for U.S. federal income tax purposes, a beneficial owner of common stock other than a U.S. Holder or a partnership for U.S. federal income tax purposes. A “U.S. Holder” means a beneficial owner of our common stock that is for U.S. federal income tax purposes (a) an individual citizen or resident of the United States (as determined under U.S. federal income tax rules), (b) a corporation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17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tax advisors regarding the U.S. federal income tax consequences of the ownership or disposition of our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do not expect to declare or make any distributions on our common stock in the foreseeable future. If we do make distributions on our common stock,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titled “— Gain on Disposition of our Common Stock.”</w:t>
      </w:r>
    </w:p>
    <w:p>
      <w:pPr>
        <w:spacing w:after="0" w:line="19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us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us or our paying agent, either directly or through other intermediaries. If you are eligible for a reduced rate of U.S. federal withholding tax under an income tax treaty,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you should consult with your tax advisor to determine if you are able to obtain a refund or credit of any excess amounts withheld by timely filing an appropriate claim for a refund with the IRS.</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stock is held through a financial institution or other agent, to the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generally imposed at a rate of 30% (or such lower rate as may be specified by an applicable treaty) on the corporate Non-U.S. Holder’s effectively connected earnings and profits, subject to certain adjustments.</w:t>
      </w:r>
    </w:p>
    <w:p>
      <w:pPr>
        <w:spacing w:after="0" w:line="192"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See also the section below entitled “— Foreign Accounts” for additional withholding rules that may apply to dividends paid to foreign financial institutions or non-financial foreign entities.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Subject to the discussion below under the sections titled “— Backup Withholding and Information Reporting” and “— Foreign Accounts,” a Non-U.S. Holder generally will not be subject to U.S. federal income tax with respect to gain realized on a sale or other disposition of our common stock unless</w:t>
      </w:r>
    </w:p>
    <w:p>
      <w:pPr>
        <w:ind w:left="120" w:right="60" w:hanging="4"/>
        <w:spacing w:after="0" w:line="271" w:lineRule="auto"/>
        <w:tabs>
          <w:tab w:leader="none" w:pos="36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holder’s holding period in the common stock.</w:t>
      </w:r>
    </w:p>
    <w:p>
      <w:pPr>
        <w:spacing w:after="0" w:line="178"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the sum of our worldwide real estate assets plus our business assets. We believe that we are not, and do not anticipate becoming, a U.S. real property holding corporation. However,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or constructively, no more than five percent of our common stock at all times within the shorter of (i) the five-year period preceding the disposition or (ii) the holder’s holding period and (2) our common stock is regularly traded on an established securities market. There can be no assurance that our common stock will qualify as regularly traded on an established securities market.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estates of nonresident alien individuals generally are subject to U.S. federal estate tax on property with a U.S. situs. Because we are a U.S. corporation, our common stock will be U.S. situs property and therefore will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tax advisors regarding the U.S. federal estate tax consequences of the ownership or disposition of our common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distributions (including any dividends) we make on our common stock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7"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W-8ECI, as applicable, or otherwise establishes an exemption, provided that the applicable withholding agent does not have actual knowledge or reason to know the holder is a U.S. person.</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IRS Form W-8BEN-E or IRS Form W-8ECI, as applicable, or otherwise meets documentary evidence requirements for establishing Non-U.S. Holder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tax advisor to determine whether you have overpaid your U.S. federal income tax, and whether you are able to obtain a tax refund or credit of the overpaid amount.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addition to, and separately from, the withholding rules described above, U.S. federal withholding taxes at a rate of 30% may apply under the law commonly known as the Foreign Account Tax Compliance Act, or FATCA, on certain types of payments, including dividends, made to (A) a “foreign financial institution” (as defined for this purpose) unless such institution (i) is exempt from FATCA withholding pursuant to an applicable intergovernmental agreement between the jurisdiction in which it is located and the United States, (ii) enters into an agreement with the U.S. government to collect and provide to the U.S. tax authorities information regarding U.S. account holders of such institution or (iii) meets other exemptions or (B) a “non-financial foreign entity” (as defined for this purpose), unless such entity (i) is exempt from FATCA withholding pursuant to an applicable intergovernmental agreement between the jurisdiction in which it is located and the United States, (ii) provides the withholding agent with a certification identifying any “substantial U.S. owners” of the entity (as defined for this purpose), (iii) certifies that it does not have any substantial U.S. owners or (iv) meets other exemptions. Foreign financial institutions located in jurisdictions that have an intergovernmental agreement with the United States governing FATCA may be subject to different rules.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Under applicable Treasury Regulations and IRS guidance, FATCA withholding as described above currently applies to payments of dividends on our common stock. While withholding under FATCA would have applied also to payments of gross proceeds from the sale or other disposition of common stock, proposed Treasury Regulations eliminate FATCA withholding on payments of gross proceeds. The preamble to the proposed Treasury Regulations specifies that taxpayers are permitted to rely on such proposed regulations pending finalization.</w:t>
      </w:r>
    </w:p>
    <w:p>
      <w:pPr>
        <w:spacing w:after="0" w:line="17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EACH PROSPECTIVE INVESTOR SHOULD CONSULT ITS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0980"/>
          </w:cols>
          <w:pgMar w:left="320" w:top="459" w:right="5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and the underwriters named below will enter into an underwriting agreement with respect to the shares of our common stock being offered. Subject to certain conditions, each underwriter has severally agreed to purchase the number of shares of our common stock indicated in the following table. Goldman Sachs &amp; Co. LLC and SVB Leerink LLC are the representatives of the underwriters.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Underwriter</w:t>
            </w:r>
          </w:p>
        </w:tc>
        <w:tc>
          <w:tcPr>
            <w:tcW w:w="552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Number of Shares</w:t>
            </w:r>
          </w:p>
        </w:tc>
      </w:tr>
      <w:tr>
        <w:trPr>
          <w:trHeight w:val="189"/>
        </w:trPr>
        <w:tc>
          <w:tcPr>
            <w:tcW w:w="6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SVB Leerink LLC</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BTIG, LLC</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Needham &amp; Company, LLC</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Lake Street Capital Markets, LLC</w:t>
            </w:r>
          </w:p>
        </w:tc>
        <w:tc>
          <w:tcPr>
            <w:tcW w:w="1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6,000,000</w:t>
            </w:r>
          </w:p>
        </w:tc>
      </w:tr>
      <w:tr>
        <w:trPr>
          <w:trHeight w:val="20"/>
        </w:trPr>
        <w:tc>
          <w:tcPr>
            <w:tcW w:w="7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underwriters are committed to take and pay for all of the shares of our common stock being offered, if any are taken, other than the shares covered by the option described below unless and until this option is exercised.</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underwriters have an option to buy up to an additional 900,000 shares of our common stock from us. They may exercise that option for 30 days. If any shares of our common stock are purchased pursuant to this option, the underwriters will severally purchase shares in approximately the same proportion as set forth in the table above.</w:t>
      </w:r>
    </w:p>
    <w:p>
      <w:pPr>
        <w:spacing w:after="0" w:line="184"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 following table shows the per share and total underwriting discounts and commissions to be paid to the underwriters by us. Such amounts are shown assuming both no exercise and full exercise of the underwriters’ option to purchase 900,000 additional shares of our common stock.</w:t>
      </w:r>
    </w:p>
    <w:p>
      <w:pPr>
        <w:spacing w:after="0" w:line="200" w:lineRule="exact"/>
        <w:rPr>
          <w:sz w:val="20"/>
          <w:szCs w:val="20"/>
          <w:color w:val="auto"/>
        </w:rPr>
      </w:pP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Paid by the Company</w:t>
            </w:r>
          </w:p>
        </w:tc>
        <w:tc>
          <w:tcPr>
            <w:tcW w:w="494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w w:val="90"/>
              </w:rPr>
              <w:t>No Exercise</w:t>
            </w:r>
          </w:p>
        </w:tc>
        <w:tc>
          <w:tcPr>
            <w:tcW w:w="62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w w:val="99"/>
              </w:rPr>
              <w:t>Full Exercise</w:t>
            </w:r>
          </w:p>
        </w:tc>
      </w:tr>
      <w:tr>
        <w:trPr>
          <w:trHeight w:val="203"/>
        </w:trPr>
        <w:tc>
          <w:tcPr>
            <w:tcW w:w="12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Per Share</w:t>
            </w:r>
          </w:p>
        </w:tc>
        <w:tc>
          <w:tcPr>
            <w:tcW w:w="49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Total</w:t>
            </w:r>
          </w:p>
        </w:tc>
        <w:tc>
          <w:tcPr>
            <w:tcW w:w="5660" w:type="dxa"/>
            <w:vAlign w:val="bottom"/>
            <w:gridSpan w:val="2"/>
          </w:tcPr>
          <w:p>
            <w:pPr>
              <w:ind w:left="49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of our common stock sold by the underwriters to the public will be offered at the public offering price set forth on the cover of this prospectus.</w:t>
      </w:r>
    </w:p>
    <w:p>
      <w:pPr>
        <w:spacing w:after="0" w:line="46" w:lineRule="exact"/>
        <w:rPr>
          <w:sz w:val="20"/>
          <w:szCs w:val="20"/>
          <w:color w:val="auto"/>
        </w:rPr>
      </w:pPr>
    </w:p>
    <w:p>
      <w:pPr>
        <w:jc w:val="both"/>
        <w:ind w:left="120" w:right="160"/>
        <w:spacing w:after="0" w:line="255" w:lineRule="auto"/>
        <w:rPr>
          <w:sz w:val="20"/>
          <w:szCs w:val="20"/>
          <w:color w:val="auto"/>
        </w:rPr>
      </w:pPr>
      <w:r>
        <w:rPr>
          <w:rFonts w:ascii="Arial" w:cs="Arial" w:eastAsia="Arial" w:hAnsi="Arial"/>
          <w:sz w:val="18"/>
          <w:szCs w:val="18"/>
          <w:color w:val="auto"/>
        </w:rPr>
        <w:t>Any shares of our common stock sold by the underwriters to securities dealers may be sold at a discount of up to $ per share from the public offering price. The offering of the shares of our common stock by the underwriters is subject to receipt and acceptance and subject to the underwriters’ right to reject any order in whole or in part.</w:t>
      </w:r>
    </w:p>
    <w:p>
      <w:pPr>
        <w:spacing w:after="0" w:line="19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$750,000. We have also agreed to reimburse the underwriters for certain of their expenses in an amount up to $15,000.</w:t>
      </w:r>
    </w:p>
    <w:p>
      <w:pPr>
        <w:spacing w:after="0" w:line="17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and our executive officers and directors have agreed with the underwriters, subject to certain exceptions, not to dispose of or hedge any shares of our common stock or securities convertible into or exchangeable for shares of our common stock during the period from the date of this prospectus continuing through the date 60 days after the date of this prospectus, except with the prior written consent of the representatives. This agreement does not apply to any existing employee benefit plans. Except for customary lock-up exceptions, including an exception allowing our directors and officers to make sales under preexisting 10b5-1 plans, there are no existing agreements between the underwriters and any of our stockholders who have executed a lock-up agreement providing consent to the sale of shares prior to the expiration of the lock-up period.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currently listed on The Nasdaq Global Market under the symbol “VCYT.”</w:t>
      </w:r>
    </w:p>
    <w:p>
      <w:pPr>
        <w:spacing w:after="0" w:line="22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of our common stock or purchasing shares of our common stock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of our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4"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or entities with relationships with the issuer, for which they received or will receive customary fees and expenses.</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Economic Area and United Kingdom</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2"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424"/>
        <w:spacing w:after="0" w:line="269"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 provided that no such offer of Shares shall require the company or any Representative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85"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Kingdom</w:t>
      </w:r>
    </w:p>
    <w:p>
      <w:pPr>
        <w:spacing w:after="0" w:line="117" w:lineRule="exact"/>
        <w:rPr>
          <w:sz w:val="20"/>
          <w:szCs w:val="20"/>
          <w:color w:val="auto"/>
        </w:rPr>
      </w:pPr>
    </w:p>
    <w:p>
      <w:pPr>
        <w:ind w:left="120" w:right="320"/>
        <w:spacing w:after="0" w:line="296" w:lineRule="auto"/>
        <w:rPr>
          <w:sz w:val="20"/>
          <w:szCs w:val="20"/>
          <w:color w:val="auto"/>
        </w:rPr>
      </w:pPr>
      <w:r>
        <w:rPr>
          <w:rFonts w:ascii="Arial" w:cs="Arial" w:eastAsia="Arial" w:hAnsi="Arial"/>
          <w:sz w:val="16"/>
          <w:szCs w:val="16"/>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Canada</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Requirements, Exemptions, and Ongoing Registrant Obligations. Any resale of the shares must be made in accordance with an exemption form, or in a transaction not subject to, the prospectus requirements of applicable securities laws.</w:t>
      </w:r>
    </w:p>
    <w:p>
      <w:pPr>
        <w:spacing w:after="0" w:line="170"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Singapore</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 accredited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(as defined in Section 4A of the SFA)) whose sole purpose is to hold investments and each beneficiary of the trust is an accredited investor,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beneficiaries’ rights and interest (howsoever described) in that trust shall not be transferable for 6 months after that trust has acquired the shares under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275 of the SFA except: (1) to an institutional investor under Section 274 of the SFA or to a relevant person (as defined in Section 275(2)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SFA), (2) where such transfer arises from an offer that is made on terms that such rights or interest are acquired at a consideration of not less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S$200,000 (or its equivalent in a foreign currency) for each transaction (whether such amount is to be paid for in cash or by exchange of securities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assets), (3) where no consideration is or will be given for the transfer, (4) where the transfer is by operation of law, (5) as specified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276(7) of the SFA, or (6) as specified in Regulation 32.</w:t>
      </w:r>
    </w:p>
    <w:p>
      <w:pPr>
        <w:spacing w:after="0" w:line="21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Singapore Securities and Futures Act Product Classification—Solely for the purposes of its obligations pursuant to Sections 309B(1)(a) and 309B(1)(c) of the SFA, we have determined, and hereby notify all relevant persons (as defined in Section 309A of the SFA) that the common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Japan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w:t>
      </w:r>
    </w:p>
    <w:p>
      <w:pPr>
        <w:spacing w:after="0" w:line="117"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(“Addressed Investors”); or (ii) the offer is made, distributed or directed to certain qualified investors defined in the First Addendum of the Israeli Securities Law, 5728 – 1968, subject to certain conditions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8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(1) for its own account; (2) for investment purposes only; and (3)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Switzerland</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securities will not be offered, directly or indirectly, to the public in Switzerland and this prospectus does not constitute a public offering prospectus as that term is understood pursuant to article 652a or 1156 of the Swiss Federal Code of Obligations.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Australia</w:t>
      </w:r>
    </w:p>
    <w:p>
      <w:pPr>
        <w:spacing w:after="0" w:line="117"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Dubai International Financial Centre</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validity of the shares of common stock being offered hereby will be passed upon for us by Fenwick &amp; West LLP, San Francisco, California. Certain legal matters in connection with this offering will be passed upon for the underwriters by Latham &amp; Watkins LLP.</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2019, and the effectiveness of our internal control over financial reporting as of December 31, 2019,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have filed a registration statement on Form S-3 with the SEC under the Securities Act. This prospectus supplement and the accompanying prospectus are part of the registration statement but the registration statement includes and incorporates by reference additional information and exhibits. We file annual, quarterly and current reports, proxy statements and other information with the SEC. The SEC maintains a website that contains reports, proxy and information statements and other information regarding companies, such as ours, that file documents electronically with the SEC. The address of that site on the Internet is http://www.sec.gov. The information on the SEC’s website is not part of this prospectus supplement or the accompanying prospectus, and any references to this website or any other website are inactive textual references only.</w:t>
      </w:r>
    </w:p>
    <w:p>
      <w:pPr>
        <w:spacing w:after="0" w:line="17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72" w:lineRule="exact"/>
        <w:rPr>
          <w:sz w:val="20"/>
          <w:szCs w:val="20"/>
          <w:color w:val="auto"/>
        </w:rPr>
      </w:pPr>
    </w:p>
    <w:p>
      <w:pPr>
        <w:ind w:left="1080" w:right="6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2019, filed with the SEC on February 25, 2020, including certain information incorporated by reference therein from our </w:t>
      </w:r>
      <w:hyperlink r:id="rId42">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2020 annual meeting of stockholders filed with the SEC on April 24, 2020;</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2020 and June 30, 2020, filed with the SEC on </w:t>
      </w:r>
      <w:hyperlink r:id="rId43">
        <w:r>
          <w:rPr>
            <w:rFonts w:ascii="Arial" w:cs="Arial" w:eastAsia="Arial" w:hAnsi="Arial"/>
            <w:sz w:val="18"/>
            <w:szCs w:val="18"/>
            <w:u w:val="single" w:color="auto"/>
            <w:color w:val="0000EE"/>
          </w:rPr>
          <w:t>May 5,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4">
        <w:r>
          <w:rPr>
            <w:rFonts w:ascii="Arial" w:cs="Arial" w:eastAsia="Arial" w:hAnsi="Arial"/>
            <w:sz w:val="18"/>
            <w:szCs w:val="18"/>
            <w:u w:val="single" w:color="auto"/>
            <w:color w:val="0000EE"/>
          </w:rPr>
          <w:t>July 30,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right="60" w:hanging="424"/>
        <w:spacing w:after="0" w:line="263" w:lineRule="auto"/>
        <w:tabs>
          <w:tab w:leader="none" w:pos="1080" w:val="left"/>
        </w:tabs>
        <w:numPr>
          <w:ilvl w:val="0"/>
          <w:numId w:val="10"/>
        </w:numPr>
        <w:rPr>
          <w:rFonts w:ascii="Arial" w:cs="Arial" w:eastAsia="Arial" w:hAnsi="Arial"/>
          <w:sz w:val="18"/>
          <w:szCs w:val="18"/>
          <w:color w:val="0000EE"/>
        </w:rPr>
      </w:pPr>
      <w:r>
        <w:rPr>
          <w:rFonts w:ascii="Arial" w:cs="Arial" w:eastAsia="Arial" w:hAnsi="Arial"/>
          <w:sz w:val="18"/>
          <w:szCs w:val="18"/>
          <w:color w:val="auto"/>
        </w:rPr>
        <w:t xml:space="preserve">our Current Report on Form 8K/A filed with the SEC on </w:t>
      </w:r>
      <w:hyperlink r:id="rId45">
        <w:r>
          <w:rPr>
            <w:rFonts w:ascii="Arial" w:cs="Arial" w:eastAsia="Arial" w:hAnsi="Arial"/>
            <w:sz w:val="18"/>
            <w:szCs w:val="18"/>
            <w:u w:val="single" w:color="auto"/>
            <w:color w:val="0000EE"/>
          </w:rPr>
          <w:t>February 18, 2020</w:t>
        </w:r>
      </w:hyperlink>
      <w:r>
        <w:rPr>
          <w:rFonts w:ascii="Arial" w:cs="Arial" w:eastAsia="Arial" w:hAnsi="Arial"/>
          <w:sz w:val="18"/>
          <w:szCs w:val="18"/>
          <w:color w:val="auto"/>
        </w:rPr>
        <w:t xml:space="preserve">, and our Current Reports on Form 8-K filed with the SEC on </w:t>
      </w:r>
      <w:hyperlink r:id="rId46">
        <w:r>
          <w:rPr>
            <w:rFonts w:ascii="Arial" w:cs="Arial" w:eastAsia="Arial" w:hAnsi="Arial"/>
            <w:sz w:val="18"/>
            <w:szCs w:val="18"/>
            <w:u w:val="single" w:color="auto"/>
            <w:color w:val="0000EE"/>
          </w:rPr>
          <w:t>February 25,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7">
        <w:r>
          <w:rPr>
            <w:rFonts w:ascii="Arial" w:cs="Arial" w:eastAsia="Arial" w:hAnsi="Arial"/>
            <w:sz w:val="18"/>
            <w:szCs w:val="18"/>
            <w:u w:val="single" w:color="auto"/>
            <w:color w:val="0000EE"/>
          </w:rPr>
          <w:t>March 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8">
        <w:r>
          <w:rPr>
            <w:rFonts w:ascii="Arial" w:cs="Arial" w:eastAsia="Arial" w:hAnsi="Arial"/>
            <w:sz w:val="18"/>
            <w:szCs w:val="18"/>
            <w:u w:val="single" w:color="auto"/>
            <w:color w:val="0000EE"/>
          </w:rPr>
          <w:t>April 14,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9">
        <w:r>
          <w:rPr>
            <w:rFonts w:ascii="Arial" w:cs="Arial" w:eastAsia="Arial" w:hAnsi="Arial"/>
            <w:sz w:val="18"/>
            <w:szCs w:val="18"/>
            <w:u w:val="single" w:color="auto"/>
            <w:color w:val="0000EE"/>
          </w:rPr>
          <w:t xml:space="preserve">June 9, 2020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0">
        <w:r>
          <w:rPr>
            <w:rFonts w:ascii="Arial" w:cs="Arial" w:eastAsia="Arial" w:hAnsi="Arial"/>
            <w:sz w:val="18"/>
            <w:szCs w:val="18"/>
            <w:u w:val="single" w:color="auto"/>
            <w:color w:val="0000EE"/>
          </w:rPr>
          <w:t xml:space="preserve">July 27, 2020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that any portions thereof which are furnished</w:t>
      </w:r>
      <w:r>
        <w:rPr>
          <w:rFonts w:ascii="Arial" w:cs="Arial" w:eastAsia="Arial" w:hAnsi="Arial"/>
          <w:sz w:val="18"/>
          <w:szCs w:val="18"/>
          <w:color w:val="0000EE"/>
        </w:rPr>
        <w:t xml:space="preserve"> </w:t>
      </w:r>
      <w:r>
        <w:rPr>
          <w:rFonts w:ascii="Arial" w:cs="Arial" w:eastAsia="Arial" w:hAnsi="Arial"/>
          <w:sz w:val="18"/>
          <w:szCs w:val="18"/>
          <w:color w:val="000000"/>
        </w:rPr>
        <w:t>and not filed shall not be deemed incorporated); and</w:t>
      </w:r>
    </w:p>
    <w:p>
      <w:pPr>
        <w:spacing w:after="0" w:line="89" w:lineRule="exact"/>
        <w:rPr>
          <w:rFonts w:ascii="Arial" w:cs="Arial" w:eastAsia="Arial" w:hAnsi="Arial"/>
          <w:sz w:val="18"/>
          <w:szCs w:val="18"/>
          <w:color w:val="0000EE"/>
        </w:rPr>
      </w:pPr>
    </w:p>
    <w:p>
      <w:pPr>
        <w:ind w:left="1080" w:right="6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October 28, 2013 under Section 12 of the Exchange Act, including any amendment or report filed for the purpose of updating such description, including any amendment or report filed for the purposes of updating such description, including </w:t>
      </w:r>
      <w:hyperlink r:id="rId52">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our Annual Report on </w:t>
      </w:r>
      <w:hyperlink r:id="rId4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February 25, 2020.</w:t>
      </w:r>
    </w:p>
    <w:p>
      <w:pPr>
        <w:spacing w:after="0" w:line="11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that are made after the initial filing date of the registration statement of which this prospectus supplement and the accompanying prospectus is a part and the effectiveness of the registration statement, as well as between the date of this prospectus supplement and the termination of any offering of securities offered by this prospectus supplement and the accompanying prospectus. We are not, however, incorporating, in each case, any documents or information that we are deemed to furnish and not file in accordance with SEC rules.</w:t>
      </w:r>
    </w:p>
    <w:p>
      <w:pPr>
        <w:spacing w:after="0" w:line="17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supplement and the accompanying prospectus, at no cost, by writing or telephoning us at the following address and number: Investor Relations, Veracyte, Inc., 6000 Shoreline Court, Suite 300, South San Francisco, California 94080 and (650) 243-6300. We will not, however, send exhibits to those documents, unless the exhibits are specifically incorporated by reference in those documents.</w:t>
      </w:r>
    </w:p>
    <w:p>
      <w:pPr>
        <w:spacing w:after="0" w:line="187"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www.veracyte.com.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600075</wp:posOffset>
            </wp:positionV>
            <wp:extent cx="6995160" cy="5057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6995160" cy="505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VERACYTE, INC.</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 Preferred Stock,</w:t>
      </w:r>
    </w:p>
    <w:p>
      <w:pPr>
        <w:spacing w:after="0" w:line="3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Debt Securities, Warrants,</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w:t>
      </w:r>
    </w:p>
    <w:p>
      <w:pPr>
        <w:spacing w:after="0" w:line="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w:t>
      </w:r>
    </w:p>
    <w:p>
      <w:pPr>
        <w:spacing w:after="0" w:line="7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 Neither we nor any selling securityholders may use this prospectus to sell securities unless it includes a prospectus supplement.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160655</wp:posOffset>
            </wp:positionV>
            <wp:extent cx="1474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7" w:lineRule="exact"/>
        <w:rPr>
          <w:sz w:val="20"/>
          <w:szCs w:val="20"/>
          <w:color w:val="auto"/>
        </w:rPr>
      </w:pPr>
    </w:p>
    <w:p>
      <w:pPr>
        <w:ind w:left="120" w:right="120" w:firstLine="440"/>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risks. See the section entitled “</w:t>
      </w:r>
      <w:hyperlink w:anchor="page36">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4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ectPr>
          <w:pgSz w:w="11900" w:h="16838" w:orient="portrait"/>
          <w:cols w:equalWidth="0" w:num="1">
            <w:col w:w="11060"/>
          </w:cols>
          <w:pgMar w:left="320" w:top="459" w:right="519" w:bottom="0" w:gutter="0" w:footer="0" w:header="0"/>
        </w:sectPr>
      </w:pPr>
    </w:p>
    <w:bookmarkStart w:id="30" w:name="page31"/>
    <w:bookmarkEnd w:id="30"/>
    <w:p>
      <w:pPr>
        <w:ind w:firstLine="440"/>
        <w:spacing w:after="0" w:line="301" w:lineRule="auto"/>
        <w:rPr>
          <w:sz w:val="20"/>
          <w:szCs w:val="20"/>
          <w:color w:val="auto"/>
        </w:rPr>
      </w:pPr>
      <w:r>
        <w:rPr>
          <w:rFonts w:ascii="Arial" w:cs="Arial" w:eastAsia="Arial" w:hAnsi="Arial"/>
          <w:sz w:val="16"/>
          <w:szCs w:val="16"/>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14.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117475</wp:posOffset>
            </wp:positionV>
            <wp:extent cx="1474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0"/>
          <w:szCs w:val="20"/>
          <w:color w:val="auto"/>
        </w:rPr>
      </w:pPr>
    </w:p>
    <w:p>
      <w:pPr>
        <w:ind w:right="22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117475</wp:posOffset>
            </wp:positionV>
            <wp:extent cx="1474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May 2, 2019.</w:t>
      </w:r>
    </w:p>
    <w:p>
      <w:pPr>
        <w:sectPr>
          <w:pgSz w:w="11900" w:h="16838" w:orient="portrait"/>
          <w:cols w:equalWidth="0" w:num="1">
            <w:col w:w="10860"/>
          </w:cols>
          <w:pgMar w:left="440" w:top="125" w:right="5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340" w:type="dxa"/>
            <w:vAlign w:val="bottom"/>
          </w:tcPr>
          <w:p>
            <w:pPr>
              <w:spacing w:after="0"/>
              <w:rPr>
                <w:sz w:val="20"/>
                <w:szCs w:val="20"/>
                <w:color w:val="auto"/>
              </w:rPr>
            </w:pPr>
          </w:p>
        </w:tc>
      </w:tr>
      <w:tr>
        <w:trPr>
          <w:trHeight w:val="513"/>
        </w:trPr>
        <w:tc>
          <w:tcPr>
            <w:tcW w:w="87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41"/>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ABOUT THIS PROSPECTUS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PROSPECTUS SUMMARY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RISK FACTORS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FORWARD-LOOKING STATEMENTS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USE OF PROCEEDS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SECURITIES WE MAY OFFER</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DESCRIPTION OF COMMON STOCK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DESCRIPTION OF PREFERRED STOCK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DESCRIPTION OF DEBT SECURITIES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DESCRIPTION OF WARRANTS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DESCRIPTION OF SUBSCRIPTION RIGHTS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1">
              <w:r>
                <w:rPr>
                  <w:rFonts w:ascii="Arial" w:cs="Arial" w:eastAsia="Arial" w:hAnsi="Arial"/>
                  <w:sz w:val="18"/>
                  <w:szCs w:val="18"/>
                  <w:b w:val="1"/>
                  <w:bCs w:val="1"/>
                  <w:u w:val="single" w:color="auto"/>
                  <w:color w:val="0000EE"/>
                </w:rPr>
                <w:t>DESCRIPTION OF UNITS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1">
              <w:r>
                <w:rPr>
                  <w:rFonts w:ascii="Arial" w:cs="Arial" w:eastAsia="Arial" w:hAnsi="Arial"/>
                  <w:sz w:val="18"/>
                  <w:szCs w:val="18"/>
                  <w:b w:val="1"/>
                  <w:bCs w:val="1"/>
                  <w:u w:val="single" w:color="auto"/>
                  <w:color w:val="0000EE"/>
                </w:rPr>
                <w:t>SELLING SECURITYHOLDERS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1">
              <w:r>
                <w:rPr>
                  <w:rFonts w:ascii="Arial" w:cs="Arial" w:eastAsia="Arial" w:hAnsi="Arial"/>
                  <w:sz w:val="18"/>
                  <w:szCs w:val="18"/>
                  <w:b w:val="1"/>
                  <w:bCs w:val="1"/>
                  <w:u w:val="single" w:color="auto"/>
                  <w:color w:val="0000EE"/>
                </w:rPr>
                <w:t>PLAN OF DISTRIBUTION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LEGAL MATTERS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EXPERTS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WHERE YOU CAN FIND MORE INFORMATION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4"/>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INCORPORATION OF INFORMATION BY REFERENCE</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This prospectus is part of an automatic registration statement on Form S-3 that we filed with the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9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and the selling securityholders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Veracyte, Afirma, Percepta, Envisia, Know by Design, the Veracyte logo and the Afirma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We are a leading genomic diagnostics company that is creating value through innovation. We were founded in 2008 with a mission to improve diagnostic accuracy. Today, through our innovative scientific platform which utilizes ribonucleic acid, or RNA, whole-transcriptome sequencing combined with machine learning, we are serving this critical medical need and expanding our offerings further along the clinical continuum of care so that we can advance early detection of disease and inform treatment decisions at the same time as diagnosis.</w:t>
      </w:r>
    </w:p>
    <w:p>
      <w:pPr>
        <w:spacing w:after="0" w:line="17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commercialized five leading, first-to-market tests that we believe are transforming care in large, untapped clinical areas — thyroid cancer, lung cancer and idiopathic pulmonary fibrosis, or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use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position our tests in each clinical indication at the point where they improve diagnostic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cancer indications, diagnosis can be ambiguous in 15% to 70% of cases.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date, we have commercialized five genomic tests that we believe are changing disease diagnosis:</w:t>
      </w:r>
    </w:p>
    <w:p>
      <w:pPr>
        <w:spacing w:after="0" w:line="131"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Afirma Genomic Sequencing Classifier, or GSC, for thyroid cancer;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Afirma Gene Expression Classifier, which was the Afirma GSC’s predecessor;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Percepta Bronchial Genomic Classifier for lung cancer;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Envisia Genomic Classifier for IPF; and</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Afirma Xpression Atlas, which provides information on the most common and emerging gene alterations associated with thyroid cancer, enabling physicians to confidently tailor surgical and treatment decisions at time of diagnosis.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Collectively, we believe the four tests we are currently offering address a $2 billion global market opportunity.</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The New England Journal of Medicine for the Afirma and Percepta classifiers. We continue to build upon our extensive library of clinical evidence.</w:t>
      </w:r>
    </w:p>
    <w:p>
      <w:pPr>
        <w:spacing w:after="0" w:line="187"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We believe our focus on developing clinically useful tests that change patient care is enabling us to set new standards in genomic test reimbursement. Our Afirma genomic classifier is now covered by every major health</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plan in the United States, which collectively insure more than 275 million people, for use in thyroid cancer diagnosis. We are now contracted as an in-network service provider to health plans representing over 215 million people in the United States Our second commercial product, the Percepta classifier, is the first genomic test to gain Medicare coverage for improved lung cancer screening and diagnosis, making it a covered benefit for nearly 60 million people.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March 31, 2019,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6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Unless otherwise indicated in the prospectus supplement, we will not receive any of the proceeds from any sale of our common stock by selling securityholders.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w:t>
      </w:r>
    </w:p>
    <w:p>
      <w:pPr>
        <w:spacing w:after="0" w:line="15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125,000,000 shares of authorized common stock. As of March 31, 2019, there were 41,509,240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Certificate of Incorporation and Bylaws</w:t>
      </w:r>
      <w:r>
        <w:rPr>
          <w:rFonts w:ascii="Arial" w:cs="Arial" w:eastAsia="Arial" w:hAnsi="Arial"/>
          <w:sz w:val="17"/>
          <w:szCs w:val="17"/>
          <w:color w:val="auto"/>
        </w:rPr>
        <w:t>. Our restated certificate of incorporation and amended and restated bylaws include provisions that:</w:t>
      </w:r>
    </w:p>
    <w:p>
      <w:pPr>
        <w:spacing w:after="0" w:line="142" w:lineRule="exact"/>
        <w:rPr>
          <w:sz w:val="20"/>
          <w:szCs w:val="20"/>
          <w:color w:val="auto"/>
        </w:rPr>
      </w:pPr>
    </w:p>
    <w:p>
      <w:pPr>
        <w:ind w:left="1080" w:right="3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5,000,000 shares of undesignated preferred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auto"/>
        </w:rPr>
      </w:pPr>
    </w:p>
    <w:p>
      <w:pPr>
        <w:ind w:left="1080" w:right="3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i w:val="1"/>
          <w:iCs w:val="1"/>
          <w:color w:val="auto"/>
        </w:rPr>
        <w:t>Delaware Law</w:t>
      </w:r>
      <w:r>
        <w:rPr>
          <w:rFonts w:ascii="Arial" w:cs="Arial" w:eastAsia="Arial" w:hAnsi="Arial"/>
          <w:sz w:val="17"/>
          <w:szCs w:val="17"/>
          <w:color w:val="auto"/>
        </w:rPr>
        <w:t>. We are subject to the provisions of Section 203 of the General Corporation Law of the State of Delaware regulating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7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of the corporation before the date the interested stockholder attained that status;</w:t>
      </w:r>
    </w:p>
    <w:p>
      <w:pPr>
        <w:spacing w:after="0" w:line="142" w:lineRule="exact"/>
        <w:rPr>
          <w:rFonts w:ascii="Arial" w:cs="Arial" w:eastAsia="Arial" w:hAnsi="Arial"/>
          <w:sz w:val="17"/>
          <w:szCs w:val="17"/>
          <w:color w:val="auto"/>
        </w:rPr>
      </w:pPr>
    </w:p>
    <w:p>
      <w:pPr>
        <w:ind w:left="1080" w:right="40" w:hanging="424"/>
        <w:spacing w:after="0" w:line="25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1080" w:right="560" w:hanging="424"/>
        <w:spacing w:after="0" w:line="308"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4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As of March 31, 2019,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8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pacing w:after="0" w:line="130" w:lineRule="exact"/>
        <w:rPr>
          <w:rFonts w:ascii="Arial" w:cs="Arial" w:eastAsia="Arial" w:hAnsi="Arial"/>
          <w:sz w:val="18"/>
          <w:szCs w:val="18"/>
          <w:color w:val="auto"/>
        </w:rPr>
      </w:pPr>
    </w:p>
    <w:p>
      <w:pPr>
        <w:ind w:left="1080" w:right="340" w:hanging="424"/>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prices at which, and the terms and conditions on which, the shares of the series may be redeemed, if the shares are redeemable;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terms and conditions of a sinking or purchase fund for the purchase or redemption of shares of the series, if such a fund is provided;</w:t>
      </w:r>
    </w:p>
    <w:p>
      <w:pPr>
        <w:spacing w:after="0" w:line="153" w:lineRule="exact"/>
        <w:rPr>
          <w:rFonts w:ascii="Arial" w:cs="Arial" w:eastAsia="Arial" w:hAnsi="Arial"/>
          <w:sz w:val="16"/>
          <w:szCs w:val="16"/>
          <w:color w:val="auto"/>
        </w:rPr>
      </w:pPr>
    </w:p>
    <w:p>
      <w:pPr>
        <w:ind w:left="1080" w:right="6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7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section only, “we,” “us” and “our” refer to Veracyte, Inc., unless expressly stated or the context otherwise requires.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6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9"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34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29" w:lineRule="exact"/>
        <w:rPr>
          <w:rFonts w:ascii="Arial" w:cs="Arial" w:eastAsia="Arial" w:hAnsi="Arial"/>
          <w:sz w:val="16"/>
          <w:szCs w:val="16"/>
          <w:color w:val="auto"/>
        </w:rPr>
      </w:pPr>
    </w:p>
    <w:p>
      <w:pPr>
        <w:ind w:left="1080" w:right="10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terms, if any, on which the debt securities of that series will be subordinate in right and priority of payment to our other debt;</w:t>
      </w:r>
    </w:p>
    <w:p>
      <w:pPr>
        <w:spacing w:after="0" w:line="142"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denominations in which those debt securities will be issuable, if other than denominations of $1,000 or any integral multiple of that number;</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addition to or change in the covenants and/or the acceleration provisions described in this prospectus or in the indenture;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Unless otherwise indicated in this prospectus or the applicable prospectus supplement, our debt securities will not have the benefit of any covenants that limit or restrict our business or operations, the pledging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assets or the incurrence by us of indebtedness. We will describe in the applicable prospectus supplement any material covenants in respect of a series of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2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95"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will be “events of default” under the indenture with respect to any series of debt securities:</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8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76"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for the reasonable expenses and liabilities that may be incurred by bringing the 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93" w:lineRule="exact"/>
        <w:rPr>
          <w:sz w:val="20"/>
          <w:szCs w:val="20"/>
          <w:color w:val="auto"/>
        </w:rPr>
      </w:pPr>
    </w:p>
    <w:p>
      <w:pPr>
        <w:ind w:left="10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89"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76"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10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63"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reduce the amount of the principal of any debt security issued with an original issue discount that is payable upon acceleration;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70"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8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default in the payment of, any premium and any interest on, or principal of, any such debt security held by a nonconsenting holder; or</w:t>
      </w:r>
    </w:p>
    <w:p>
      <w:pPr>
        <w:spacing w:after="0" w:line="153"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7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30" w:lineRule="exact"/>
        <w:rPr>
          <w:rFonts w:ascii="Arial" w:cs="Arial" w:eastAsia="Arial" w:hAnsi="Arial"/>
          <w:sz w:val="18"/>
          <w:szCs w:val="18"/>
          <w:color w:val="auto"/>
        </w:rPr>
      </w:pPr>
    </w:p>
    <w:p>
      <w:pPr>
        <w:ind w:left="5540" w:right="3180" w:hanging="4884"/>
        <w:spacing w:after="0" w:line="449" w:lineRule="auto"/>
        <w:tabs>
          <w:tab w:leader="none" w:pos="10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 14</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89" w:lineRule="exact"/>
        <w:rPr>
          <w:sz w:val="20"/>
          <w:szCs w:val="20"/>
          <w:color w:val="auto"/>
        </w:rPr>
      </w:pPr>
    </w:p>
    <w:p>
      <w:pPr>
        <w:ind w:left="1080" w:right="22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29"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dealers, underwriters, or agents participating in the distribution of the debt securities will designate the accounts to be credited; and</w:t>
      </w:r>
    </w:p>
    <w:p>
      <w:pPr>
        <w:spacing w:after="0" w:line="153" w:lineRule="exact"/>
        <w:rPr>
          <w:rFonts w:ascii="Arial" w:cs="Arial" w:eastAsia="Arial" w:hAnsi="Arial"/>
          <w:sz w:val="16"/>
          <w:szCs w:val="16"/>
          <w:color w:val="auto"/>
        </w:rPr>
      </w:pPr>
    </w:p>
    <w:p>
      <w:pPr>
        <w:jc w:val="both"/>
        <w:ind w:left="1080" w:right="54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70"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7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8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7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designation, terms and number of shares of common stock, preferred stock or debt securities purchasable upon exercise of the warrants;</w:t>
      </w:r>
    </w:p>
    <w:p>
      <w:pPr>
        <w:spacing w:after="0" w:line="153"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common stock, preferred stock or debt securities will be separately transferable;</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at which each share of common stock, preferred stock or debt securities purchasable upon exercise of the warrants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3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8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of the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subscription rights distribution;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title, aggregate number of shares of common stock or preferred stock purchasable upon exercise of the subscription rights;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number of subscription rights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if any, on and after which the subscription rights will be separately transferable;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the subscription right to exercise the subscription rights will commence and the date on which the subscription right will expire;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terms, procedures and limitations relating to the distribution, exchange and exercise of the subscription rights.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7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names of any selling securityholders;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or the selling securityholders from the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6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6"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7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or selling securityholders will provide in the applicable prospectus supplement information regarding any underwriting discounts or other compensation that we or selling securityholders pay to underwriters or agents in 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165"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validity of any securities offered by this prospectus will be passed upon for us by Fenwick &amp; West LLP, San Francisco and Mountain View, California. Counsel representing any underwriters, dealers or agents will be named in the applicable prospectus supplement.</w:t>
      </w:r>
    </w:p>
    <w:p>
      <w:pPr>
        <w:spacing w:after="0" w:line="3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2018, and the effectiveness of our internal control over financial reporting as of December 31, 2018,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98"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8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February 25, 2019;</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w:t>
      </w:r>
      <w:hyperlink r:id="rId84">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which was filed with the SEC on April 24, 2019;</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8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April 30,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86">
        <w:r>
          <w:rPr>
            <w:rFonts w:ascii="Arial" w:cs="Arial" w:eastAsia="Arial" w:hAnsi="Arial"/>
            <w:sz w:val="18"/>
            <w:szCs w:val="18"/>
            <w:u w:val="single" w:color="auto"/>
            <w:color w:val="0000EE"/>
          </w:rPr>
          <w:t>January 3, 2019</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EE"/>
          </w:rPr>
          <w:t>February 26,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8">
        <w:r>
          <w:rPr>
            <w:rFonts w:ascii="Arial" w:cs="Arial" w:eastAsia="Arial" w:hAnsi="Arial"/>
            <w:sz w:val="18"/>
            <w:szCs w:val="18"/>
            <w:u w:val="single" w:color="auto"/>
            <w:color w:val="0000EE"/>
          </w:rPr>
          <w:t>April 26, 2019</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October 28, 2013, including any amendment or report filed for the purpose of updating such description.</w:t>
      </w:r>
    </w:p>
    <w:p>
      <w:pPr>
        <w:spacing w:after="0" w:line="170" w:lineRule="exact"/>
        <w:rPr>
          <w:rFonts w:ascii="Arial" w:cs="Arial" w:eastAsia="Arial" w:hAnsi="Arial"/>
          <w:sz w:val="18"/>
          <w:szCs w:val="18"/>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165" w:lineRule="exact"/>
        <w:rPr>
          <w:rFonts w:ascii="Arial" w:cs="Arial" w:eastAsia="Arial" w:hAnsi="Arial"/>
          <w:sz w:val="18"/>
          <w:szCs w:val="18"/>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pacing w:after="0" w:line="11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0"/>
        <w:spacing w:after="0"/>
        <w:rPr>
          <w:sz w:val="20"/>
          <w:szCs w:val="20"/>
          <w:color w:val="auto"/>
        </w:rPr>
      </w:pPr>
      <w:r>
        <w:rPr>
          <w:rFonts w:ascii="Arial" w:cs="Arial" w:eastAsia="Arial" w:hAnsi="Arial"/>
          <w:sz w:val="29"/>
          <w:szCs w:val="29"/>
          <w:b w:val="1"/>
          <w:bCs w:val="1"/>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794385</wp:posOffset>
            </wp:positionV>
            <wp:extent cx="6995160" cy="5057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6995160" cy="505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Goldman Sachs &amp; Co. LLC</w:t>
      </w:r>
    </w:p>
    <w:p>
      <w:pPr>
        <w:spacing w:after="0" w:line="147"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SVB Leerink</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William Blair</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BTIG</w:t>
      </w:r>
    </w:p>
    <w:p>
      <w:pPr>
        <w:sectPr>
          <w:pgSz w:w="11900" w:h="16838" w:orient="portrait"/>
          <w:cols w:equalWidth="0" w:num="1">
            <w:col w:w="10139"/>
          </w:cols>
          <w:pgMar w:left="320" w:top="459" w:right="1440" w:bottom="0" w:gutter="0" w:footer="0" w:header="0"/>
        </w:sectPr>
      </w:pPr>
    </w:p>
    <w:bookmarkStart w:id="55" w:name="page56"/>
    <w:bookmarkEnd w:id="55"/>
    <w:p>
      <w:pPr>
        <w:jc w:val="center"/>
        <w:ind w:right="19"/>
        <w:spacing w:after="0"/>
        <w:rPr>
          <w:sz w:val="20"/>
          <w:szCs w:val="20"/>
          <w:color w:val="auto"/>
        </w:rPr>
      </w:pPr>
      <w:r>
        <w:rPr>
          <w:rFonts w:ascii="Arial" w:cs="Arial" w:eastAsia="Arial" w:hAnsi="Arial"/>
          <w:sz w:val="26"/>
          <w:szCs w:val="26"/>
          <w:b w:val="1"/>
          <w:bCs w:val="1"/>
          <w:color w:val="auto"/>
        </w:rPr>
        <w:t>Needham &amp; Company</w:t>
      </w:r>
    </w:p>
    <w:p>
      <w:pPr>
        <w:sectPr>
          <w:pgSz w:w="11900" w:h="16838" w:orient="portrait"/>
          <w:cols w:equalWidth="0" w:num="1">
            <w:col w:w="9019"/>
          </w:cols>
          <w:pgMar w:left="1440" w:top="108"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Lake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608965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668655</wp:posOffset>
            </wp:positionV>
            <wp:extent cx="699516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Roman"/>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jpe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jpeg"/><Relationship Id="rId93" Type="http://schemas.openxmlformats.org/officeDocument/2006/relationships/image" Target="media/image68.png"/><Relationship Id="rId94" Type="http://schemas.openxmlformats.org/officeDocument/2006/relationships/image" Target="media/image69.png"/><Relationship Id="rId41" Type="http://schemas.openxmlformats.org/officeDocument/2006/relationships/hyperlink" Target="http://www.sec.gov/ix?doc=/Archives/edgar/data/1384101/000138410120000015/vcyt-12312019x10k.htm" TargetMode="External"/><Relationship Id="rId42" Type="http://schemas.openxmlformats.org/officeDocument/2006/relationships/hyperlink" Target="http://www.sec.gov/Archives/edgar/data/1384101/000138410120000052/vcyt-proxy2020xdef14a.htm" TargetMode="External"/><Relationship Id="rId43" Type="http://schemas.openxmlformats.org/officeDocument/2006/relationships/hyperlink" Target="http://www.sec.gov/ix?doc=/Archives/edgar/data/1384101/000138410120000058/vcyt-20200331.htm" TargetMode="External"/><Relationship Id="rId44" Type="http://schemas.openxmlformats.org/officeDocument/2006/relationships/hyperlink" Target="http://www.sec.gov/ix?doc=/Archives/edgar/data/1384101/000143774920016062/vcyt20200630_10q.htm" TargetMode="External"/><Relationship Id="rId45" Type="http://schemas.openxmlformats.org/officeDocument/2006/relationships/hyperlink" Target="http://www.sec.gov/Archives/edgar/data/1384101/000138410120000011/vcyt8ka2-18x20.htm" TargetMode="External"/><Relationship Id="rId46" Type="http://schemas.openxmlformats.org/officeDocument/2006/relationships/hyperlink" Target="http://www.sec.gov/Archives/edgar/data/1384101/000138410120000019/vcyt-22520208kprosupp.htm" TargetMode="External"/><Relationship Id="rId47" Type="http://schemas.openxmlformats.org/officeDocument/2006/relationships/hyperlink" Target="http://www.sec.gov/Archives/edgar/data/1384101/000138410120000027/vcyt03022020-8kannualcomp.htm" TargetMode="External"/><Relationship Id="rId48" Type="http://schemas.openxmlformats.org/officeDocument/2006/relationships/hyperlink" Target="http://www.sec.gov/ix?doc=/Archives/edgar/data/1384101/000138410120000046/vcyt-20200413.htm" TargetMode="External"/><Relationship Id="rId49" Type="http://schemas.openxmlformats.org/officeDocument/2006/relationships/hyperlink" Target="http://www.sec.gov/ix?doc=/Archives/edgar/data/1384101/000138410120000083/vcyt-20200605.htm" TargetMode="External"/><Relationship Id="rId50" Type="http://schemas.openxmlformats.org/officeDocument/2006/relationships/hyperlink" Target="http://www.sec.gov/ix?doc=/Archives/edgar/data/1384101/000143774920015792/vcyt20200724_8k.htm" TargetMode="External"/><Relationship Id="rId51" Type="http://schemas.openxmlformats.org/officeDocument/2006/relationships/hyperlink" Target="http://www.sec.gov/Archives/edgar/data/1384101/000110465913078343/a13-16266_158a12b.htm" TargetMode="External"/><Relationship Id="rId52" Type="http://schemas.openxmlformats.org/officeDocument/2006/relationships/hyperlink" Target="http://www.sec.gov/Archives/edgar/data/1384101/000138410120000015/vcyt-12312019xex42.htm" TargetMode="External"/><Relationship Id="rId83" Type="http://schemas.openxmlformats.org/officeDocument/2006/relationships/hyperlink" Target="http://www.sec.gov/Archives/edgar/data/1384101/000138410119000010/vcyt-12312018x10k.htm" TargetMode="External"/><Relationship Id="rId84" Type="http://schemas.openxmlformats.org/officeDocument/2006/relationships/hyperlink" Target="http://www.sec.gov/Archives/edgar/data/1384101/000138410119000038/vcyt-proxy2019xdef14a.htm" TargetMode="External"/><Relationship Id="rId85" Type="http://schemas.openxmlformats.org/officeDocument/2006/relationships/hyperlink" Target="http://www.sec.gov/Archives/edgar/data/1384101/000138410119000046/vcyt-03312019x10q.htm" TargetMode="External"/><Relationship Id="rId86" Type="http://schemas.openxmlformats.org/officeDocument/2006/relationships/hyperlink" Target="http://www.sec.gov/Archives/edgar/data/1384101/000138410119000002/materialagreement8-k.htm" TargetMode="External"/><Relationship Id="rId87" Type="http://schemas.openxmlformats.org/officeDocument/2006/relationships/hyperlink" Target="http://www.sec.gov/Archives/edgar/data/1384101/000138410119000014/form8-k2x25x19compensation.htm" TargetMode="External"/><Relationship Id="rId88" Type="http://schemas.openxmlformats.org/officeDocument/2006/relationships/hyperlink" Target="http://www.sec.gov/Archives/edgar/data/1384101/000138410119000042/vcyt-0422198xkitem5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2020-08-03T15:04:32Z</dcterms:created>
  <dcterms:modified xsi:type="dcterms:W3CDTF">2020-08-03T15:04:32Z</dcterms:modified>
</cp:coreProperties>
</file>