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565150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650875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112"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SECURITIES AND EXCHANGE COMMISSION</w:t>
      </w:r>
    </w:p>
    <w:p>
      <w:pPr>
        <w:spacing w:after="0" w:line="112"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90" w:lineRule="exact"/>
        <w:rPr>
          <w:sz w:val="24"/>
          <w:szCs w:val="24"/>
          <w:color w:val="auto"/>
        </w:rPr>
      </w:pPr>
    </w:p>
    <w:p>
      <w:pPr>
        <w:jc w:val="center"/>
        <w:ind w:right="-47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37"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ind w:left="3151"/>
        <w:spacing w:after="0"/>
        <w:rPr>
          <w:sz w:val="20"/>
          <w:szCs w:val="20"/>
          <w:color w:val="auto"/>
        </w:rPr>
      </w:pPr>
      <w:r>
        <w:rPr>
          <w:rFonts w:ascii="Arial" w:cs="Arial" w:eastAsia="Arial" w:hAnsi="Arial"/>
          <w:sz w:val="18"/>
          <w:szCs w:val="18"/>
          <w:color w:val="auto"/>
        </w:rPr>
        <w:t>Date of Report (Date of earliest event reported): November 17, 2016</w:t>
      </w:r>
    </w:p>
    <w:p>
      <w:pPr>
        <w:spacing w:after="0" w:line="200" w:lineRule="exact"/>
        <w:rPr>
          <w:sz w:val="24"/>
          <w:szCs w:val="24"/>
          <w:color w:val="auto"/>
        </w:rPr>
      </w:pPr>
    </w:p>
    <w:p>
      <w:pPr>
        <w:spacing w:after="0" w:line="298" w:lineRule="exact"/>
        <w:rPr>
          <w:sz w:val="24"/>
          <w:szCs w:val="24"/>
          <w:color w:val="auto"/>
        </w:rPr>
      </w:pPr>
    </w:p>
    <w:p>
      <w:pPr>
        <w:jc w:val="center"/>
        <w:ind w:right="-470"/>
        <w:spacing w:after="0"/>
        <w:rPr>
          <w:sz w:val="20"/>
          <w:szCs w:val="20"/>
          <w:color w:val="auto"/>
        </w:rPr>
      </w:pPr>
      <w:r>
        <w:rPr>
          <w:rFonts w:ascii="Arial" w:cs="Arial" w:eastAsia="Arial" w:hAnsi="Arial"/>
          <w:sz w:val="36"/>
          <w:szCs w:val="36"/>
          <w:b w:val="1"/>
          <w:bCs w:val="1"/>
          <w:color w:val="auto"/>
        </w:rPr>
        <w:t>VERACYTE, INC.</w:t>
      </w:r>
    </w:p>
    <w:p>
      <w:pPr>
        <w:spacing w:after="0" w:line="143" w:lineRule="exact"/>
        <w:rPr>
          <w:sz w:val="24"/>
          <w:szCs w:val="24"/>
          <w:color w:val="auto"/>
        </w:rPr>
      </w:pPr>
    </w:p>
    <w:p>
      <w:pPr>
        <w:ind w:left="3671"/>
        <w:spacing w:after="0"/>
        <w:rPr>
          <w:sz w:val="20"/>
          <w:szCs w:val="20"/>
          <w:color w:val="auto"/>
        </w:rPr>
      </w:pPr>
      <w:r>
        <w:rPr>
          <w:rFonts w:ascii="Arial" w:cs="Arial" w:eastAsia="Arial" w:hAnsi="Arial"/>
          <w:sz w:val="19"/>
          <w:szCs w:val="19"/>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tbl>
      <w:tblPr>
        <w:tblLayout w:type="fixed"/>
        <w:tblInd w:w="651" w:type="dxa"/>
        <w:tblCellMar>
          <w:top w:w="0" w:type="dxa"/>
          <w:left w:w="0" w:type="dxa"/>
          <w:bottom w:w="0" w:type="dxa"/>
          <w:right w:w="0" w:type="dxa"/>
        </w:tblCellMar>
      </w:tblPr>
      <w:tr>
        <w:trPr>
          <w:trHeight w:val="234"/>
        </w:trPr>
        <w:tc>
          <w:tcPr>
            <w:tcW w:w="3020" w:type="dxa"/>
            <w:vAlign w:val="bottom"/>
          </w:tcPr>
          <w:p>
            <w:pPr>
              <w:jc w:val="center"/>
              <w:ind w:right="830"/>
              <w:spacing w:after="0"/>
              <w:rPr>
                <w:sz w:val="20"/>
                <w:szCs w:val="20"/>
                <w:color w:val="auto"/>
              </w:rPr>
            </w:pPr>
            <w:r>
              <w:rPr>
                <w:rFonts w:ascii="Arial" w:cs="Arial" w:eastAsia="Arial" w:hAnsi="Arial"/>
                <w:sz w:val="18"/>
                <w:szCs w:val="18"/>
                <w:b w:val="1"/>
                <w:bCs w:val="1"/>
                <w:color w:val="auto"/>
                <w:w w:val="98"/>
              </w:rPr>
              <w:t>DELAWARE</w:t>
            </w:r>
          </w:p>
        </w:tc>
        <w:tc>
          <w:tcPr>
            <w:tcW w:w="378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001-36156</w:t>
            </w:r>
          </w:p>
        </w:tc>
        <w:tc>
          <w:tcPr>
            <w:tcW w:w="308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20-5455398</w:t>
            </w:r>
          </w:p>
        </w:tc>
      </w:tr>
      <w:tr>
        <w:trPr>
          <w:trHeight w:val="31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2"/>
              </w:rPr>
              <w:t>(State or other jurisdiction of</w:t>
            </w:r>
          </w:p>
        </w:tc>
        <w:tc>
          <w:tcPr>
            <w:tcW w:w="37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080" w:type="dxa"/>
            <w:vAlign w:val="bottom"/>
          </w:tcPr>
          <w:p>
            <w:pPr>
              <w:jc w:val="center"/>
              <w:ind w:left="870"/>
              <w:spacing w:after="0"/>
              <w:rPr>
                <w:sz w:val="20"/>
                <w:szCs w:val="20"/>
                <w:color w:val="auto"/>
              </w:rPr>
            </w:pPr>
            <w:r>
              <w:rPr>
                <w:rFonts w:ascii="Arial" w:cs="Arial" w:eastAsia="Arial" w:hAnsi="Arial"/>
                <w:sz w:val="18"/>
                <w:szCs w:val="18"/>
                <w:color w:val="auto"/>
                <w:w w:val="95"/>
              </w:rPr>
              <w:t>(IRS Employer Identification</w:t>
            </w:r>
          </w:p>
        </w:tc>
      </w:tr>
      <w:tr>
        <w:trPr>
          <w:trHeight w:val="23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4"/>
              </w:rPr>
              <w:t>incorporation)</w:t>
            </w:r>
          </w:p>
        </w:tc>
        <w:tc>
          <w:tcPr>
            <w:tcW w:w="3780" w:type="dxa"/>
            <w:vAlign w:val="bottom"/>
          </w:tcPr>
          <w:p>
            <w:pPr>
              <w:spacing w:after="0"/>
              <w:rPr>
                <w:sz w:val="20"/>
                <w:szCs w:val="20"/>
                <w:color w:val="auto"/>
              </w:rPr>
            </w:pPr>
          </w:p>
        </w:tc>
        <w:tc>
          <w:tcPr>
            <w:tcW w:w="3080" w:type="dxa"/>
            <w:vAlign w:val="bottom"/>
          </w:tcPr>
          <w:p>
            <w:pPr>
              <w:jc w:val="center"/>
              <w:ind w:left="870"/>
              <w:spacing w:after="0"/>
              <w:rPr>
                <w:sz w:val="20"/>
                <w:szCs w:val="20"/>
                <w:color w:val="auto"/>
              </w:rPr>
            </w:pPr>
            <w:r>
              <w:rPr>
                <w:rFonts w:ascii="Arial" w:cs="Arial" w:eastAsia="Arial" w:hAnsi="Arial"/>
                <w:sz w:val="18"/>
                <w:szCs w:val="18"/>
                <w:color w:val="auto"/>
                <w:w w:val="93"/>
              </w:rPr>
              <w:t>No.)</w:t>
            </w:r>
          </w:p>
        </w:tc>
      </w:tr>
    </w:tbl>
    <w:p>
      <w:pPr>
        <w:spacing w:after="0" w:line="200" w:lineRule="exact"/>
        <w:rPr>
          <w:sz w:val="24"/>
          <w:szCs w:val="24"/>
          <w:color w:val="auto"/>
        </w:rPr>
      </w:pPr>
    </w:p>
    <w:p>
      <w:pPr>
        <w:sectPr>
          <w:pgSz w:w="11900" w:h="16838" w:orient="portrait"/>
          <w:cols w:equalWidth="0" w:num="1">
            <w:col w:w="10771"/>
          </w:cols>
          <w:pgMar w:left="329" w:top="1219" w:right="799" w:bottom="1440" w:gutter="0" w:footer="0" w:header="0"/>
        </w:sectPr>
      </w:pPr>
    </w:p>
    <w:p>
      <w:pPr>
        <w:spacing w:after="0" w:line="200" w:lineRule="exact"/>
        <w:rPr>
          <w:sz w:val="24"/>
          <w:szCs w:val="24"/>
          <w:color w:val="auto"/>
        </w:rPr>
      </w:pPr>
    </w:p>
    <w:p>
      <w:pPr>
        <w:spacing w:after="0" w:line="365" w:lineRule="exact"/>
        <w:rPr>
          <w:sz w:val="24"/>
          <w:szCs w:val="24"/>
          <w:color w:val="auto"/>
        </w:rPr>
      </w:pPr>
    </w:p>
    <w:p>
      <w:pPr>
        <w:jc w:val="center"/>
        <w:ind w:right="3889"/>
        <w:spacing w:after="0"/>
        <w:rPr>
          <w:sz w:val="20"/>
          <w:szCs w:val="20"/>
          <w:color w:val="auto"/>
        </w:rPr>
      </w:pPr>
      <w:r>
        <w:rPr>
          <w:rFonts w:ascii="Arial" w:cs="Arial" w:eastAsia="Arial" w:hAnsi="Arial"/>
          <w:sz w:val="16"/>
          <w:szCs w:val="16"/>
          <w:b w:val="1"/>
          <w:bCs w:val="1"/>
          <w:color w:val="auto"/>
        </w:rPr>
        <w:t>6000 Shoreline Court, Suite 300, South San Francisco,</w:t>
      </w:r>
    </w:p>
    <w:p>
      <w:pPr>
        <w:spacing w:after="0" w:line="50" w:lineRule="exact"/>
        <w:rPr>
          <w:sz w:val="24"/>
          <w:szCs w:val="24"/>
          <w:color w:val="auto"/>
        </w:rPr>
      </w:pPr>
    </w:p>
    <w:p>
      <w:pPr>
        <w:jc w:val="center"/>
        <w:ind w:right="3909"/>
        <w:spacing w:after="0"/>
        <w:rPr>
          <w:sz w:val="20"/>
          <w:szCs w:val="20"/>
          <w:color w:val="auto"/>
        </w:rPr>
      </w:pPr>
      <w:r>
        <w:rPr>
          <w:rFonts w:ascii="Arial" w:cs="Arial" w:eastAsia="Arial" w:hAnsi="Arial"/>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94080</w:t>
      </w:r>
    </w:p>
    <w:p>
      <w:pPr>
        <w:spacing w:after="0" w:line="333" w:lineRule="exact"/>
        <w:rPr>
          <w:sz w:val="24"/>
          <w:szCs w:val="24"/>
          <w:color w:val="auto"/>
        </w:rPr>
      </w:pPr>
    </w:p>
    <w:p>
      <w:pPr>
        <w:sectPr>
          <w:pgSz w:w="11900" w:h="16838" w:orient="portrait"/>
          <w:cols w:equalWidth="0" w:num="2">
            <w:col w:w="8191" w:space="720"/>
            <w:col w:w="1860"/>
          </w:cols>
          <w:pgMar w:left="329" w:top="1219" w:right="799" w:bottom="1440" w:gutter="0" w:footer="0" w:header="0"/>
          <w:type w:val="continuous"/>
        </w:sectPr>
      </w:pPr>
    </w:p>
    <w:p>
      <w:pPr>
        <w:ind w:left="711"/>
        <w:spacing w:after="0"/>
        <w:rPr>
          <w:sz w:val="20"/>
          <w:szCs w:val="20"/>
          <w:color w:val="auto"/>
        </w:rPr>
      </w:pPr>
      <w:r>
        <w:rPr>
          <w:rFonts w:ascii="Arial" w:cs="Arial" w:eastAsia="Arial" w:hAnsi="Arial"/>
          <w:sz w:val="18"/>
          <w:szCs w:val="18"/>
          <w:color w:val="auto"/>
        </w:rPr>
        <w:t>(Address of principal executive offices)</w:t>
      </w:r>
    </w:p>
    <w:p>
      <w:pPr>
        <w:spacing w:after="0" w:line="113" w:lineRule="exact"/>
        <w:rPr>
          <w:sz w:val="24"/>
          <w:szCs w:val="24"/>
          <w:color w:val="auto"/>
        </w:rPr>
      </w:pPr>
    </w:p>
    <w:p>
      <w:pPr>
        <w:ind w:left="3171"/>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(650) 243-6300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447" w:lineRule="exact"/>
        <w:rPr>
          <w:sz w:val="24"/>
          <w:szCs w:val="24"/>
          <w:color w:val="auto"/>
        </w:rPr>
      </w:pPr>
    </w:p>
    <w:p>
      <w:pPr>
        <w:sectPr>
          <w:pgSz w:w="11900" w:h="16838" w:orient="portrait"/>
          <w:cols w:equalWidth="0" w:num="2">
            <w:col w:w="8071" w:space="660"/>
            <w:col w:w="2040"/>
          </w:cols>
          <w:pgMar w:left="329" w:top="1219" w:right="799" w:bottom="1440" w:gutter="0" w:footer="0" w:header="0"/>
          <w:type w:val="continuous"/>
        </w:sectPr>
      </w:pPr>
    </w:p>
    <w:p>
      <w:pPr>
        <w:jc w:val="center"/>
        <w:ind w:right="-490"/>
        <w:spacing w:after="0"/>
        <w:rPr>
          <w:sz w:val="20"/>
          <w:szCs w:val="20"/>
          <w:color w:val="auto"/>
        </w:rPr>
      </w:pPr>
      <w:r>
        <w:rPr>
          <w:rFonts w:ascii="Arial" w:cs="Arial" w:eastAsia="Arial" w:hAnsi="Arial"/>
          <w:sz w:val="18"/>
          <w:szCs w:val="18"/>
          <w:b w:val="1"/>
          <w:bCs w:val="1"/>
          <w:color w:val="auto"/>
        </w:rPr>
        <w:t>N/A</w:t>
      </w:r>
    </w:p>
    <w:p>
      <w:pPr>
        <w:spacing w:after="0" w:line="108" w:lineRule="exact"/>
        <w:rPr>
          <w:sz w:val="24"/>
          <w:szCs w:val="24"/>
          <w:color w:val="auto"/>
        </w:rPr>
      </w:pPr>
    </w:p>
    <w:p>
      <w:pPr>
        <w:jc w:val="center"/>
        <w:ind w:right="-490"/>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0771"/>
          </w:cols>
          <w:pgMar w:left="329" w:top="1219" w:right="799" w:bottom="1440" w:gutter="0" w:footer="0" w:header="0"/>
          <w:type w:val="continuous"/>
        </w:sectPr>
      </w:pPr>
    </w:p>
    <w:p>
      <w:pPr>
        <w:spacing w:after="0" w:line="231" w:lineRule="exact"/>
        <w:rPr>
          <w:sz w:val="24"/>
          <w:szCs w:val="24"/>
          <w:color w:val="auto"/>
        </w:rPr>
      </w:pPr>
    </w:p>
    <w:p>
      <w:pPr>
        <w:ind w:left="51"/>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311785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397510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71"/>
          </w:cols>
          <w:pgMar w:left="329" w:top="1219" w:right="799" w:bottom="1440" w:gutter="0" w:footer="0" w:header="0"/>
          <w:type w:val="continuous"/>
        </w:sectPr>
      </w:pPr>
    </w:p>
    <w:bookmarkStart w:id="1" w:name="page2"/>
    <w:bookmarkEnd w:id="1"/>
    <w:p>
      <w:pPr>
        <w:ind w:right="480"/>
        <w:spacing w:after="0" w:line="39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7" w:lineRule="exact"/>
        <w:rPr>
          <w:sz w:val="20"/>
          <w:szCs w:val="20"/>
          <w:color w:val="auto"/>
        </w:rPr>
      </w:pPr>
    </w:p>
    <w:p>
      <w:pPr>
        <w:ind w:firstLine="8"/>
        <w:spacing w:after="0" w:line="277"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21, 2016, Veracyte, Inc. (the "Company") announced that Keith Kennedy has been appointed by the Company's Board of Directors to serve as the Company's chief financial officer, effective December 6, 2016.</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Kennedy, age 46, served as president and chief executive officer of MCG Capital Corporation, a commercial finance company, from 2014 to 2015 and previously served as chief financial officer, chief accounting officer and treasurer of MCG Capital from 2012 to 2014. From 2011 to 2012, Mr. Kennedy served as healthcare executive-in-residence at Arlington Capital Partners. From 2002 to 2009, Mr. Kennedy served as a managing director at GE Capital, Inc. From 1999 to 2002, Mr. Kennedy worked as a manager of transaction services at Ernst &amp; Young LLP. Mr. Kennedy served in the U.S. Air Force from 1992 to 1996. Mr. Kennedy received his M.B.A. from the College of William &amp; Mary and a Bachelor of Science with high distinction from Indiana University. Mr. Kennedy is a chartered financial analyst and certified public accountant.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no arrangements or understandings between Mr. Kennedy and any other persons pursuant to which he was appointed as chief financial officer. There is no family relationship between Mr. Kennedy and any director, officer, or person nominated or chosen by the Company to become a director or officer of the Company. The Company has not entered into any transactions with Mr. Kennedy that would require disclosure pursuant to Item 404(a) of Regulation S-K under the Exchange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Mr. Kennedy's employment will be on at at-will basis. As the Company’s chief financial officer, Mr. Kennedy will:</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 an annual base salary of $400,000 per year;</w:t>
      </w:r>
    </w:p>
    <w:p>
      <w:pPr>
        <w:spacing w:after="0" w:line="23"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 eligible to participate in the Veracyte 2017 Bonus Program with a target bonus of 50% of eligible annual earnings to be earned based on factors such as the Company’s performance and his individual performance, and subject to the approval of the Company’s Compensation Committee;</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 granted the option to purchase 100,000 shares of the Company's common stock at a price per share equal to the fair market value of the Company's common stock on the date of the grant, which will be the date of commencement of employment, with vesting beginning on the first anniversary of employment, with 1/36 of the shares vesting each month for the following 36 months;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 granted 25,000 restricted share units that will vest on the one-year anniversary of the commencement of employment;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 eligible to participate in the Company’s benefits programs, subject to the terms and conditions of each program;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up to one year from commencement of employment, the Company will reimburse reasonable travel expenses to his state of residence and relocation costs.</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Upon employment, Mr. Kennedy will enter into Change of Control and Severance Agreement, which will provide for certain payments and benefits in the event of termination of employment with the Company in connection with a change in control of the Company and will be in the same form as the Company’s change of control and severance agreements with its other executive officers, a description of which is set forth in the Company’s proxy statement on Schedule 14A for its annual meeting of stockholders held on June 17, 2016 under the caption “Executive Compensation—Termination-based Compensation” and is incorporated herein by reference. In accordance with the Company’s customary practice, the Company and Mr. Kennedy will also enter into an Indemnification Agreement, which will require the Company to indemnify him against certain liabilities that may arise in connection with his status or service as an officer. The foregoing description is qualified in its entirety by the full text of the Change of Control and Severance Agreement to be entered into with Mr. Kennedy, which will be filed as an exhibit to the Company’s Annual Report on Form 10-K for the year ending December 31, 2016 and the form of Indemnification Agreement, which has been filed as Exhibit 10.1 to the Company’s Annual Report on Form 10-K for the year ended December 31, 2015 (incorporated by reference to Exhibit 10.1 to the Company’s Registration Statement on Form S-1 (File No. 333-191282), as amended, declared effective on October 29, 2013).</w:t>
      </w:r>
    </w:p>
    <w:p>
      <w:pPr>
        <w:sectPr>
          <w:pgSz w:w="11900" w:h="16838" w:orient="portrait"/>
          <w:cols w:equalWidth="0" w:num="1">
            <w:col w:w="11420"/>
          </w:cols>
          <w:pgMar w:left="240" w:top="729" w:right="2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A copy of the press release issued by the Company announcing the appointment of Mr. Kennedy is attached hereto as Exhibit 99.1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p>
      <w:pPr>
        <w:ind w:left="40"/>
        <w:spacing w:after="0"/>
        <w:tabs>
          <w:tab w:leader="none" w:pos="60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Veracyte, Inc. dated November 21, 2016.</w:t>
      </w:r>
    </w:p>
    <w:p>
      <w:pPr>
        <w:sectPr>
          <w:pgSz w:w="11900" w:h="16838" w:orient="portrait"/>
          <w:cols w:equalWidth="0" w:num="1">
            <w:col w:w="11420"/>
          </w:cols>
          <w:pgMar w:left="240" w:top="679"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394" w:lineRule="exact"/>
        <w:rPr>
          <w:sz w:val="20"/>
          <w:szCs w:val="20"/>
          <w:color w:val="auto"/>
        </w:rPr>
      </w:pPr>
    </w:p>
    <w:p>
      <w:pPr>
        <w:ind w:right="560" w:firstLine="500"/>
        <w:spacing w:after="0" w:line="3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November 21, 2016</w:t>
      </w:r>
    </w:p>
    <w:p>
      <w:pPr>
        <w:spacing w:after="0" w:line="3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5860" w:type="dxa"/>
            <w:vAlign w:val="bottom"/>
          </w:tcPr>
          <w:p>
            <w:pPr>
              <w:ind w:left="80"/>
              <w:spacing w:after="0"/>
              <w:rPr>
                <w:sz w:val="20"/>
                <w:szCs w:val="20"/>
                <w:color w:val="auto"/>
              </w:rPr>
            </w:pPr>
            <w:r>
              <w:rPr>
                <w:rFonts w:ascii="Arial" w:cs="Arial" w:eastAsia="Arial" w:hAnsi="Arial"/>
                <w:sz w:val="18"/>
                <w:szCs w:val="18"/>
                <w:color w:val="auto"/>
              </w:rPr>
              <w:t>/s/ Julie A. Brooks</w:t>
            </w:r>
          </w:p>
        </w:tc>
        <w:tc>
          <w:tcPr>
            <w:tcW w:w="0" w:type="dxa"/>
            <w:vAlign w:val="bottom"/>
          </w:tcPr>
          <w:p>
            <w:pPr>
              <w:spacing w:after="0"/>
              <w:rPr>
                <w:sz w:val="1"/>
                <w:szCs w:val="1"/>
                <w:color w:val="auto"/>
              </w:rPr>
            </w:pPr>
          </w:p>
        </w:tc>
      </w:tr>
      <w:tr>
        <w:trPr>
          <w:trHeight w:val="54"/>
        </w:trPr>
        <w:tc>
          <w:tcPr>
            <w:tcW w:w="9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5860" w:type="dxa"/>
            <w:vAlign w:val="bottom"/>
          </w:tcPr>
          <w:p>
            <w:pPr>
              <w:ind w:left="80"/>
              <w:spacing w:after="0"/>
              <w:rPr>
                <w:sz w:val="20"/>
                <w:szCs w:val="20"/>
                <w:color w:val="auto"/>
              </w:rPr>
            </w:pPr>
            <w:r>
              <w:rPr>
                <w:rFonts w:ascii="Arial" w:cs="Arial" w:eastAsia="Arial" w:hAnsi="Arial"/>
                <w:sz w:val="18"/>
                <w:szCs w:val="18"/>
                <w:color w:val="auto"/>
              </w:rPr>
              <w:t>Julie A. Brooks</w:t>
            </w:r>
          </w:p>
        </w:tc>
        <w:tc>
          <w:tcPr>
            <w:tcW w:w="0" w:type="dxa"/>
            <w:vAlign w:val="bottom"/>
          </w:tcPr>
          <w:p>
            <w:pPr>
              <w:spacing w:after="0"/>
              <w:rPr>
                <w:sz w:val="1"/>
                <w:szCs w:val="1"/>
                <w:color w:val="auto"/>
              </w:rPr>
            </w:pPr>
          </w:p>
        </w:tc>
      </w:tr>
      <w:tr>
        <w:trPr>
          <w:trHeight w:val="297"/>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5860" w:type="dxa"/>
            <w:vAlign w:val="bottom"/>
          </w:tcPr>
          <w:p>
            <w:pPr>
              <w:ind w:left="80"/>
              <w:spacing w:after="0"/>
              <w:rPr>
                <w:sz w:val="20"/>
                <w:szCs w:val="20"/>
                <w:color w:val="auto"/>
              </w:rPr>
            </w:pPr>
            <w:r>
              <w:rPr>
                <w:rFonts w:ascii="Arial" w:cs="Arial" w:eastAsia="Arial" w:hAnsi="Arial"/>
                <w:sz w:val="18"/>
                <w:szCs w:val="18"/>
                <w:i w:val="1"/>
                <w:iCs w:val="1"/>
                <w:color w:val="auto"/>
              </w:rPr>
              <w:t>General Counsel</w:t>
            </w:r>
          </w:p>
        </w:tc>
        <w:tc>
          <w:tcPr>
            <w:tcW w:w="0" w:type="dxa"/>
            <w:vAlign w:val="bottom"/>
          </w:tcPr>
          <w:p>
            <w:pPr>
              <w:spacing w:after="0"/>
              <w:rPr>
                <w:sz w:val="1"/>
                <w:szCs w:val="1"/>
                <w:color w:val="auto"/>
              </w:rPr>
            </w:pPr>
          </w:p>
        </w:tc>
      </w:tr>
    </w:tbl>
    <w:p>
      <w:pPr>
        <w:sectPr>
          <w:pgSz w:w="11900" w:h="16838" w:orient="portrait"/>
          <w:cols w:equalWidth="0" w:num="1">
            <w:col w:w="11340"/>
          </w:cols>
          <w:pgMar w:left="240" w:top="729"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169545</wp:posOffset>
            </wp:positionV>
            <wp:extent cx="1286510" cy="694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651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Appoints Keith Kennedy as Chief Financial Officer</w:t>
      </w:r>
    </w:p>
    <w:p>
      <w:pPr>
        <w:spacing w:after="0" w:line="200" w:lineRule="exact"/>
        <w:rPr>
          <w:sz w:val="20"/>
          <w:szCs w:val="20"/>
          <w:color w:val="auto"/>
        </w:rPr>
      </w:pPr>
    </w:p>
    <w:p>
      <w:pPr>
        <w:spacing w:after="0" w:line="344"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SOUTH SAN FRANCISCO, Calif., November 21, 2016 --- Veracyte, Inc. (NASDAQ: VCYT), a genomic diagnostics company that reduces unnecessary surgeries and healthcare costs by resolving diagnostic uncertainty, today announced the appointment of Keith Kennedy as chief financial officer. Mr. Kennedy, the former president and chief executive officer of MCG Capital Corporation (NASDAQ: MCGC), will join Veracyte effective December 6, 2016.</w:t>
      </w:r>
    </w:p>
    <w:p>
      <w:pPr>
        <w:spacing w:after="0" w:line="232"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“With three commercial products and a strong financial foundation, we believe Veracyte is well-positioned for profitable growth as we target a combined market opportunity of over $2 billion,” said Bonnie Anderson, the company’s president and chief executive officer. “Keith’s deep expertise in financial strategy and operations, coupled with his knowledge of the healthcare sector, will support our efforts to transform disease diagnosis while delivering exceptional value to our shareholders.”</w:t>
      </w:r>
    </w:p>
    <w:p>
      <w:pPr>
        <w:spacing w:after="0" w:line="232"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Mr. Kennedy joins Veracyte with over 20 years of executive experience in finance. As president and chief executive officer of MCG Capital, Mr. Kennedy led strategy and operations for the publicly held commercial finance company and assumed various board roles and oversight responsibilities for its portfolio companies in health care and other industries. He led MCG Capital’s successful sale to PennantPark Floating Rate Capital Ltd. in 2015 and consulted for PennantPark Investment Advisors, LLC after the sale. Mr. Kennedy previously served as MCG’s chief financial officer, chief accounting officer and treasurer. Prior to MCG, Mr. Kennedy served as a healthcare executive-in-residence at Arlington Capital Partners and a managing director at GE Capital. Prior to GE Capital, Mr. Kennedy worked for Ernst &amp; Young LLP and served as an officer in the U.S. Air Force. Mr. Kennedy received his M.B.A. from The College of William &amp; Mary and Bachelor of Science with high distinction from Indiana University. Mr. Kennedy is a chartered financial analyst and certified public accountant.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5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Veracyte (NASDAQ: VCYT) is pioneering the field of molecular cytology, offering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Afirma</w:t>
      </w:r>
      <w:r>
        <w:rPr>
          <w:rFonts w:ascii="Arial" w:cs="Arial" w:eastAsia="Arial" w:hAnsi="Arial"/>
          <w:sz w:val="21"/>
          <w:szCs w:val="21"/>
          <w:b w:val="1"/>
          <w:bCs w:val="1"/>
          <w:color w:val="auto"/>
          <w:vertAlign w:val="superscript"/>
        </w:rPr>
        <w:t>®</w:t>
      </w:r>
      <w:r>
        <w:rPr>
          <w:rFonts w:ascii="Arial" w:cs="Arial" w:eastAsia="Arial" w:hAnsi="Arial"/>
          <w:sz w:val="18"/>
          <w:szCs w:val="18"/>
          <w:color w:val="auto"/>
        </w:rPr>
        <w:t xml:space="preserve"> Thyroid FNA Analysis centers on the proprietary Afirma Gene Expression Classifier (GEC) and is becoming a new standard of care in thyroid nodule assessment. The Afirma test is recommended in leading practice guidelines and is covered for 185 million lives in the United States, including through Medicare and many</w:t>
      </w:r>
    </w:p>
    <w:p>
      <w:pPr>
        <w:sectPr>
          <w:pgSz w:w="11900" w:h="16838" w:orient="portrait"/>
          <w:cols w:equalWidth="0" w:num="1">
            <w:col w:w="11420"/>
          </w:cols>
          <w:pgMar w:left="240" w:top="395" w:right="239" w:bottom="1440" w:gutter="0" w:footer="0" w:header="0"/>
        </w:sectPr>
      </w:pPr>
    </w:p>
    <w:bookmarkStart w:id="5" w:name="page6"/>
    <w:bookmarkEnd w:id="5"/>
    <w:p>
      <w:pPr>
        <w:jc w:val="both"/>
        <w:ind w:right="140"/>
        <w:spacing w:after="0" w:line="273" w:lineRule="auto"/>
        <w:rPr>
          <w:sz w:val="20"/>
          <w:szCs w:val="20"/>
          <w:color w:val="auto"/>
        </w:rPr>
      </w:pPr>
      <w:r>
        <w:rPr>
          <w:rFonts w:ascii="Arial" w:cs="Arial" w:eastAsia="Arial" w:hAnsi="Arial"/>
          <w:sz w:val="18"/>
          <w:szCs w:val="18"/>
          <w:color w:val="auto"/>
        </w:rPr>
        <w:t>commercial insurance plans. Veracyte is expanding its molecular cytology franchise to other clinical areas, beginning with difficult-to-diagnose lung diseases. In 2015, the company launched the Percepta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Bronchial Genomic Classifier, a test to evaluate patients with lung nodules that are suspicious for cancer, which has already received draft Medicare coverage. In October 2016, Veracyte launched its second pulmonology product, the Envisia™ Genomic Classifier, to improve diagnosis of interstitial lung diseases, including idiopathic pulmonary fibrosis. For more information, please visit www.veracyte.com.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58"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Mr. Kennedy’s expected start date, our belief that we are well positioned for profitable growth as we target a combined market opportunity of over $2 billion and Mr. Kennedy’s expected support for our efforts to transform disease diagnosis while delivering exceptional value to our shareholders.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unanticipated changes in the timing of Mr. Kennedy’s start date; the applicability of clinical results to actual outcomes; laws and regulations applicable to our business, including potential regulation by the Food and Drug Administration or other regulatory bodies; the size of the market opportunity for our products; our ability to successfully achieve adoption of and reimbursement for our products; the amount by which use of our products are able to reduce invasive procedures and misdiagnosis, and reduce healthcare costs; the occurrence and outcomes of clinical studies; the timing and publication of clinical study results; and other risks set forth in the company's filings with</w:t>
      </w:r>
    </w:p>
    <w:p>
      <w:pPr>
        <w:spacing w:after="0" w:line="11" w:lineRule="exact"/>
        <w:rPr>
          <w:sz w:val="20"/>
          <w:szCs w:val="20"/>
          <w:color w:val="auto"/>
        </w:rPr>
      </w:pPr>
    </w:p>
    <w:p>
      <w:pPr>
        <w:jc w:val="both"/>
        <w:ind w:right="640"/>
        <w:spacing w:after="0" w:line="287" w:lineRule="auto"/>
        <w:rPr>
          <w:sz w:val="20"/>
          <w:szCs w:val="20"/>
          <w:color w:val="auto"/>
        </w:rPr>
      </w:pPr>
      <w:r>
        <w:rPr>
          <w:rFonts w:ascii="Arial" w:cs="Arial" w:eastAsia="Arial" w:hAnsi="Arial"/>
          <w:sz w:val="18"/>
          <w:szCs w:val="18"/>
          <w:color w:val="auto"/>
        </w:rPr>
        <w:t>the Securities and Exchange Commission, including the risks set forth in the company's Quarterly Report on Form 10-Q for the quarter ended September 30, 2016. These forward-looking statements speak only as of the date hereof and Veracyte specifically disclaims any obligation to update these forward-looking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sectPr>
      <w:pgSz w:w="11900" w:h="16838" w:orient="portrait"/>
      <w:cols w:equalWidth="0" w:num="1">
        <w:col w:w="11400"/>
      </w:cols>
      <w:pgMar w:left="240" w:top="39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2019-12-08T13:32:45Z</dcterms:created>
  <dcterms:modified xsi:type="dcterms:W3CDTF">2019-12-08T13:32:45Z</dcterms:modified>
</cp:coreProperties>
</file>