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July 23,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23, 2018, Veracyte, Inc. issued a press release announcing its financial results for the quarter ended June 30, 2018.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issued by Veracyte, Inc. dated July 23, 2018.</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23, 2018</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157480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Announces Second Quarter 2018 Financial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up 24% to $22.8 Million Compared to Second Quarter 2017</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Increasing Revenue and Narrowing Cash Burn Guidance for Full-year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SOUTH SAN FRANCISCO, Calif., July 23, 2018 -- Veracyte, Inc. (Nasdaq: VCYT) today announced financial results for the second quarter ended June 30, 2018 and provided an update on recent business progress. For the second quarter of 2018, revenue was $22.8 million, an increase of 24%, compared to $18.4 million for the second quarter of 2017. Genomic test volume was 7,686, an increase of 18% compared to the same period in 2017.</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delivered another exceptional quarter of revenue and genomic test volume growth,” said Bonnie Anderson, chairman and chief executive officer of Veracyte. “We saw strong growth in our Afirma business where our deep RNA sequencing platform is enabling us to further reduce surgeries in thyroid cancer diagnosis and inform treatment decisions. We accelerated uptake of Percepta in lung cancer diagnosis, while launching our Early Access Program to address strong physician demand for Envisia - and are already leveraging crossover business opportunities with these two pulmonology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three-month period ended June 30, 2018, as compared to the second quarter of 2017:</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$22.8 million, an increase of 24%;</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Genomic Test Volume </w:t>
      </w:r>
      <w:r>
        <w:rPr>
          <w:rFonts w:ascii="Arial" w:cs="Arial" w:eastAsia="Arial" w:hAnsi="Arial"/>
          <w:sz w:val="18"/>
          <w:szCs w:val="18"/>
          <w:color w:val="auto"/>
        </w:rPr>
        <w:t>was 7,686, an increase of 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64%, an increase of 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$20.4 million, an increase of 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($6.2) million, an improvement of 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($0.18), an improvement of 18%;</w:t>
      </w:r>
    </w:p>
    <w:p>
      <w:pPr>
        <w:spacing w:after="0" w:line="9" w:lineRule="exact"/>
        <w:rPr>
          <w:rFonts w:ascii="Arial" w:cs="Arial" w:eastAsia="Arial" w:hAnsi="Arial"/>
          <w:sz w:val="18"/>
          <w:szCs w:val="18"/>
          <w:color w:val="auto"/>
        </w:rPr>
      </w:pPr>
    </w:p>
    <w:p>
      <w:pPr>
        <w:ind w:left="660" w:hanging="328"/>
        <w:spacing w:after="0" w:line="21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$3.6 million, an improvement of 28%;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$23.8 million at June 30, 2018</w:t>
      </w:r>
      <w:r>
        <w:rPr>
          <w:rFonts w:ascii="Arial" w:cs="Arial" w:eastAsia="Arial" w:hAnsi="Arial"/>
          <w:sz w:val="18"/>
          <w:szCs w:val="18"/>
          <w:i w:val="1"/>
          <w:iCs w:val="1"/>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six-month period ended June 30, 2018, as compared to the prior year period of 2017:</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$42.8 million, an increase of 23%;</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Genomic Test Volume </w:t>
      </w:r>
      <w:r>
        <w:rPr>
          <w:rFonts w:ascii="Arial" w:cs="Arial" w:eastAsia="Arial" w:hAnsi="Arial"/>
          <w:sz w:val="18"/>
          <w:szCs w:val="18"/>
          <w:color w:val="auto"/>
        </w:rPr>
        <w:t>was 14,550, an increase of 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unchanged at 62%;</w:t>
      </w:r>
    </w:p>
    <w:p>
      <w:pPr>
        <w:sectPr>
          <w:pgSz w:w="11900" w:h="16838" w:orient="portrait"/>
          <w:cols w:equalWidth="0" w:num="1">
            <w:col w:w="11420"/>
          </w:cols>
          <w:pgMar w:left="240" w:top="576"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$41.6 million, an increase of 16%;</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($15.4) million, an improvement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($0.45), an improvement of 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$11.3 million, an improvement of 15%.</w:t>
      </w:r>
    </w:p>
    <w:p>
      <w:pPr>
        <w:spacing w:after="0" w:line="323" w:lineRule="exact"/>
        <w:rPr>
          <w:sz w:val="20"/>
          <w:szCs w:val="20"/>
          <w:color w:val="auto"/>
        </w:rPr>
      </w:pPr>
    </w:p>
    <w:p>
      <w:pPr>
        <w:ind w:right="120"/>
        <w:spacing w:after="0" w:line="233"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A reconciliation of net cash used in operating activities to cash burn has been provided in the financial statement tables included in this press release. An explanation of cash burn is also included below under the heading “Non-GAAP Financial Measures.”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and Recent Business Highlights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Commercial Growth:</w:t>
      </w:r>
    </w:p>
    <w:p>
      <w:pPr>
        <w:spacing w:after="0" w:line="9" w:lineRule="exact"/>
        <w:rPr>
          <w:sz w:val="20"/>
          <w:szCs w:val="20"/>
          <w:color w:val="auto"/>
        </w:rPr>
      </w:pPr>
    </w:p>
    <w:p>
      <w:pPr>
        <w:ind w:left="660" w:right="4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Tripled Percepta revenue for the second quarter of 2018, compared to the first quarter, with the number of physicians ordering the Percepta classifier increasing by over 50 percent during this period.</w:t>
      </w:r>
    </w:p>
    <w:p>
      <w:pPr>
        <w:ind w:left="660" w:right="5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regulatory approval from the New York State Department of Health, enabling us to now move 100% of Afirma classifier testing to the Genomic Sequencing Classifier (GSC).</w:t>
      </w:r>
    </w:p>
    <w:p>
      <w:pPr>
        <w:ind w:left="660" w:right="6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Commercially launched the Afirma Xpression Atlas, providing RNA sequencing-based insights to inform surgery and treatment decisions in patients with suspected thyroid cancer.</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Booked our first biopharmaceutical service revenue of $0.5 million based on the Afirma Xpression Atlas platform.</w:t>
      </w:r>
    </w:p>
    <w:p>
      <w:pPr>
        <w:spacing w:after="0" w:line="9"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the Envisia Early Access Program to select sites across the United States in response to physician demand, further preparing for commercial expansion in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Evidence Development:</w:t>
      </w:r>
    </w:p>
    <w:p>
      <w:pPr>
        <w:spacing w:after="0" w:line="9" w:lineRule="exact"/>
        <w:rPr>
          <w:sz w:val="20"/>
          <w:szCs w:val="20"/>
          <w:color w:val="auto"/>
        </w:rPr>
      </w:pPr>
    </w:p>
    <w:p>
      <w:pPr>
        <w:ind w:left="660" w:right="7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Published clinical validation data for the Afirma GSC in </w:t>
      </w:r>
      <w:r>
        <w:rPr>
          <w:rFonts w:ascii="Arial" w:cs="Arial" w:eastAsia="Arial" w:hAnsi="Arial"/>
          <w:sz w:val="18"/>
          <w:szCs w:val="18"/>
          <w:i w:val="1"/>
          <w:iCs w:val="1"/>
          <w:color w:val="auto"/>
        </w:rPr>
        <w:t>JAMA Surgery</w:t>
      </w:r>
      <w:r>
        <w:rPr>
          <w:rFonts w:ascii="Arial" w:cs="Arial" w:eastAsia="Arial" w:hAnsi="Arial"/>
          <w:sz w:val="18"/>
          <w:szCs w:val="18"/>
          <w:color w:val="auto"/>
        </w:rPr>
        <w:t>, demonstrating the next-generation test’s ability to help approximately 70% of patients with indeterminate thyroid nodules avoid unnecessary surgery.</w:t>
      </w:r>
    </w:p>
    <w:p>
      <w:pPr>
        <w:ind w:left="660" w:right="2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performance and clinical utility data for our two flagship products, the Afirma GSC and the Percepta classifier, were shared in five presentations at major endocrinology and pulmonology conferences.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Scientific Innovation:</w:t>
      </w:r>
    </w:p>
    <w:p>
      <w:pPr>
        <w:spacing w:after="0" w:line="9" w:lineRule="exact"/>
        <w:rPr>
          <w:sz w:val="20"/>
          <w:szCs w:val="20"/>
          <w:color w:val="auto"/>
        </w:rPr>
      </w:pPr>
    </w:p>
    <w:p>
      <w:pPr>
        <w:ind w:left="660" w:right="5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Assembled over 2,000 patient samples to advance our field-of-injury research to fuel development of a nasal swab test for early detection of lung cancer.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2018 Financial Outlook</w:t>
      </w:r>
    </w:p>
    <w:p>
      <w:pPr>
        <w:spacing w:after="0" w:line="11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Veracyte is increasing its 2018 annual revenue guidance to between $87 million and $89 million, from its previously updated guidance of between $83 million and $86 million. The company is narrowing its annual cash burn guidance to between $18 million and $21 million, from between $18 million and $22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call may be accessed as follows: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Veracyte Second Quarter 2018 Conference Call</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4:30 p.m. ET Today</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Website: http://investor.veracyte.com</w:t>
      </w:r>
    </w:p>
    <w:p>
      <w:pPr>
        <w:spacing w:after="0" w:line="6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Dial-in number (U.S.): (855) 541-0980</w:t>
      </w:r>
    </w:p>
    <w:p>
      <w:pPr>
        <w:spacing w:after="0" w:line="6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International Number: (970) 315-0440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Conference ID: 7784825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webcast replay will be available on the company's website approximately two hours following completion of the call.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Veracyte, Inc. (Nasdaq: VCYT) is a leading genomic diagnostics company that is providing trustworthy and actionable answers that fundamentally improve patient care when current diagnostic tests are uncertain.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tests, which are transforming</w:t>
      </w:r>
    </w:p>
    <w:p>
      <w:pPr>
        <w:sectPr>
          <w:pgSz w:w="11900" w:h="16838" w:orient="portrait"/>
          <w:cols w:equalWidth="0" w:num="1">
            <w:col w:w="11380"/>
          </w:cols>
          <w:pgMar w:left="240" w:top="580" w:right="279" w:bottom="1440" w:gutter="0" w:footer="0" w:header="0"/>
        </w:sectPr>
      </w:pPr>
    </w:p>
    <w:bookmarkStart w:id="5" w:name="page6"/>
    <w:bookmarkEnd w:id="5"/>
    <w:p>
      <w:pPr>
        <w:ind w:right="80"/>
        <w:spacing w:after="0" w:line="256" w:lineRule="auto"/>
        <w:rPr>
          <w:sz w:val="20"/>
          <w:szCs w:val="20"/>
          <w:color w:val="auto"/>
        </w:rPr>
      </w:pPr>
      <w:r>
        <w:rPr>
          <w:rFonts w:ascii="Arial" w:cs="Arial" w:eastAsia="Arial" w:hAnsi="Arial"/>
          <w:sz w:val="18"/>
          <w:szCs w:val="18"/>
          <w:color w:val="auto"/>
        </w:rPr>
        <w:t>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our belief that we have a strong foundation in place to drive revenue growth, our beliefs regarding momentum in our business and potential drivers of future growth, our expectations regarding full-year 2018 revenue and cash burn, our ability to move Afirma classifier testing to the GSC, commercial expansion of Envisia in 2019, our development of a nasal swab test for early detection of lung cancer, and our ability to drive revenue growth across our endocrinology and pulmonology franchises.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history of losses since inception; our ability to enhance the performance of our Afirma classifier; our ability to successfully transition to our next-generation Afirma GSC; the performance and acceptance of our Percepta and Envisia classifiers; our ability to increase usage of and reimbursement for the Afirma and Percepta classifiers and to obtain adequate reimbursement for our Envisia classifier, as well as any future products we may develop or sell; our ability to continue our momentum and growth; our dependence on a few payers for a significant portion of our revenue; and other risks set forth in the company's filings with the Securities and Exchange Commission, including the risks set forth in the company's Quarterly Report on Form 10-Q for the quarter ended June 30, 2018. These forward-looking statements speak only as of the date hereof and Veracyte specifically disclaims any obligation to update these forward-looking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consolidated financial statements prepared in accordance with generally accepted accounting principles in the United States (GAAP), we monitor and consider cash burn, which is a non-GAAP financial measure. This non-GAAP financial measure is not based on any standardized methodology prescribed by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non-GAAP measure is that cash burn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in our most recent Quarterly Report on Form 10-Q and Annual Report on Form 10-K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13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Because of these limitations, cash burn should not be considered in isolation from, or as a substitute for, financial information prepared in accordance with GAAP. Investors are encouraged to review the reconciliation of cash burn to net cash used in operating activities provided in the tables below.</w:t>
      </w:r>
    </w:p>
    <w:p>
      <w:pPr>
        <w:sectPr>
          <w:pgSz w:w="11900" w:h="16838" w:orient="portrait"/>
          <w:cols w:equalWidth="0" w:num="1">
            <w:col w:w="11420"/>
          </w:cols>
          <w:pgMar w:left="240" w:top="598"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1"/>
                <w:szCs w:val="21"/>
                <w:color w:val="auto"/>
              </w:rPr>
            </w:pPr>
          </w:p>
        </w:tc>
        <w:tc>
          <w:tcPr>
            <w:tcW w:w="26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22,751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42,792</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34,838</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16,113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13,257</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15,330</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77"/>
        </w:trPr>
        <w:tc>
          <w:tcPr>
            <w:tcW w:w="53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50"/>
        </w:trPr>
        <w:tc>
          <w:tcPr>
            <w:tcW w:w="53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28,668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25,015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57,664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48,964</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(14,126)</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34,314,234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33,873,128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34,320,793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33,848,645</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440" w:top="738" w:right="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1"/>
                <w:szCs w:val="21"/>
                <w:color w:val="auto"/>
              </w:rPr>
            </w:pPr>
          </w:p>
        </w:tc>
        <w:tc>
          <w:tcPr>
            <w:tcW w:w="2140" w:type="dxa"/>
            <w:vAlign w:val="bottom"/>
          </w:tcPr>
          <w:p>
            <w:pPr>
              <w:jc w:val="right"/>
              <w:ind w:right="99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23,758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33,891</w:t>
            </w: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Supplies inventory</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7"/>
        </w:trPr>
        <w:tc>
          <w:tcPr>
            <w:tcW w:w="6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41,635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9,035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7"/>
        </w:trPr>
        <w:tc>
          <w:tcPr>
            <w:tcW w:w="66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65,461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7"/>
        </w:trPr>
        <w:tc>
          <w:tcPr>
            <w:tcW w:w="6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10,391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25,103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Capital lease liability, net of current portion</w:t>
            </w:r>
          </w:p>
        </w:tc>
        <w:tc>
          <w:tcPr>
            <w:tcW w:w="3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39,655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41,444</w:t>
            </w: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25,806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65,461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9"/>
        <w:spacing w:after="0" w:line="246"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condensed balance sheet at December 31, 2017 has been derived from the audited financial statements at that date included in the Company's Form 10-K filed with the Securities and Exchange Commission dated February 27, 2018.</w:t>
      </w:r>
    </w:p>
    <w:p>
      <w:pPr>
        <w:sectPr>
          <w:pgSz w:w="11900" w:h="16838" w:orient="portrait"/>
          <w:cols w:equalWidth="0" w:num="1">
            <w:col w:w="11360"/>
          </w:cols>
          <w:pgMar w:left="280" w:top="738"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9"/>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VERACYTE, INC.</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Condensed Statements of Cash Flows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(Unaudited)</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(In thousands of dollars)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(15,515)</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Interest on end-of-term debt obligations</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Supplies inventory</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current other assets</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7"/>
        </w:trPr>
        <w:tc>
          <w:tcPr>
            <w:tcW w:w="6400" w:type="dxa"/>
            <w:vAlign w:val="bottom"/>
          </w:tcPr>
          <w:p>
            <w:pPr>
              <w:ind w:left="340"/>
              <w:spacing w:after="0"/>
              <w:rPr>
                <w:sz w:val="20"/>
                <w:szCs w:val="20"/>
                <w:color w:val="auto"/>
              </w:rPr>
            </w:pPr>
            <w:r>
              <w:rPr>
                <w:rFonts w:ascii="Arial" w:cs="Arial" w:eastAsia="Arial" w:hAnsi="Arial"/>
                <w:sz w:val="18"/>
                <w:szCs w:val="18"/>
                <w:color w:val="auto"/>
              </w:rPr>
              <w:t>Accrued liabilities and deferred rent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1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legal settlement regard short swing profits</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capital lease liability</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24,361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47,186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201" w:lineRule="exact"/>
              <w:rPr>
                <w:sz w:val="20"/>
                <w:szCs w:val="20"/>
                <w:color w:val="auto"/>
              </w:rPr>
            </w:pPr>
            <w:r>
              <w:rPr>
                <w:rFonts w:ascii="Arial" w:cs="Arial" w:eastAsia="Arial" w:hAnsi="Arial"/>
                <w:sz w:val="18"/>
                <w:szCs w:val="18"/>
                <w:b w:val="1"/>
                <w:bCs w:val="1"/>
                <w:color w:val="auto"/>
              </w:rPr>
              <w:t>Supplementary cash flow information of non-cash investing and financing</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Interest paid on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bl>
    <w:p>
      <w:pPr>
        <w:sectPr>
          <w:pgSz w:w="11900" w:h="16838" w:orient="portrait"/>
          <w:cols w:equalWidth="0" w:num="1">
            <w:col w:w="9100"/>
          </w:cols>
          <w:pgMar w:left="1420" w:top="738" w:right="1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r>
      <w:tr>
        <w:trPr>
          <w:trHeight w:val="243"/>
        </w:trPr>
        <w:tc>
          <w:tcPr>
            <w:tcW w:w="8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23,758</w:t>
            </w:r>
          </w:p>
        </w:tc>
        <w:tc>
          <w:tcPr>
            <w:tcW w:w="100" w:type="dxa"/>
            <w:vAlign w:val="bottom"/>
          </w:tcPr>
          <w:p>
            <w:pPr>
              <w:spacing w:after="0"/>
              <w:rPr>
                <w:sz w:val="21"/>
                <w:szCs w:val="21"/>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33,891</w:t>
            </w:r>
          </w:p>
        </w:tc>
      </w:tr>
      <w:tr>
        <w:trPr>
          <w:trHeight w:val="270"/>
        </w:trPr>
        <w:tc>
          <w:tcPr>
            <w:tcW w:w="8620" w:type="dxa"/>
            <w:vAlign w:val="bottom"/>
          </w:tcPr>
          <w:p>
            <w:pPr>
              <w:spacing w:after="0"/>
              <w:rPr>
                <w:sz w:val="20"/>
                <w:szCs w:val="20"/>
                <w:color w:val="auto"/>
              </w:rPr>
            </w:pPr>
            <w:r>
              <w:rPr>
                <w:rFonts w:ascii="Arial" w:cs="Arial" w:eastAsia="Arial" w:hAnsi="Arial"/>
                <w:sz w:val="18"/>
                <w:szCs w:val="18"/>
                <w:color w:val="auto"/>
              </w:rPr>
              <w:t>Restricted cash in long term assets, deposit for lease security</w:t>
            </w:r>
          </w:p>
        </w:tc>
        <w:tc>
          <w:tcPr>
            <w:tcW w:w="16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603</w:t>
            </w:r>
          </w:p>
        </w:tc>
      </w:tr>
      <w:tr>
        <w:trPr>
          <w:trHeight w:val="27"/>
        </w:trPr>
        <w:tc>
          <w:tcPr>
            <w:tcW w:w="8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6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24,361</w:t>
            </w:r>
          </w:p>
        </w:tc>
        <w:tc>
          <w:tcPr>
            <w:tcW w:w="100" w:type="dxa"/>
            <w:vAlign w:val="bottom"/>
          </w:tcPr>
          <w:p>
            <w:pPr>
              <w:spacing w:after="0"/>
              <w:rPr>
                <w:sz w:val="22"/>
                <w:szCs w:val="22"/>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34,494</w:t>
            </w: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NET CASH USED IN OPERATING ACTIVITIES TO CASH BURN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8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7"/>
        </w:trPr>
        <w:tc>
          <w:tcPr>
            <w:tcW w:w="816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(4,910)</w:t>
            </w:r>
          </w:p>
        </w:tc>
      </w:tr>
      <w:tr>
        <w:trPr>
          <w:trHeight w:val="283"/>
        </w:trPr>
        <w:tc>
          <w:tcPr>
            <w:tcW w:w="8160" w:type="dxa"/>
            <w:vAlign w:val="bottom"/>
          </w:tcPr>
          <w:p>
            <w:pPr>
              <w:spacing w:after="0"/>
              <w:rPr>
                <w:sz w:val="20"/>
                <w:szCs w:val="20"/>
                <w:color w:val="auto"/>
              </w:rPr>
            </w:pPr>
            <w:r>
              <w:rPr>
                <w:rFonts w:ascii="Arial" w:cs="Arial" w:eastAsia="Arial" w:hAnsi="Arial"/>
                <w:sz w:val="16"/>
                <w:szCs w:val="16"/>
                <w:color w:val="auto"/>
              </w:rPr>
              <w:t>Plus purchases of property and equipment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40"/>
        </w:trPr>
        <w:tc>
          <w:tcPr>
            <w:tcW w:w="8160" w:type="dxa"/>
            <w:vAlign w:val="bottom"/>
          </w:tcPr>
          <w:p>
            <w:pPr>
              <w:spacing w:after="0"/>
              <w:rPr>
                <w:sz w:val="20"/>
                <w:szCs w:val="20"/>
                <w:color w:val="auto"/>
              </w:rPr>
            </w:pPr>
            <w:r>
              <w:rPr>
                <w:rFonts w:ascii="Arial" w:cs="Arial" w:eastAsia="Arial" w:hAnsi="Arial"/>
                <w:sz w:val="16"/>
                <w:szCs w:val="16"/>
                <w:color w:val="auto"/>
              </w:rPr>
              <w:t>Cash burn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26"/>
        </w:trPr>
        <w:tc>
          <w:tcPr>
            <w:tcW w:w="8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7"/>
        </w:trPr>
        <w:tc>
          <w:tcPr>
            <w:tcW w:w="816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(10,512)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(12,996)</w:t>
            </w:r>
          </w:p>
        </w:tc>
      </w:tr>
      <w:tr>
        <w:trPr>
          <w:trHeight w:val="270"/>
        </w:trPr>
        <w:tc>
          <w:tcPr>
            <w:tcW w:w="8160" w:type="dxa"/>
            <w:vAlign w:val="bottom"/>
          </w:tcPr>
          <w:p>
            <w:pPr>
              <w:spacing w:after="0"/>
              <w:rPr>
                <w:sz w:val="20"/>
                <w:szCs w:val="20"/>
                <w:color w:val="auto"/>
              </w:rPr>
            </w:pPr>
            <w:r>
              <w:rPr>
                <w:rFonts w:ascii="Arial" w:cs="Arial" w:eastAsia="Arial" w:hAnsi="Arial"/>
                <w:sz w:val="16"/>
                <w:szCs w:val="16"/>
                <w:color w:val="auto"/>
              </w:rPr>
              <w:t>Plus purchases of property and equipment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83"/>
        </w:trPr>
        <w:tc>
          <w:tcPr>
            <w:tcW w:w="8160" w:type="dxa"/>
            <w:vAlign w:val="bottom"/>
          </w:tcPr>
          <w:p>
            <w:pPr>
              <w:spacing w:after="0"/>
              <w:rPr>
                <w:sz w:val="20"/>
                <w:szCs w:val="20"/>
                <w:color w:val="auto"/>
              </w:rPr>
            </w:pPr>
            <w:r>
              <w:rPr>
                <w:rFonts w:ascii="Arial" w:cs="Arial" w:eastAsia="Arial" w:hAnsi="Arial"/>
                <w:sz w:val="16"/>
                <w:szCs w:val="16"/>
                <w:color w:val="auto"/>
              </w:rPr>
              <w:t>Less proceeds from the sale of property and equipment</w:t>
            </w:r>
          </w:p>
        </w:tc>
        <w:tc>
          <w:tcPr>
            <w:tcW w:w="3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440</w:t>
            </w:r>
          </w:p>
        </w:tc>
      </w:tr>
      <w:tr>
        <w:trPr>
          <w:trHeight w:val="240"/>
        </w:trPr>
        <w:tc>
          <w:tcPr>
            <w:tcW w:w="8160" w:type="dxa"/>
            <w:vAlign w:val="bottom"/>
          </w:tcPr>
          <w:p>
            <w:pPr>
              <w:spacing w:after="0"/>
              <w:rPr>
                <w:sz w:val="20"/>
                <w:szCs w:val="20"/>
                <w:color w:val="auto"/>
              </w:rPr>
            </w:pPr>
            <w:r>
              <w:rPr>
                <w:rFonts w:ascii="Arial" w:cs="Arial" w:eastAsia="Arial" w:hAnsi="Arial"/>
                <w:sz w:val="16"/>
                <w:szCs w:val="16"/>
                <w:color w:val="auto"/>
              </w:rPr>
              <w:t>Cash burn</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(11,273)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(13,284)</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528</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Keith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keith@veracyte.com</w:t>
      </w:r>
    </w:p>
    <w:sectPr>
      <w:pgSz w:w="11900" w:h="16838" w:orient="portrait"/>
      <w:cols w:equalWidth="0" w:num="1">
        <w:col w:w="11240"/>
      </w:cols>
      <w:pgMar w:left="240" w:top="73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2019-12-28T21:07:12Z</dcterms:created>
  <dcterms:modified xsi:type="dcterms:W3CDTF">2019-12-28T21:07:12Z</dcterms:modified>
</cp:coreProperties>
</file>