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4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-234315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9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5303520</wp:posOffset>
            </wp:positionH>
            <wp:positionV relativeFrom="paragraph">
              <wp:posOffset>-605155</wp:posOffset>
            </wp:positionV>
            <wp:extent cx="8255" cy="6057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5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3993515</wp:posOffset>
            </wp:positionH>
            <wp:positionV relativeFrom="paragraph">
              <wp:posOffset>-613410</wp:posOffset>
            </wp:positionV>
            <wp:extent cx="8255" cy="6140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4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4018280</wp:posOffset>
            </wp:positionH>
            <wp:positionV relativeFrom="paragraph">
              <wp:posOffset>-588645</wp:posOffset>
            </wp:positionV>
            <wp:extent cx="1269365" cy="5651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9365" cy="565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36195</wp:posOffset>
            </wp:positionV>
            <wp:extent cx="6968490" cy="18751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18751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79" w:orient="portrait"/>
          <w:cols w:equalWidth="0" w:num="2">
            <w:col w:w="2260" w:space="300"/>
            <w:col w:w="8500"/>
          </w:cols>
          <w:pgMar w:left="460" w:top="217" w:right="37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Anderson Bonnie H</w:t>
        </w:r>
      </w:hyperlink>
    </w:p>
    <w:p>
      <w:pPr>
        <w:spacing w:after="0" w:line="28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6000 SHORELINE COURT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300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VERACYTE,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VCYT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11/10/2020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600"/>
        <w:spacing w:after="0" w:line="262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9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Chairman and CEO</w:t>
      </w:r>
    </w:p>
    <w:p>
      <w:pPr>
        <w:spacing w:after="0" w:line="429" w:lineRule="exact"/>
        <w:rPr>
          <w:sz w:val="24"/>
          <w:szCs w:val="24"/>
          <w:color w:val="auto"/>
        </w:rPr>
      </w:pPr>
    </w:p>
    <w:p>
      <w:pPr>
        <w:sectPr>
          <w:pgSz w:w="11900" w:h="16879" w:orient="portrait"/>
          <w:cols w:equalWidth="0" w:num="3">
            <w:col w:w="3200" w:space="720"/>
            <w:col w:w="3100" w:space="720"/>
            <w:col w:w="3320"/>
          </w:cols>
          <w:pgMar w:left="460" w:top="217" w:right="379" w:bottom="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2C2C2C"/>
              <w:bottom w:val="single" w:sz="8" w:color="2C2C2C"/>
            </w:tcBorders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720" w:type="dxa"/>
            <w:vAlign w:val="bottom"/>
            <w:tcBorders>
              <w:top w:val="single" w:sz="8" w:color="2C2C2C"/>
              <w:bottom w:val="single" w:sz="8" w:color="2C2C2C"/>
            </w:tcBorders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gridSpan w:val="6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2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74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284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4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12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210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2100" w:type="dxa"/>
            <w:vAlign w:val="bottom"/>
            <w:gridSpan w:val="3"/>
          </w:tcPr>
          <w:p>
            <w:pPr>
              <w:ind w:left="10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10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6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jc w:val="center"/>
              <w:ind w:left="923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9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11/10/2020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86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6"/>
              </w:rPr>
              <w:t>(1)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20,000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8.86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240,231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9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11/10/2020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86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6"/>
              </w:rPr>
              <w:t>(1)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3,993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40.9906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6"/>
                <w:vertAlign w:val="superscript"/>
              </w:rPr>
              <w:t>(2)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236,238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9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11/10/2020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86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6"/>
              </w:rPr>
              <w:t>(1)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4,370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42.0096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6"/>
                <w:vertAlign w:val="superscript"/>
              </w:rPr>
              <w:t>(3)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231,868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9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11/10/2020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86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6"/>
              </w:rPr>
              <w:t>(1)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8,218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43.022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(4)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223,650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9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11/10/2020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86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6"/>
              </w:rPr>
              <w:t>(1)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3,419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43.6141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6"/>
                <w:vertAlign w:val="superscript"/>
              </w:rPr>
              <w:t>(5)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220,231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jc w:val="center"/>
              <w:ind w:left="9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11/10/2020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4"/>
              </w:rPr>
              <w:t>G</w:t>
            </w:r>
          </w:p>
        </w:tc>
        <w:tc>
          <w:tcPr>
            <w:tcW w:w="3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22,906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197,325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jc w:val="center"/>
              <w:ind w:left="9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11/10/2020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4"/>
              </w:rPr>
              <w:t>G</w:t>
            </w:r>
          </w:p>
        </w:tc>
        <w:tc>
          <w:tcPr>
            <w:tcW w:w="3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22,906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174,419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The ANP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jc w:val="center"/>
              <w:ind w:left="9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11/10/2020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4"/>
              </w:rPr>
              <w:t>G</w:t>
            </w:r>
          </w:p>
        </w:tc>
        <w:tc>
          <w:tcPr>
            <w:tcW w:w="3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22,906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47,906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Anderson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(6)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MJP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jc w:val="center"/>
              <w:ind w:left="9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11/10/2020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4"/>
              </w:rPr>
              <w:t>G</w:t>
            </w:r>
          </w:p>
        </w:tc>
        <w:tc>
          <w:tcPr>
            <w:tcW w:w="3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22,906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47,906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Anderson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(6)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Bonnie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99,085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-3744595</wp:posOffset>
            </wp:positionV>
            <wp:extent cx="6968490" cy="418401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4184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02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Anderson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102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Living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102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Trust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57150</wp:posOffset>
            </wp:positionV>
            <wp:extent cx="7033895" cy="209613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20961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8.86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11/10/2020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20,000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03/02/2025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20,000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78,312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68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transactions on this Form 4 were made pursuant to a Rule 10b5-1 plan adopted by the reporting person on August 2, 2019.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00" w:firstLine="2"/>
        <w:spacing w:after="0" w:line="255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weighted average sales price. Sale prices for the transactions range from $40.41 to $41.41. Detailed information regarding the number of shares sold at each separate price will be provided to the SEC, the issuer or a shareholder upon request.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00" w:firstLine="2"/>
        <w:spacing w:after="0" w:line="255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weighted average sales price. Sale prices for the transactions range from $41.47 to $42.40. Detailed information regarding the number of shares sold at each separate price will be provided to the SEC, the issuer or a shareholder upon request.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00" w:firstLine="2"/>
        <w:spacing w:after="0" w:line="255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weighted average sales price. Sale prices for the transactions range from $42.50 to $43.50. Detailed information regarding the number of shares sold at each separate price will be provided to the SEC, the issuer or a shareholder upon request.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00" w:firstLine="2"/>
        <w:spacing w:after="0" w:line="255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weighted average sales price. Sale prices for the transactions range from $43.51 to $43.88. Detailed information regarding the number of shares sold at each separate price will be provided to the SEC, the issuer or a shareholder upon request.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disclaims beneficial ownership of the shares held by the Trust except to the extent of her pecuniary interest therein, if any.</w:t>
      </w:r>
    </w:p>
    <w:p>
      <w:pPr>
        <w:sectPr>
          <w:pgSz w:w="11900" w:h="16879" w:orient="portrait"/>
          <w:cols w:equalWidth="0" w:num="1">
            <w:col w:w="11060"/>
          </w:cols>
          <w:pgMar w:left="460" w:top="217" w:right="37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7. The option is fully vested.</w:t>
      </w:r>
    </w:p>
    <w:p>
      <w:pPr>
        <w:ind w:left="6560"/>
        <w:spacing w:after="0" w:line="18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Keith Kennedy, as Attorney-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11/12/2020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4161155</wp:posOffset>
            </wp:positionH>
            <wp:positionV relativeFrom="paragraph">
              <wp:posOffset>-27305</wp:posOffset>
            </wp:positionV>
            <wp:extent cx="135001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00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4161155</wp:posOffset>
            </wp:positionH>
            <wp:positionV relativeFrom="paragraph">
              <wp:posOffset>-20320</wp:posOffset>
            </wp:positionV>
            <wp:extent cx="27749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4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5561330</wp:posOffset>
            </wp:positionH>
            <wp:positionV relativeFrom="paragraph">
              <wp:posOffset>-85725</wp:posOffset>
            </wp:positionV>
            <wp:extent cx="48069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6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6560"/>
        <w:spacing w:after="0"/>
        <w:tabs>
          <w:tab w:leader="none" w:pos="87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right="2519" w:firstLine="2"/>
        <w:spacing w:after="0" w:line="334" w:lineRule="auto"/>
        <w:tabs>
          <w:tab w:leader="none" w:pos="13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9959"/>
      </w:cols>
      <w:pgMar w:left="500" w:top="152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588970" TargetMode="External"/><Relationship Id="rId14" Type="http://schemas.openxmlformats.org/officeDocument/2006/relationships/hyperlink" Target="http://www.sec.gov/cgi-bin/browse-edgar?action=getcompany&amp;CIK=00013841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2020-11-12T16:15:05Z</dcterms:created>
  <dcterms:modified xsi:type="dcterms:W3CDTF">2020-11-12T16:15:05Z</dcterms:modified>
</cp:coreProperties>
</file>