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Kennedy Keith</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65"/>
        <w:spacing w:after="0"/>
        <w:rPr>
          <w:sz w:val="20"/>
          <w:szCs w:val="20"/>
          <w:color w:val="auto"/>
        </w:rPr>
      </w:pPr>
      <w:r>
        <w:rPr>
          <w:rFonts w:ascii="Times New Roman" w:cs="Times New Roman" w:eastAsia="Times New Roman" w:hAnsi="Times New Roman"/>
          <w:sz w:val="17"/>
          <w:szCs w:val="17"/>
          <w:color w:val="0000FF"/>
        </w:rPr>
        <w:t>COO / CFO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12/02/2020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944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55.08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118,117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440, 284 and 220 shares of common stock to satisfy the reporting person's tax withholding obligations in connection with the vesting of 1,000, 644 and 500 Restricted Stock Units, respectively granted on July 1, 2019, March 2, 2018 and February 28, 2019, respectively, and does not represent a sale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Keith Kennedy</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12/04/2020</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3503"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2020-12-04T16:56:16Z</dcterms:created>
  <dcterms:modified xsi:type="dcterms:W3CDTF">2020-12-04T16:56:16Z</dcterms:modified>
</cp:coreProperties>
</file>