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February 28, 2022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71" w:type="dxa"/>
        <w:jc w:val="left"/>
        <w:tblInd w:w="0" w:type="dxa"/>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001-36156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20-5455398</w:t>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w:t>
            </w:r>
          </w:p>
          <w:p>
            <w:pPr>
              <w:pStyle w:val="TableContents"/>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tbl>
      <w:tblPr>
        <w:tblW w:w="7017" w:type="dxa"/>
        <w:jc w:val="left"/>
        <w:tblInd w:w="0" w:type="dxa"/>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17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r>
      <w:tr>
        <w:trPr/>
        <w:tc>
          <w:tcPr>
            <w:tcW w:w="559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 South San Francisco, 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559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before="0" w:after="0"/>
        <w:rPr/>
      </w:pPr>
      <w:r>
        <w:rPr/>
      </w:r>
    </w:p>
    <w:p>
      <w:pPr>
        <w:pStyle w:val="TextBody"/>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(650) 243-6300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bl>
      <w:tblPr>
        <w:tblW w:w="10205" w:type="dxa"/>
        <w:jc w:val="center"/>
        <w:tblInd w:w="0" w:type="dxa"/>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2356"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6087"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118"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6087"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118"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6087"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4118"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color w:val="000000"/>
              </w:rPr>
            </w:pPr>
            <w:r>
              <w:rPr>
                <w:color w:val="000000"/>
              </w:rPr>
              <w:t>☐</w:t>
            </w:r>
          </w:p>
        </w:tc>
        <w:tc>
          <w:tcPr>
            <w:tcW w:w="6087"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998" w:type="dxa"/>
        <w:jc w:val="left"/>
        <w:tblInd w:w="0" w:type="dxa"/>
        <w:tblCellMar>
          <w:top w:w="28" w:type="dxa"/>
          <w:left w:w="28" w:type="dxa"/>
          <w:bottom w:w="28" w:type="dxa"/>
          <w:right w:w="28" w:type="dxa"/>
        </w:tblCellMar>
      </w:tblPr>
      <w:tblGrid>
        <w:gridCol w:w="1341"/>
        <w:gridCol w:w="1175"/>
        <w:gridCol w:w="1189"/>
        <w:gridCol w:w="109"/>
        <w:gridCol w:w="109"/>
        <w:gridCol w:w="109"/>
        <w:gridCol w:w="584"/>
        <w:gridCol w:w="584"/>
        <w:gridCol w:w="586"/>
        <w:gridCol w:w="109"/>
        <w:gridCol w:w="109"/>
        <w:gridCol w:w="109"/>
        <w:gridCol w:w="1137"/>
        <w:gridCol w:w="1137"/>
        <w:gridCol w:w="1611"/>
      </w:tblGrid>
      <w:tr>
        <w:trPr/>
        <w:tc>
          <w:tcPr>
            <w:tcW w:w="1341"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VCYT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tbl>
      <w:tblPr>
        <w:tblW w:w="10205" w:type="dxa"/>
        <w:jc w:val="left"/>
        <w:tblInd w:w="0" w:type="dxa"/>
        <w:tblCellMar>
          <w:top w:w="28" w:type="dxa"/>
          <w:left w:w="28" w:type="dxa"/>
          <w:bottom w:w="28" w:type="dxa"/>
          <w:right w:w="28" w:type="dxa"/>
        </w:tblCellMar>
      </w:tblPr>
      <w:tblGrid>
        <w:gridCol w:w="3300"/>
        <w:gridCol w:w="2848"/>
        <w:gridCol w:w="4057"/>
      </w:tblGrid>
      <w:tr>
        <w:trPr/>
        <w:tc>
          <w:tcPr>
            <w:tcW w:w="3300" w:type="dxa"/>
            <w:tcBorders/>
            <w:shd w:fill="auto" w:val="clear"/>
            <w:vAlign w:val="center"/>
          </w:tcPr>
          <w:p>
            <w:pPr>
              <w:pStyle w:val="TableContents"/>
              <w:spacing w:before="0" w:after="283"/>
              <w:rPr>
                <w:sz w:val="4"/>
                <w:szCs w:val="4"/>
              </w:rPr>
            </w:pPr>
            <w:r>
              <w:rPr>
                <w:sz w:val="4"/>
                <w:szCs w:val="4"/>
              </w:rPr>
            </w:r>
          </w:p>
        </w:tc>
        <w:tc>
          <w:tcPr>
            <w:tcW w:w="2848" w:type="dxa"/>
            <w:tcBorders/>
            <w:shd w:fill="auto" w:val="clear"/>
            <w:vAlign w:val="center"/>
          </w:tcPr>
          <w:p>
            <w:pPr>
              <w:pStyle w:val="TableContents"/>
              <w:spacing w:before="0" w:after="283"/>
              <w:rPr>
                <w:sz w:val="4"/>
                <w:szCs w:val="4"/>
              </w:rPr>
            </w:pPr>
            <w:r>
              <w:rPr>
                <w:sz w:val="4"/>
                <w:szCs w:val="4"/>
              </w:rPr>
            </w:r>
          </w:p>
        </w:tc>
        <w:tc>
          <w:tcPr>
            <w:tcW w:w="4057"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2022, Veracyte, Inc. issued a press release announcing its financial results for the quarter and year ended December 31, 2021. The full text of the press release is furnished as Exhibit 99.1 to this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pStyle w:val="TextBody"/>
        <w:spacing w:before="0" w:after="0"/>
        <w:jc w:val="both"/>
        <w:rPr/>
      </w:pPr>
      <w:r>
        <w:rPr/>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990" w:type="dxa"/>
        <w:jc w:val="left"/>
        <w:tblInd w:w="0" w:type="dxa"/>
        <w:tblCellMar>
          <w:top w:w="28" w:type="dxa"/>
          <w:left w:w="28" w:type="dxa"/>
          <w:bottom w:w="28" w:type="dxa"/>
          <w:right w:w="28" w:type="dxa"/>
        </w:tblCellMar>
      </w:tblPr>
      <w:tblGrid>
        <w:gridCol w:w="385"/>
        <w:gridCol w:w="338"/>
        <w:gridCol w:w="341"/>
        <w:gridCol w:w="109"/>
        <w:gridCol w:w="109"/>
        <w:gridCol w:w="109"/>
        <w:gridCol w:w="1931"/>
        <w:gridCol w:w="1931"/>
        <w:gridCol w:w="2737"/>
      </w:tblGrid>
      <w:tr>
        <w:trPr/>
        <w:tc>
          <w:tcPr>
            <w:tcW w:w="38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firstLine="23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vcyt-228228xkearningsrelea.htm">
              <w:r>
                <w:rPr>
                  <w:rStyle w:val="InternetLink"/>
                </w:rPr>
                <w:t xml:space="preserve">Press release issued by Veracyte, Inc. dated February </w:t>
              </w:r>
            </w:hyperlink>
            <w:hyperlink w:anchor="vcyt-228228xkearningsrelea.htm">
              <w:r>
                <w:rPr>
                  <w:rStyle w:val="InternetLink"/>
                </w:rPr>
                <w:t>28</w:t>
              </w:r>
            </w:hyperlink>
            <w:hyperlink w:anchor="vcyt-228228xkearningsrelea.htm">
              <w:r>
                <w:rPr>
                  <w:rStyle w:val="InternetLink"/>
                </w:rPr>
                <w:t>, 202</w:t>
              </w:r>
            </w:hyperlink>
            <w:hyperlink w:anchor="vcyt-228228xkearningsrelea.htm">
              <w:r>
                <w:rPr>
                  <w:rStyle w:val="InternetLink"/>
                </w:rPr>
                <w:t>2</w:t>
              </w:r>
            </w:hyperlink>
            <w:r>
              <w:rPr>
                <w:rFonts w:ascii="Times New Roman;sans-serif" w:hAnsi="Times New Roman;sans-serif"/>
                <w:b w:val="false"/>
                <w:color w:val="000000"/>
                <w:sz w:val="20"/>
              </w:rPr>
              <w:t>.</w:t>
            </w:r>
          </w:p>
        </w:tc>
      </w:tr>
      <w:tr>
        <w:trPr/>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r>
    </w:p>
    <w:tbl>
      <w:tblPr>
        <w:tblW w:w="5506" w:type="dxa"/>
        <w:jc w:val="left"/>
        <w:tblInd w:w="0" w:type="dxa"/>
        <w:tblCellMar>
          <w:top w:w="28" w:type="dxa"/>
          <w:left w:w="28" w:type="dxa"/>
          <w:bottom w:w="28" w:type="dxa"/>
          <w:right w:w="28" w:type="dxa"/>
        </w:tblCellMar>
      </w:tblPr>
      <w:tblGrid>
        <w:gridCol w:w="260"/>
        <w:gridCol w:w="229"/>
        <w:gridCol w:w="231"/>
        <w:gridCol w:w="529"/>
        <w:gridCol w:w="529"/>
        <w:gridCol w:w="531"/>
        <w:gridCol w:w="266"/>
        <w:gridCol w:w="266"/>
        <w:gridCol w:w="266"/>
        <w:gridCol w:w="699"/>
        <w:gridCol w:w="699"/>
        <w:gridCol w:w="1001"/>
      </w:tblGrid>
      <w:tr>
        <w:trPr/>
        <w:tc>
          <w:tcPr>
            <w:tcW w:w="26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r>
      <w:tr>
        <w:trPr/>
        <w:tc>
          <w:tcPr>
            <w:tcW w:w="720"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7" w:type="dxa"/>
            <w:gridSpan w:val="6"/>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239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spacing w:before="0" w:after="0"/>
        <w:jc w:val="center"/>
        <w:rPr/>
      </w:pPr>
      <w:r>
        <w:rPr/>
      </w:r>
    </w:p>
    <w:p>
      <w:pPr>
        <w:pStyle w:val="TextBody"/>
        <w:spacing w:before="0" w:after="0"/>
        <w:jc w:val="center"/>
        <w:rPr/>
      </w:pPr>
      <w:r>
        <w:rPr/>
        <w:drawing>
          <wp:inline distT="0" distB="63500" distL="0" distR="0">
            <wp:extent cx="1295400" cy="9715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95400" cy="971550"/>
                    </a:xfrm>
                    <a:prstGeom prst="rect">
                      <a:avLst/>
                    </a:prstGeom>
                  </pic:spPr>
                </pic:pic>
              </a:graphicData>
            </a:graphic>
          </wp:inline>
        </w:drawing>
      </w:r>
    </w:p>
    <w:p>
      <w:pPr>
        <w:pStyle w:val="TextBody"/>
        <w:spacing w:lineRule="auto" w:line="276" w:before="0" w:after="0"/>
        <w:jc w:val="center"/>
        <w:rPr>
          <w:rFonts w:ascii="Arial;sans-serif" w:hAnsi="Arial;sans-serif"/>
          <w:b/>
          <w:color w:val="000000"/>
          <w:sz w:val="24"/>
        </w:rPr>
      </w:pPr>
      <w:r>
        <w:rPr>
          <w:rFonts w:ascii="Arial;sans-serif" w:hAnsi="Arial;sans-serif"/>
          <w:b/>
          <w:color w:val="000000"/>
          <w:sz w:val="24"/>
        </w:rPr>
        <w:t>Veracyte Announces Fourth Quarter and Full-Year 2021 Financial Results</w:t>
      </w:r>
    </w:p>
    <w:p>
      <w:pPr>
        <w:pStyle w:val="TextBody"/>
        <w:spacing w:before="0" w:after="0"/>
        <w:rPr/>
      </w:pPr>
      <w:r>
        <w:rPr/>
      </w:r>
    </w:p>
    <w:p>
      <w:pPr>
        <w:pStyle w:val="TextBody"/>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 xml:space="preserve">Grew Fourth Quarter 2021 Revenue to $67.3 Million, an Increase of 95% </w:t>
      </w:r>
    </w:p>
    <w:p>
      <w:pPr>
        <w:pStyle w:val="TextBody"/>
        <w:spacing w:before="0" w:after="0"/>
        <w:rPr/>
      </w:pPr>
      <w:r>
        <w:rPr/>
      </w:r>
    </w:p>
    <w:p>
      <w:pPr>
        <w:pStyle w:val="TextBody"/>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Grew 2021 Revenue to $219.5 Million, an Increase of 87%</w:t>
      </w:r>
    </w:p>
    <w:p>
      <w:pPr>
        <w:pStyle w:val="TextBody"/>
        <w:spacing w:before="0" w:after="0"/>
        <w:rPr/>
      </w:pPr>
      <w:r>
        <w:rPr/>
      </w:r>
    </w:p>
    <w:p>
      <w:pPr>
        <w:pStyle w:val="TextBody"/>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Conference Call and Webcast Today at 4:30 p.m. ET</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SOUTH SAN FRANCISCO, Calif., February 28, 2022 --- Veracyte, Inc., (Nasdaq: VCYT) today announced financial results for the fourth quarter and full year ended December 31, 2021.</w:t>
      </w:r>
    </w:p>
    <w:p>
      <w:pPr>
        <w:pStyle w:val="TextBody"/>
        <w:spacing w:before="0" w:after="0"/>
        <w:rPr/>
      </w:pPr>
      <w:r>
        <w:rPr/>
      </w:r>
    </w:p>
    <w:p>
      <w:pPr>
        <w:pStyle w:val="TextBody"/>
        <w:spacing w:lineRule="auto" w:line="276" w:before="0" w:after="0"/>
        <w:rPr>
          <w:color w:val="000000"/>
        </w:rPr>
      </w:pPr>
      <w:r>
        <w:rPr>
          <w:color w:val="000000"/>
        </w:rPr>
        <w:t>“</w:t>
      </w:r>
      <w:r>
        <w:rPr>
          <w:rFonts w:ascii="Arial;sans-serif" w:hAnsi="Arial;sans-serif"/>
          <w:b w:val="false"/>
          <w:color w:val="000000"/>
          <w:sz w:val="20"/>
        </w:rPr>
        <w:t>Our business continued to perform well in the fourth quarter, despite facing unanticipated COVID-related headwinds,” said Marc Stapley, Veracyte’s chief executive officer. “Moreover, 2021 was a pivotal year for Veracyte as we believe we put the major strategic pieces in place, including the acquisitions of Decipher and HalioDx, to position us to achieve our vision of becoming a global diagnostics leader. We look forward to building on this progress in 2022 with key milestones to support our near- and long-term growth.”</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Fourth Quarter 2021 Financial Results </w:t>
      </w:r>
    </w:p>
    <w:p>
      <w:pPr>
        <w:pStyle w:val="TextBody"/>
        <w:spacing w:lineRule="auto" w:line="276" w:before="0" w:after="60"/>
        <w:rPr/>
      </w:pPr>
      <w:r>
        <w:rPr>
          <w:rFonts w:ascii="Arial;sans-serif" w:hAnsi="Arial;sans-serif"/>
          <w:b w:val="false"/>
          <w:i/>
          <w:color w:val="000000"/>
          <w:sz w:val="20"/>
        </w:rPr>
        <w:t>For the fourth quarter of 2021, as compared with the fourth quarter of 2020:</w:t>
      </w:r>
      <w:r>
        <w:rPr>
          <w:color w:val="000000"/>
        </w:rPr>
        <w:t xml:space="preserve"> </w:t>
      </w:r>
    </w:p>
    <w:p>
      <w:pPr>
        <w:pStyle w:val="TextBody"/>
        <w:spacing w:lineRule="auto" w:line="276" w:before="0" w:after="60"/>
        <w:ind w:left="0" w:right="0" w:hanging="360"/>
        <w:rPr/>
      </w:pPr>
      <w:r>
        <w:rPr>
          <w:color w:val="000000"/>
        </w:rPr>
        <w:t>•</w:t>
      </w:r>
      <w:r>
        <w:rPr>
          <w:rFonts w:ascii="Arial;sans-serif" w:hAnsi="Arial;sans-serif"/>
          <w:b w:val="false"/>
          <w:color w:val="000000"/>
          <w:sz w:val="20"/>
        </w:rPr>
        <w:t xml:space="preserve">Total Revenue was $67.3 million, an increase of 95%; </w:t>
      </w:r>
    </w:p>
    <w:p>
      <w:pPr>
        <w:pStyle w:val="TextBody"/>
        <w:spacing w:lineRule="auto" w:line="276" w:before="0" w:after="60"/>
        <w:ind w:left="0" w:right="0" w:hanging="360"/>
        <w:rPr/>
      </w:pPr>
      <w:r>
        <w:rPr>
          <w:color w:val="000000"/>
        </w:rPr>
        <w:t>•</w:t>
      </w:r>
      <w:r>
        <w:rPr>
          <w:rFonts w:ascii="Arial;sans-serif" w:hAnsi="Arial;sans-serif"/>
          <w:b w:val="false"/>
          <w:color w:val="000000"/>
          <w:sz w:val="20"/>
        </w:rPr>
        <w:t>Operating Expenses, Excluding Cost of Revenue, were $56.8 million, an increase of 81%;</w:t>
      </w:r>
    </w:p>
    <w:p>
      <w:pPr>
        <w:pStyle w:val="TextBody"/>
        <w:spacing w:lineRule="auto" w:line="276" w:before="0" w:after="60"/>
        <w:ind w:left="0" w:right="0" w:hanging="360"/>
        <w:rPr/>
      </w:pPr>
      <w:r>
        <w:rPr>
          <w:color w:val="000000"/>
        </w:rPr>
        <w:t>•</w:t>
      </w:r>
      <w:r>
        <w:rPr>
          <w:rFonts w:ascii="Arial;sans-serif" w:hAnsi="Arial;sans-serif"/>
          <w:b w:val="false"/>
          <w:color w:val="000000"/>
          <w:sz w:val="20"/>
        </w:rPr>
        <w:t>Net Loss was $10.5 million, an increase of 31%;</w:t>
      </w:r>
    </w:p>
    <w:p>
      <w:pPr>
        <w:pStyle w:val="TextBody"/>
        <w:spacing w:lineRule="auto" w:line="276" w:before="0" w:after="60"/>
        <w:ind w:left="0" w:right="0" w:hanging="360"/>
        <w:rPr/>
      </w:pPr>
      <w:r>
        <w:rPr>
          <w:color w:val="000000"/>
        </w:rPr>
        <w:t>•</w:t>
      </w:r>
      <w:r>
        <w:rPr>
          <w:rFonts w:ascii="Arial;sans-serif" w:hAnsi="Arial;sans-serif"/>
          <w:b w:val="false"/>
          <w:color w:val="000000"/>
          <w:sz w:val="20"/>
        </w:rPr>
        <w:t>Basic and Diluted Net Loss Per Common Share was $0.15, an increase of 7%;</w:t>
      </w:r>
    </w:p>
    <w:p>
      <w:pPr>
        <w:pStyle w:val="TextBody"/>
        <w:spacing w:lineRule="auto" w:line="276" w:before="0" w:after="60"/>
        <w:ind w:left="0" w:right="0" w:hanging="360"/>
        <w:rPr/>
      </w:pPr>
      <w:r>
        <w:rPr>
          <w:color w:val="000000"/>
        </w:rPr>
        <w:t>•</w:t>
      </w:r>
      <w:r>
        <w:rPr>
          <w:rFonts w:ascii="Arial;sans-serif" w:hAnsi="Arial;sans-serif"/>
          <w:b w:val="false"/>
          <w:color w:val="000000"/>
          <w:sz w:val="20"/>
        </w:rPr>
        <w:t>Net Cash Provided by Operating Activities was $8.4 million, an increase of $6.1 million; and</w:t>
      </w:r>
    </w:p>
    <w:p>
      <w:pPr>
        <w:pStyle w:val="TextBody"/>
        <w:spacing w:lineRule="auto" w:line="276" w:before="0" w:after="0"/>
        <w:ind w:left="0" w:right="0" w:hanging="360"/>
        <w:rPr/>
      </w:pPr>
      <w:r>
        <w:rPr>
          <w:color w:val="000000"/>
        </w:rPr>
        <w:t>•</w:t>
      </w:r>
      <w:r>
        <w:rPr>
          <w:rFonts w:ascii="Arial;sans-serif" w:hAnsi="Arial;sans-serif"/>
          <w:b w:val="false"/>
          <w:color w:val="000000"/>
          <w:sz w:val="20"/>
        </w:rPr>
        <w:t>Cash and Cash Equivalents were $173.2 million at December 31, 2021.</w:t>
      </w:r>
    </w:p>
    <w:p>
      <w:pPr>
        <w:pStyle w:val="TextBody"/>
        <w:spacing w:before="0" w:after="0"/>
        <w:rPr/>
      </w:pPr>
      <w:r>
        <w:rPr/>
      </w:r>
    </w:p>
    <w:p>
      <w:pPr>
        <w:pStyle w:val="TextBody"/>
        <w:spacing w:lineRule="auto" w:line="276" w:before="0" w:after="60"/>
        <w:jc w:val="both"/>
        <w:rPr>
          <w:rFonts w:ascii="Arial;sans-serif" w:hAnsi="Arial;sans-serif"/>
          <w:b w:val="false"/>
          <w:i/>
          <w:color w:val="000000"/>
          <w:sz w:val="20"/>
        </w:rPr>
      </w:pPr>
      <w:r>
        <w:rPr>
          <w:rFonts w:ascii="Arial;sans-serif" w:hAnsi="Arial;sans-serif"/>
          <w:b w:val="false"/>
          <w:i/>
          <w:color w:val="000000"/>
          <w:sz w:val="20"/>
        </w:rPr>
        <w:t>For the year ended December 31, 2021, compared to the prior year:</w:t>
      </w:r>
    </w:p>
    <w:p>
      <w:pPr>
        <w:pStyle w:val="TextBody"/>
        <w:spacing w:lineRule="auto" w:line="276" w:before="0" w:after="60"/>
        <w:ind w:left="0" w:right="0" w:hanging="360"/>
        <w:rPr/>
      </w:pPr>
      <w:r>
        <w:rPr>
          <w:color w:val="000000"/>
        </w:rPr>
        <w:t>•</w:t>
      </w:r>
      <w:r>
        <w:rPr>
          <w:rFonts w:ascii="Arial;sans-serif" w:hAnsi="Arial;sans-serif"/>
          <w:b w:val="false"/>
          <w:color w:val="000000"/>
          <w:sz w:val="20"/>
        </w:rPr>
        <w:t xml:space="preserve">Total Revenue was $219.5 million, an increase of 87%; </w:t>
      </w:r>
    </w:p>
    <w:p>
      <w:pPr>
        <w:pStyle w:val="TextBody"/>
        <w:spacing w:lineRule="auto" w:line="276" w:before="0" w:after="60"/>
        <w:ind w:left="0" w:right="0" w:hanging="360"/>
        <w:rPr/>
      </w:pPr>
      <w:r>
        <w:rPr>
          <w:color w:val="000000"/>
        </w:rPr>
        <w:t>•</w:t>
      </w:r>
      <w:r>
        <w:rPr>
          <w:rFonts w:ascii="Arial;sans-serif" w:hAnsi="Arial;sans-serif"/>
          <w:b w:val="false"/>
          <w:color w:val="000000"/>
          <w:sz w:val="20"/>
        </w:rPr>
        <w:t xml:space="preserve">Operating Expenses, Excluding Cost of Revenue, were $227.0 million, an increase of 104%, including $47.2 million of acquisition-related expenses; </w:t>
      </w:r>
    </w:p>
    <w:p>
      <w:pPr>
        <w:pStyle w:val="TextBody"/>
        <w:spacing w:lineRule="auto" w:line="276" w:before="0" w:after="60"/>
        <w:ind w:left="0" w:right="0" w:hanging="360"/>
        <w:rPr/>
      </w:pPr>
      <w:r>
        <w:rPr>
          <w:color w:val="000000"/>
        </w:rPr>
        <w:t>•</w:t>
      </w:r>
      <w:r>
        <w:rPr>
          <w:rFonts w:ascii="Arial;sans-serif" w:hAnsi="Arial;sans-serif"/>
          <w:b w:val="false"/>
          <w:color w:val="000000"/>
          <w:sz w:val="20"/>
        </w:rPr>
        <w:t>Net Loss was $75.6 million, an increase of 116%, including $47.2 million of acquisition-related expenses;</w:t>
      </w:r>
    </w:p>
    <w:p>
      <w:pPr>
        <w:pStyle w:val="TextBody"/>
        <w:spacing w:lineRule="auto" w:line="276" w:before="0" w:after="60"/>
        <w:ind w:left="0" w:right="0" w:hanging="360"/>
        <w:rPr/>
      </w:pPr>
      <w:r>
        <w:rPr>
          <w:color w:val="000000"/>
        </w:rPr>
        <w:t>•</w:t>
      </w:r>
      <w:r>
        <w:rPr>
          <w:rFonts w:ascii="Arial;sans-serif" w:hAnsi="Arial;sans-serif"/>
          <w:b w:val="false"/>
          <w:color w:val="000000"/>
          <w:sz w:val="20"/>
        </w:rPr>
        <w:t>Basic and Diluted Net Loss Per Common Share was $1.11, an increase of 68%, including $0.70 per share attributable to acquisition-related expenses; and</w:t>
      </w:r>
    </w:p>
    <w:p>
      <w:pPr>
        <w:pStyle w:val="TextBody"/>
        <w:spacing w:lineRule="auto" w:line="276" w:before="0" w:after="0"/>
        <w:ind w:left="0" w:right="0" w:hanging="360"/>
        <w:rPr/>
      </w:pPr>
      <w:r>
        <w:rPr>
          <w:color w:val="000000"/>
        </w:rPr>
        <w:t>•</w:t>
      </w:r>
      <w:r>
        <w:rPr>
          <w:rFonts w:ascii="Arial;sans-serif" w:hAnsi="Arial;sans-serif"/>
          <w:b w:val="false"/>
          <w:color w:val="000000"/>
          <w:sz w:val="20"/>
        </w:rPr>
        <w:t>Net Cash Used in Operating Activities was $31.6 million, including $43.6 million of acquisition-related expenses, compared to $9.7 million.</w:t>
      </w:r>
    </w:p>
    <w:p>
      <w:pPr>
        <w:pStyle w:val="TextBody"/>
        <w:spacing w:before="0" w:after="0"/>
        <w:rPr/>
      </w:pPr>
      <w:r>
        <w:rPr/>
      </w:r>
    </w:p>
    <w:p>
      <w:pPr>
        <w:pStyle w:val="TextBody"/>
        <w:spacing w:lineRule="auto" w:line="276" w:before="0" w:after="0"/>
        <w:rPr>
          <w:rFonts w:ascii="Arial;sans-serif" w:hAnsi="Arial;sans-serif"/>
          <w:b/>
          <w:color w:val="000000"/>
          <w:sz w:val="20"/>
        </w:rPr>
      </w:pPr>
      <w:r>
        <w:rPr>
          <w:rFonts w:ascii="Arial;sans-serif" w:hAnsi="Arial;sans-serif"/>
          <w:b/>
          <w:color w:val="000000"/>
          <w:sz w:val="20"/>
        </w:rPr>
        <w:t xml:space="preserve">Key Business Highlights </w:t>
      </w:r>
    </w:p>
    <w:p>
      <w:pPr>
        <w:pStyle w:val="TextBody"/>
        <w:spacing w:lineRule="auto" w:line="276" w:before="0" w:after="60"/>
        <w:ind w:left="0" w:right="0" w:hanging="360"/>
        <w:rPr/>
      </w:pPr>
      <w:r>
        <w:rPr>
          <w:color w:val="000000"/>
        </w:rPr>
        <w:t>•</w:t>
      </w:r>
      <w:r>
        <w:rPr>
          <w:rFonts w:ascii="Arial;sans-serif" w:hAnsi="Arial;sans-serif"/>
          <w:b w:val="false"/>
          <w:color w:val="000000"/>
          <w:sz w:val="20"/>
        </w:rPr>
        <w:t>Grew test volume to 22,300 in the fourth quarter and 78,565 in full-year 2021, increases of 70% and 77%, respectively, compared to the prior year.</w:t>
      </w:r>
    </w:p>
    <w:p>
      <w:pPr>
        <w:pStyle w:val="TextBody"/>
        <w:spacing w:lineRule="auto" w:line="276" w:before="0" w:after="60"/>
        <w:ind w:left="0" w:right="0" w:hanging="360"/>
        <w:rPr/>
      </w:pPr>
      <w:r>
        <w:rPr>
          <w:color w:val="000000"/>
        </w:rPr>
        <w:t>•</w:t>
      </w:r>
      <w:r>
        <w:rPr>
          <w:rFonts w:ascii="Arial;sans-serif" w:hAnsi="Arial;sans-serif"/>
          <w:b w:val="false"/>
          <w:color w:val="000000"/>
          <w:sz w:val="20"/>
        </w:rPr>
        <w:t xml:space="preserve">Completed the acquisitions of Decipher Biosciences and HalioDx, positioning Veracyte to drive global expansion with a broad menu of high-performance tests. </w:t>
      </w:r>
    </w:p>
    <w:p>
      <w:pPr>
        <w:pStyle w:val="TextBody"/>
        <w:spacing w:lineRule="auto" w:line="276" w:before="0" w:after="60"/>
        <w:ind w:left="0" w:right="0" w:hanging="360"/>
        <w:rPr/>
      </w:pPr>
      <w:r>
        <w:rPr>
          <w:color w:val="000000"/>
        </w:rPr>
        <w:t>•</w:t>
      </w:r>
      <w:r>
        <w:rPr>
          <w:rFonts w:ascii="Arial;sans-serif" w:hAnsi="Arial;sans-serif"/>
          <w:b w:val="false"/>
          <w:color w:val="000000"/>
          <w:sz w:val="20"/>
        </w:rPr>
        <w:t xml:space="preserve">Published clinical utility studies for the Afirma, Percepta and Envisia genomic classifiers in the </w:t>
      </w:r>
      <w:r>
        <w:rPr>
          <w:rFonts w:ascii="Arial;sans-serif" w:hAnsi="Arial;sans-serif"/>
          <w:b w:val="false"/>
          <w:i/>
          <w:color w:val="000000"/>
          <w:sz w:val="20"/>
        </w:rPr>
        <w:t>Journal of the American Society of Cytopathology</w:t>
      </w:r>
      <w:r>
        <w:rPr>
          <w:rFonts w:ascii="Arial;sans-serif" w:hAnsi="Arial;sans-serif"/>
          <w:b w:val="false"/>
          <w:color w:val="000000"/>
          <w:sz w:val="20"/>
        </w:rPr>
        <w:t xml:space="preserve">, </w:t>
      </w:r>
      <w:r>
        <w:rPr>
          <w:rFonts w:ascii="Arial;sans-serif" w:hAnsi="Arial;sans-serif"/>
          <w:b w:val="false"/>
          <w:i/>
          <w:color w:val="000000"/>
          <w:sz w:val="20"/>
        </w:rPr>
        <w:t>BMC Pulmonary Medicine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AnnalsATS</w:t>
      </w:r>
      <w:r>
        <w:rPr>
          <w:rFonts w:ascii="Arial;sans-serif" w:hAnsi="Arial;sans-serif"/>
          <w:b w:val="false"/>
          <w:color w:val="000000"/>
          <w:sz w:val="20"/>
        </w:rPr>
        <w:t>, respectively.</w:t>
      </w:r>
    </w:p>
    <w:p>
      <w:pPr>
        <w:pStyle w:val="TextBody"/>
        <w:spacing w:lineRule="auto" w:line="276" w:before="0" w:after="60"/>
        <w:ind w:left="0" w:right="0" w:hanging="360"/>
        <w:rPr/>
      </w:pPr>
      <w:r>
        <w:rPr>
          <w:color w:val="000000"/>
        </w:rPr>
        <w:t>•</w:t>
      </w:r>
      <w:r>
        <w:rPr>
          <w:rFonts w:ascii="Arial;sans-serif" w:hAnsi="Arial;sans-serif"/>
          <w:b w:val="false"/>
          <w:color w:val="000000"/>
          <w:sz w:val="20"/>
        </w:rPr>
        <w:t xml:space="preserve">Broadened the clinical evidence for the Decipher Prostate Genomic Classifier including the presentation of data from a randomized Phase 3 trial at ASCO Genitourinary Symposium which demonstrated the test’s </w:t>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60"/>
        <w:rPr>
          <w:rFonts w:ascii="Arial;sans-serif" w:hAnsi="Arial;sans-serif"/>
          <w:b w:val="false"/>
          <w:color w:val="000000"/>
          <w:sz w:val="20"/>
        </w:rPr>
      </w:pPr>
      <w:r>
        <w:rPr>
          <w:rFonts w:ascii="Arial;sans-serif" w:hAnsi="Arial;sans-serif"/>
          <w:b w:val="false"/>
          <w:color w:val="000000"/>
          <w:sz w:val="20"/>
        </w:rPr>
        <w:t>ability to guide therapy in men with intermediate-risk prostate cancer; received an expanded recommendation in 2022 National Comprehensive Cancer Network® (NCCN) Clinical Practice Guidelines for Oncology, which uniquely predicates treatment decisions based on patients’ Decipher Prostate test scores.</w:t>
      </w:r>
    </w:p>
    <w:p>
      <w:pPr>
        <w:pStyle w:val="TextBody"/>
        <w:spacing w:lineRule="auto" w:line="276" w:before="0" w:after="60"/>
        <w:ind w:left="0" w:right="0" w:hanging="360"/>
        <w:rPr/>
      </w:pPr>
      <w:r>
        <w:rPr>
          <w:color w:val="000000"/>
        </w:rPr>
        <w:t>•</w:t>
      </w:r>
      <w:r>
        <w:rPr>
          <w:rFonts w:ascii="Arial;sans-serif" w:hAnsi="Arial;sans-serif"/>
          <w:b w:val="false"/>
          <w:color w:val="000000"/>
          <w:sz w:val="20"/>
        </w:rPr>
        <w:t xml:space="preserve">Commercially launched the Decipher Bladder Genomic Classifier in November 2021 following a Medicare coverage policy and publication of strong clinical validation data in the </w:t>
      </w:r>
      <w:r>
        <w:rPr>
          <w:rFonts w:ascii="Arial;sans-serif" w:hAnsi="Arial;sans-serif"/>
          <w:b w:val="false"/>
          <w:i/>
          <w:color w:val="000000"/>
          <w:sz w:val="20"/>
        </w:rPr>
        <w:t>Journal of Urology</w:t>
      </w:r>
      <w:r>
        <w:rPr>
          <w:rFonts w:ascii="Arial;sans-serif" w:hAnsi="Arial;sans-serif"/>
          <w:b w:val="false"/>
          <w:color w:val="000000"/>
          <w:sz w:val="20"/>
        </w:rPr>
        <w:t>.</w:t>
      </w:r>
    </w:p>
    <w:p>
      <w:pPr>
        <w:pStyle w:val="TextBody"/>
        <w:spacing w:lineRule="auto" w:line="268" w:before="0" w:after="60"/>
        <w:ind w:left="0" w:right="0" w:hanging="360"/>
        <w:rPr/>
      </w:pPr>
      <w:r>
        <w:rPr>
          <w:color w:val="000000"/>
        </w:rPr>
        <w:t>•</w:t>
      </w:r>
      <w:r>
        <w:rPr>
          <w:rFonts w:ascii="Arial;sans-serif" w:hAnsi="Arial;sans-serif"/>
          <w:b w:val="false"/>
          <w:color w:val="000000"/>
          <w:sz w:val="20"/>
        </w:rPr>
        <w:t xml:space="preserve">Began running the Percepta Nasal Swab test for improved early detection of lung cancer in Veracyte’s CLIA lab and returned results to the first patients as Veracyte began to assemble the clinical utility evidence to support future reimbursement and guideline inclusion. </w:t>
      </w:r>
    </w:p>
    <w:p>
      <w:pPr>
        <w:pStyle w:val="TextBody"/>
        <w:spacing w:lineRule="auto" w:line="268" w:before="0" w:after="0"/>
        <w:ind w:left="0" w:right="0" w:hanging="360"/>
        <w:rPr/>
      </w:pPr>
      <w:r>
        <w:rPr>
          <w:color w:val="000000"/>
        </w:rPr>
        <w:t>•</w:t>
      </w:r>
      <w:r>
        <w:rPr>
          <w:rFonts w:ascii="Arial;sans-serif" w:hAnsi="Arial;sans-serif"/>
          <w:b w:val="false"/>
          <w:color w:val="000000"/>
          <w:sz w:val="20"/>
        </w:rPr>
        <w:t xml:space="preserve">Augmented and reorganized the leadership team to deliver on Veracyte’s global strategic vision. </w:t>
      </w:r>
    </w:p>
    <w:p>
      <w:pPr>
        <w:pStyle w:val="TextBody"/>
        <w:spacing w:before="0" w:after="0"/>
        <w:rPr/>
      </w:pPr>
      <w:r>
        <w:rPr/>
      </w:r>
    </w:p>
    <w:p>
      <w:pPr>
        <w:pStyle w:val="TextBody"/>
        <w:spacing w:lineRule="auto" w:line="276" w:before="0" w:after="0"/>
        <w:rPr>
          <w:rFonts w:ascii="Arial;sans-serif" w:hAnsi="Arial;sans-serif"/>
          <w:b/>
          <w:color w:val="000000"/>
          <w:sz w:val="20"/>
        </w:rPr>
      </w:pPr>
      <w:r>
        <w:rPr>
          <w:rFonts w:ascii="Arial;sans-serif" w:hAnsi="Arial;sans-serif"/>
          <w:b/>
          <w:color w:val="000000"/>
          <w:sz w:val="20"/>
        </w:rPr>
        <w:t>2022 Financial Outlook</w:t>
      </w:r>
    </w:p>
    <w:p>
      <w:pPr>
        <w:pStyle w:val="TextBody"/>
        <w:spacing w:lineRule="auto" w:line="276" w:before="0" w:after="0"/>
        <w:rPr>
          <w:rFonts w:ascii="Arial;sans-serif" w:hAnsi="Arial;sans-serif"/>
          <w:b w:val="false"/>
          <w:color w:val="222222"/>
          <w:sz w:val="20"/>
        </w:rPr>
      </w:pPr>
      <w:r>
        <w:rPr>
          <w:rFonts w:ascii="Arial;sans-serif" w:hAnsi="Arial;sans-serif"/>
          <w:b w:val="false"/>
          <w:color w:val="222222"/>
          <w:sz w:val="20"/>
        </w:rPr>
        <w:t xml:space="preserve">Veracyte is initiating 2022 annual total revenue guidance of $260 million to $275 million, representing year-over-year growth of 18% to 25%, compared to the prior year. </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Conference Call and Webcast Details</w:t>
      </w:r>
    </w:p>
    <w:p>
      <w:pPr>
        <w:pStyle w:val="TextBody"/>
        <w:spacing w:lineRule="auto" w:line="268" w:before="0" w:after="0"/>
        <w:rPr/>
      </w:pPr>
      <w:r>
        <w:rPr>
          <w:rFonts w:ascii="Arial;sans-serif" w:hAnsi="Arial;sans-serif"/>
          <w:b w:val="false"/>
          <w:color w:val="000000"/>
          <w:sz w:val="20"/>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sans-serif" w:hAnsi="Arial;sans-serif"/>
          <w:b w:val="false"/>
          <w:color w:val="0563C1"/>
          <w:sz w:val="20"/>
          <w:highlight w:val="white"/>
        </w:rPr>
        <w:t>https://protect-us.mimecast.com/s/IyUzCADA4pUjMMGcmQqy2</w:t>
      </w:r>
      <w:r>
        <w:rPr>
          <w:rFonts w:ascii="Arial;sans-serif" w:hAnsi="Arial;sans-serif"/>
          <w:b w:val="false"/>
          <w:color w:val="000000"/>
          <w:sz w:val="20"/>
        </w:rPr>
        <w:t xml:space="preserve">. The webcast should be accessed 10 minutes prior to the conference call start time. A replay of the webcast will be available for one year following the conclusion of the live broadcast and will be accessible on the company’s website at </w:t>
      </w:r>
      <w:r>
        <w:rPr>
          <w:rFonts w:ascii="Arial;sans-serif" w:hAnsi="Arial;sans-serif"/>
          <w:b w:val="false"/>
          <w:color w:val="0000FF"/>
          <w:sz w:val="20"/>
        </w:rPr>
        <w:t>https://investor.veracyte.com/events-presentations</w:t>
      </w:r>
      <w:r>
        <w:rPr>
          <w:rFonts w:ascii="Arial;sans-serif" w:hAnsi="Arial;sans-serif"/>
          <w:b w:val="false"/>
          <w:color w:val="000000"/>
          <w:sz w:val="20"/>
        </w:rPr>
        <w: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conference call can be accessed as follows:</w:t>
      </w:r>
    </w:p>
    <w:p>
      <w:pPr>
        <w:pStyle w:val="TextBody"/>
        <w:spacing w:before="0" w:after="0"/>
        <w:rPr/>
      </w:pPr>
      <w:r>
        <w:rPr/>
      </w:r>
    </w:p>
    <w:tbl>
      <w:tblPr>
        <w:tblW w:w="5789" w:type="dxa"/>
        <w:jc w:val="center"/>
        <w:tblInd w:w="0" w:type="dxa"/>
        <w:tblCellMar>
          <w:top w:w="28" w:type="dxa"/>
          <w:left w:w="28" w:type="dxa"/>
          <w:bottom w:w="28" w:type="dxa"/>
          <w:right w:w="28" w:type="dxa"/>
        </w:tblCellMar>
      </w:tblPr>
      <w:tblGrid>
        <w:gridCol w:w="1576"/>
        <w:gridCol w:w="1384"/>
        <w:gridCol w:w="1389"/>
        <w:gridCol w:w="420"/>
        <w:gridCol w:w="420"/>
        <w:gridCol w:w="600"/>
      </w:tblGrid>
      <w:tr>
        <w:trPr/>
        <w:tc>
          <w:tcPr>
            <w:tcW w:w="1576"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U.S./Canada participant dial-in number (toll-free):</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(855) 541-0980</w:t>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participant dial-in number:</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(970) 315-0440</w:t>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Conference I.D.: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5377945</w:t>
            </w:r>
          </w:p>
        </w:tc>
      </w:tr>
    </w:tbl>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About Veracyte</w:t>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Veracyte (Nasdaq: VCYT) is a global diagnostics company that improves patient care by answering important clinical questions to inform diagnosis and treatment decisions throughout the patient journey. Our growing menu of advanced diagnostic tests help patients avoid risky, costly procedures and interventions, and reduce time to appropriate treatment. Our tests address eight of the 10 most prevalent cancers by incidence in the United States. In addition to making our tests available in the United States through our central laboratories, our exclusive license to a best-in-class diagnostics instrument positions us to deliver our tests to patients worldwide through laboratories that can perform them locally. Veracyte is based in South San Francisco, California. For more information, please visit www.veracyte.com and follow the company on Twitter (@veracyte).</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Cautionary Note Regarding Forward-Looking Statements </w:t>
      </w:r>
    </w:p>
    <w:p>
      <w:pPr>
        <w:pStyle w:val="TextBody"/>
        <w:spacing w:lineRule="auto" w:line="276"/>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including, but not limited to, our statements related to our expected total revenue and other financial and operating results for 2022 and our plans, objectives, expectations (financial and otherwise) or intentions with respect to our Prosigna, Afirma, Percepta, Envisia, LymphMark, Decipher Prostate, Percepta Nasal Swab, Percepta Genomic Atlas and Decipher Bladder tests and products for use in diagnosing and treating diseases, Medicare coverage, and our commercial organization.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to successfully integrate the HalioDx and Decipher businesses and execute on our business plans; continue to scale our global operations and enhance our internal control environment; the impact of the COVID-19 pandemic and its variants on our business and general economic conditions; and the performance and utility of our tests in the clinical environment. Additional factors that may impact these forward-looking statements can be found under the caption “Risk Factors” in our Quarterly Report on Form 10-Q filed with the SEC on November 9, 2022 and our Annual Report on Form 10-K to be filed for the year ended December 31, 2021. Copies of these documents, when available, may be found in the Investors section of our website at www.investor.veracyte.com. These forward-looking statements speak only as </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of the date hereof and, except as required by law, we specifically disclaim any obligation to update these forward-looking statements or reasons why actual results might differ, whether as a result of new information, future events or otherwise.</w:t>
      </w:r>
    </w:p>
    <w:p>
      <w:pPr>
        <w:pStyle w:val="TextBody"/>
        <w:spacing w:before="0" w:after="0"/>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Veracyte, the Veracyte logo, HalioDx, Decipher, Decipher GRID, Afirma, Percepta, Envisia, Prosigna, Lymphmark, Immunoscore, TMExplore, Brightplex, Immunosign, “Know by Design” and “More about You” are registered trademarks of Veracyte, Inc. and its subsidiaries in the U.S. and selected countries. nCounter is the registered trademark of NanoString Technologies, Inc. in the U.S. and selected countries and used by Veracyte under license.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382"/>
        <w:gridCol w:w="1211"/>
        <w:gridCol w:w="1223"/>
        <w:gridCol w:w="266"/>
        <w:gridCol w:w="936"/>
        <w:gridCol w:w="121"/>
        <w:gridCol w:w="121"/>
        <w:gridCol w:w="121"/>
        <w:gridCol w:w="121"/>
        <w:gridCol w:w="266"/>
        <w:gridCol w:w="901"/>
        <w:gridCol w:w="121"/>
        <w:gridCol w:w="109"/>
        <w:gridCol w:w="109"/>
        <w:gridCol w:w="109"/>
        <w:gridCol w:w="259"/>
        <w:gridCol w:w="954"/>
        <w:gridCol w:w="120"/>
        <w:gridCol w:w="120"/>
        <w:gridCol w:w="120"/>
        <w:gridCol w:w="120"/>
        <w:gridCol w:w="259"/>
        <w:gridCol w:w="954"/>
        <w:gridCol w:w="182"/>
      </w:tblGrid>
      <w:tr>
        <w:trPr/>
        <w:tc>
          <w:tcPr>
            <w:tcW w:w="1382"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of dollars, except share and per share amounts)</w:t>
            </w:r>
          </w:p>
        </w:tc>
      </w:tr>
      <w:tr>
        <w:trPr/>
        <w:tc>
          <w:tcPr>
            <w:tcW w:w="3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Twelve Months Ended December 31,</w:t>
            </w:r>
          </w:p>
        </w:tc>
      </w:tr>
      <w:tr>
        <w:trPr/>
        <w:tc>
          <w:tcPr>
            <w:tcW w:w="3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363"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36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323"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Testing revenue</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53,414 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31,497 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188,182 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101,970 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2,758 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11,464 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9,845 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Biopharmaceutical and other revenue</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11,164 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19,868 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5,668 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67,336 </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34,536 </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219,514 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117,483 </w:t>
            </w:r>
          </w:p>
        </w:tc>
        <w:tc>
          <w:tcPr>
            <w:tcW w:w="18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(1):</w:t>
            </w:r>
          </w:p>
        </w:tc>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testing revenue</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16,366 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9,756 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58,860 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35,913 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5,887 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4,921 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biopharmaceutical and other revenue</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4,933 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9,653 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10,252 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4,586 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29,843 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17,204 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22,212 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13,149 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79,840 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52,389 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18,849 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12,413 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101,353 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36,729 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15,981 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79,669 </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42,608 </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301,417 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152,872 </w:t>
            </w:r>
          </w:p>
        </w:tc>
        <w:tc>
          <w:tcPr>
            <w:tcW w:w="18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(12,333)</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(8,072)</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(81,903)</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(35,389)</w:t>
            </w:r>
          </w:p>
        </w:tc>
        <w:tc>
          <w:tcPr>
            <w:tcW w:w="18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benefit</w:t>
            </w:r>
          </w:p>
        </w:tc>
        <w:tc>
          <w:tcPr>
            <w:tcW w:w="12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(8,044)</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(81,649)</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(34,909)</w:t>
            </w:r>
          </w:p>
        </w:tc>
        <w:tc>
          <w:tcPr>
            <w:tcW w:w="18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(6,086)</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(10,528)</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(8,044)</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(75,563)</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(34,909)</w:t>
            </w:r>
          </w:p>
        </w:tc>
        <w:tc>
          <w:tcPr>
            <w:tcW w:w="18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common share, basic and diluted</w:t>
            </w:r>
          </w:p>
        </w:tc>
        <w:tc>
          <w:tcPr>
            <w:tcW w:w="26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w:t>
            </w:r>
          </w:p>
        </w:tc>
        <w:tc>
          <w:tcPr>
            <w:tcW w:w="12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21"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20"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w:t>
            </w:r>
          </w:p>
        </w:tc>
        <w:tc>
          <w:tcPr>
            <w:tcW w:w="182"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compute net loss per common share, basic and diluted</w:t>
            </w:r>
          </w:p>
        </w:tc>
        <w:tc>
          <w:tcPr>
            <w:tcW w:w="1202"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71,064,467 </w:t>
            </w:r>
          </w:p>
        </w:tc>
        <w:tc>
          <w:tcPr>
            <w:tcW w:w="121"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58,023,753 </w:t>
            </w:r>
          </w:p>
        </w:tc>
        <w:tc>
          <w:tcPr>
            <w:tcW w:w="121"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67,890,328 </w:t>
            </w:r>
          </w:p>
        </w:tc>
        <w:tc>
          <w:tcPr>
            <w:tcW w:w="120"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53,239,231 </w:t>
            </w:r>
          </w:p>
        </w:tc>
        <w:tc>
          <w:tcPr>
            <w:tcW w:w="182"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(1) Cost of revenue, research and development, sales and marketing and general and administrative expenses include the following stock-based compensation related expenses: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301"/>
        <w:gridCol w:w="1143"/>
        <w:gridCol w:w="1148"/>
        <w:gridCol w:w="285"/>
        <w:gridCol w:w="873"/>
        <w:gridCol w:w="147"/>
        <w:gridCol w:w="147"/>
        <w:gridCol w:w="147"/>
        <w:gridCol w:w="147"/>
        <w:gridCol w:w="285"/>
        <w:gridCol w:w="873"/>
        <w:gridCol w:w="147"/>
        <w:gridCol w:w="109"/>
        <w:gridCol w:w="109"/>
        <w:gridCol w:w="109"/>
        <w:gridCol w:w="271"/>
        <w:gridCol w:w="966"/>
        <w:gridCol w:w="139"/>
        <w:gridCol w:w="139"/>
        <w:gridCol w:w="139"/>
        <w:gridCol w:w="139"/>
        <w:gridCol w:w="271"/>
        <w:gridCol w:w="966"/>
        <w:gridCol w:w="205"/>
      </w:tblGrid>
      <w:tr>
        <w:trPr/>
        <w:tc>
          <w:tcPr>
            <w:tcW w:w="1301"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Twelve Months Ended December 31,</w:t>
            </w:r>
          </w:p>
        </w:tc>
      </w:tr>
      <w:tr>
        <w:trPr/>
        <w:tc>
          <w:tcPr>
            <w:tcW w:w="3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441"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41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HalioDx stock-based compensation expense</w:t>
            </w:r>
          </w:p>
        </w:tc>
        <w:tc>
          <w:tcPr>
            <w:tcW w:w="285"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1,376 </w:t>
            </w:r>
          </w:p>
        </w:tc>
        <w:tc>
          <w:tcPr>
            <w:tcW w:w="147" w:type="dxa"/>
            <w:tcBorders>
              <w:top w:val="single" w:sz="1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top w:val="single" w:sz="1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3,944 </w:t>
            </w:r>
          </w:p>
        </w:tc>
        <w:tc>
          <w:tcPr>
            <w:tcW w:w="139" w:type="dxa"/>
            <w:tcBorders>
              <w:top w:val="single" w:sz="1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top w:val="single" w:sz="1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stock-based compensation expense</w:t>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19,024 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12,995 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6,814 </w:t>
            </w:r>
          </w:p>
        </w:tc>
        <w:tc>
          <w:tcPr>
            <w:tcW w:w="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3,640 </w:t>
            </w:r>
          </w:p>
        </w:tc>
        <w:tc>
          <w:tcPr>
            <w:tcW w:w="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22,968 </w:t>
            </w:r>
          </w:p>
        </w:tc>
        <w:tc>
          <w:tcPr>
            <w:tcW w:w="1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12,995 </w:t>
            </w:r>
          </w:p>
        </w:tc>
        <w:tc>
          <w:tcPr>
            <w:tcW w:w="2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73"/>
        <w:gridCol w:w="1120"/>
        <w:gridCol w:w="1130"/>
        <w:gridCol w:w="262"/>
        <w:gridCol w:w="1000"/>
        <w:gridCol w:w="134"/>
        <w:gridCol w:w="134"/>
        <w:gridCol w:w="134"/>
        <w:gridCol w:w="134"/>
        <w:gridCol w:w="262"/>
        <w:gridCol w:w="870"/>
        <w:gridCol w:w="134"/>
        <w:gridCol w:w="126"/>
        <w:gridCol w:w="126"/>
        <w:gridCol w:w="126"/>
        <w:gridCol w:w="260"/>
        <w:gridCol w:w="993"/>
        <w:gridCol w:w="133"/>
        <w:gridCol w:w="133"/>
        <w:gridCol w:w="133"/>
        <w:gridCol w:w="133"/>
        <w:gridCol w:w="260"/>
        <w:gridCol w:w="993"/>
        <w:gridCol w:w="202"/>
      </w:tblGrid>
      <w:tr>
        <w:trPr/>
        <w:tc>
          <w:tcPr>
            <w:tcW w:w="1273"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 OF COMPREHENSIVE LOSS</w:t>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val="false"/>
                <w:color w:val="000000"/>
                <w:sz w:val="20"/>
              </w:rPr>
              <w:t>(Unaudited)</w:t>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val="false"/>
                <w:color w:val="000000"/>
                <w:sz w:val="20"/>
              </w:rPr>
              <w:t>(In thousands)</w:t>
            </w:r>
          </w:p>
        </w:tc>
      </w:tr>
      <w:tr>
        <w:trPr/>
        <w:tc>
          <w:tcPr>
            <w:tcW w:w="3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December 31,</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Twelve Months Ended December 31,</w:t>
            </w:r>
          </w:p>
        </w:tc>
      </w:tr>
      <w:tr>
        <w:trPr/>
        <w:tc>
          <w:tcPr>
            <w:tcW w:w="3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402"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39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r>
      <w:tr>
        <w:trPr/>
        <w:tc>
          <w:tcPr>
            <w:tcW w:w="35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6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(10,528)</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(8,044)</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(75,563)</w:t>
            </w:r>
          </w:p>
        </w:tc>
        <w:tc>
          <w:tcPr>
            <w:tcW w:w="13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(34,909)</w:t>
            </w:r>
          </w:p>
        </w:tc>
        <w:tc>
          <w:tcPr>
            <w:tcW w:w="20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35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currency translation adjustments</w:t>
            </w:r>
          </w:p>
        </w:tc>
        <w:tc>
          <w:tcPr>
            <w:tcW w:w="12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(6,943)</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(15,083)</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comprehensive loss</w:t>
            </w:r>
          </w:p>
        </w:tc>
        <w:tc>
          <w:tcPr>
            <w:tcW w:w="2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(17,471)</w:t>
            </w:r>
          </w:p>
        </w:tc>
        <w:tc>
          <w:tcPr>
            <w:tcW w:w="13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(8,044)</w:t>
            </w:r>
          </w:p>
        </w:tc>
        <w:tc>
          <w:tcPr>
            <w:tcW w:w="13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(90,646)</w:t>
            </w:r>
          </w:p>
        </w:tc>
        <w:tc>
          <w:tcPr>
            <w:tcW w:w="1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(34,909)</w:t>
            </w:r>
          </w:p>
        </w:tc>
        <w:tc>
          <w:tcPr>
            <w:tcW w:w="20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2059"/>
        <w:gridCol w:w="1569"/>
        <w:gridCol w:w="1488"/>
        <w:gridCol w:w="347"/>
        <w:gridCol w:w="1679"/>
        <w:gridCol w:w="178"/>
        <w:gridCol w:w="178"/>
        <w:gridCol w:w="178"/>
        <w:gridCol w:w="178"/>
        <w:gridCol w:w="347"/>
        <w:gridCol w:w="1407"/>
        <w:gridCol w:w="436"/>
        <w:gridCol w:w="161"/>
      </w:tblGrid>
      <w:tr>
        <w:trPr/>
        <w:tc>
          <w:tcPr>
            <w:tcW w:w="2059"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1004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161" w:type="dxa"/>
            <w:tcBorders/>
            <w:shd w:fill="auto" w:val="clear"/>
          </w:tcPr>
          <w:p>
            <w:pPr>
              <w:pStyle w:val="TableContents"/>
              <w:spacing w:before="0" w:after="283"/>
              <w:rPr>
                <w:sz w:val="4"/>
                <w:szCs w:val="4"/>
              </w:rPr>
            </w:pPr>
            <w:r>
              <w:rPr>
                <w:sz w:val="4"/>
                <w:szCs w:val="4"/>
              </w:rPr>
            </w:r>
          </w:p>
        </w:tc>
      </w:tr>
      <w:tr>
        <w:trPr/>
        <w:tc>
          <w:tcPr>
            <w:tcW w:w="1004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161" w:type="dxa"/>
            <w:tcBorders/>
            <w:shd w:fill="auto" w:val="clear"/>
          </w:tcPr>
          <w:p>
            <w:pPr>
              <w:pStyle w:val="TableContents"/>
              <w:spacing w:before="0" w:after="283"/>
              <w:rPr>
                <w:sz w:val="4"/>
                <w:szCs w:val="4"/>
              </w:rPr>
            </w:pPr>
            <w:r>
              <w:rPr>
                <w:sz w:val="4"/>
                <w:szCs w:val="4"/>
              </w:rPr>
            </w:r>
          </w:p>
        </w:tc>
      </w:tr>
      <w:tr>
        <w:trPr/>
        <w:tc>
          <w:tcPr>
            <w:tcW w:w="1004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Note 1)</w:t>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4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173,197 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349,364 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Accounts receivable</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41,461 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18,461 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Supplies</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11,225 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4,657 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17,219 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3,197 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0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243,102 </w:t>
            </w:r>
          </w:p>
        </w:tc>
        <w:tc>
          <w:tcPr>
            <w:tcW w:w="17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375,679 </w:t>
            </w:r>
          </w:p>
        </w:tc>
        <w:tc>
          <w:tcPr>
            <w:tcW w:w="4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15,098 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8,990 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 operating leases</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16,043 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7,843 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202,731 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59,924 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707,904 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2,198 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1,187,825 </w:t>
            </w:r>
          </w:p>
        </w:tc>
        <w:tc>
          <w:tcPr>
            <w:tcW w:w="17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457,163 </w:t>
            </w:r>
          </w:p>
        </w:tc>
        <w:tc>
          <w:tcPr>
            <w:tcW w:w="4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220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Accounts payable</w:t>
            </w:r>
          </w:p>
        </w:tc>
        <w:tc>
          <w:tcPr>
            <w:tcW w:w="34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12,360 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Accrued liabilities</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39,475 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11,705 </w:t>
            </w:r>
          </w:p>
        </w:tc>
        <w:tc>
          <w:tcPr>
            <w:tcW w:w="436"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6"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deferred revenue</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4,646 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436"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acquisition-related contingent consideration</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2,682 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6"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1,589 </w:t>
            </w:r>
          </w:p>
        </w:tc>
        <w:tc>
          <w:tcPr>
            <w:tcW w:w="436"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other liabilities</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0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64,151 </w:t>
            </w:r>
          </w:p>
        </w:tc>
        <w:tc>
          <w:tcPr>
            <w:tcW w:w="17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16,781 </w:t>
            </w:r>
          </w:p>
        </w:tc>
        <w:tc>
          <w:tcPr>
            <w:tcW w:w="4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net of current portion</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5,592 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contingent consideration, net of current portion</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5,722 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7,594 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14,096 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9,917 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liabilities</w:t>
            </w:r>
          </w:p>
        </w:tc>
        <w:tc>
          <w:tcPr>
            <w:tcW w:w="20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91,311 </w:t>
            </w:r>
          </w:p>
        </w:tc>
        <w:tc>
          <w:tcPr>
            <w:tcW w:w="17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35,931 </w:t>
            </w:r>
          </w:p>
        </w:tc>
        <w:tc>
          <w:tcPr>
            <w:tcW w:w="4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20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1,096,514 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421,232 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1,187,825 </w:t>
            </w:r>
          </w:p>
        </w:tc>
        <w:tc>
          <w:tcPr>
            <w:tcW w:w="17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457,163 </w:t>
            </w:r>
          </w:p>
        </w:tc>
        <w:tc>
          <w:tcPr>
            <w:tcW w:w="4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5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tcPr>
          <w:p>
            <w:pPr>
              <w:pStyle w:val="TableContents"/>
              <w:spacing w:before="0" w:after="283"/>
              <w:rPr>
                <w:sz w:val="4"/>
                <w:szCs w:val="4"/>
              </w:rPr>
            </w:pPr>
            <w:r>
              <w:rPr>
                <w:sz w:val="4"/>
                <w:szCs w:val="4"/>
              </w:rPr>
            </w:r>
          </w:p>
        </w:tc>
      </w:tr>
      <w:tr>
        <w:trPr/>
        <w:tc>
          <w:tcPr>
            <w:tcW w:w="10044" w:type="dxa"/>
            <w:gridSpan w:val="12"/>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 The condensed balance sheet at December 31, 2020 has been derived from the audited financial statements at that date included in the Company's Form 10-K filed with the Securities and Exchange Commission dated February 22, 2021.</w:t>
            </w:r>
          </w:p>
        </w:tc>
        <w:tc>
          <w:tcPr>
            <w:tcW w:w="161" w:type="dxa"/>
            <w:tcBorders/>
            <w:shd w:fill="auto" w:val="clear"/>
          </w:tcPr>
          <w:p>
            <w:pPr>
              <w:pStyle w:val="TableContents"/>
              <w:spacing w:before="0" w:after="283"/>
              <w:rPr>
                <w:sz w:val="4"/>
                <w:szCs w:val="4"/>
              </w:rPr>
            </w:pPr>
            <w:r>
              <w:rPr>
                <w:sz w:val="4"/>
                <w:szCs w:val="4"/>
              </w:rPr>
            </w:r>
          </w:p>
        </w:tc>
      </w:tr>
      <w:tr>
        <w:trPr/>
        <w:tc>
          <w:tcPr>
            <w:tcW w:w="10044" w:type="dxa"/>
            <w:gridSpan w:val="12"/>
            <w:vMerge w:val="continue"/>
            <w:tcBorders/>
            <w:shd w:fill="auto" w:val="clear"/>
            <w:tcMar>
              <w:top w:w="0" w:type="dxa"/>
              <w:left w:w="0" w:type="dxa"/>
              <w:bottom w:w="0" w:type="dxa"/>
              <w:right w:w="0" w:type="dxa"/>
            </w:tcMar>
            <w:vAlign w:val="center"/>
          </w:tcPr>
          <w:p>
            <w:pPr>
              <w:pStyle w:val="Normal"/>
              <w:rPr/>
            </w:pPr>
            <w:r>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2217"/>
        <w:gridCol w:w="1753"/>
        <w:gridCol w:w="1758"/>
        <w:gridCol w:w="341"/>
        <w:gridCol w:w="1292"/>
        <w:gridCol w:w="175"/>
        <w:gridCol w:w="175"/>
        <w:gridCol w:w="175"/>
        <w:gridCol w:w="175"/>
        <w:gridCol w:w="341"/>
        <w:gridCol w:w="1292"/>
        <w:gridCol w:w="511"/>
      </w:tblGrid>
      <w:tr>
        <w:trPr/>
        <w:tc>
          <w:tcPr>
            <w:tcW w:w="2217"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175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CASH FLOWS</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of dollars)</w:t>
            </w:r>
          </w:p>
        </w:tc>
      </w:tr>
      <w:tr>
        <w:trPr/>
        <w:tc>
          <w:tcPr>
            <w:tcW w:w="5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Twelve Months Ended December 31,</w:t>
            </w:r>
          </w:p>
        </w:tc>
      </w:tr>
      <w:tr>
        <w:trPr/>
        <w:tc>
          <w:tcPr>
            <w:tcW w:w="5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8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(75,563)</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(34,909)</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19,593 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7,944 </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2144" w:type="dxa"/>
            <w:gridSpan w:val="3"/>
            <w:tcBorders/>
            <w:shd w:fill="auto" w:val="cle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22,519 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12,995 </w:t>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from income taxes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(6,258)</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2144" w:type="dxa"/>
            <w:gridSpan w:val="3"/>
            <w:tcBorders/>
            <w:shd w:fill="auto" w:val="clear"/>
            <w:vAlign w:val="center"/>
          </w:tcPr>
          <w:p>
            <w:pPr>
              <w:pStyle w:val="TableContents"/>
              <w:spacing w:before="0" w:after="283"/>
              <w:ind w:left="0" w:right="0" w:firstLine="180"/>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on end-of-term debt obligations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Write-down of excess supplies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964 </w:t>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Revaluation of acquisition-related contingent consideration</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1,506 </w:t>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currency on operations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(8,571)</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955 </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1,061 </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(3,316)</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w:t>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Accounts payable </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5,155 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and deferred revenue</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14,425 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6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(31,621)</w:t>
            </w:r>
          </w:p>
        </w:tc>
        <w:tc>
          <w:tcPr>
            <w:tcW w:w="17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(9,711)</w:t>
            </w:r>
          </w:p>
        </w:tc>
        <w:tc>
          <w:tcPr>
            <w:tcW w:w="5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8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Decipher Biosciences, net of cash acquired</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(574,411)</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HalioDx, net of cash acquired</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(162,419)</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equity securities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equity securities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(5,376)</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(2,837)</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6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(739,206)</w:t>
            </w:r>
          </w:p>
        </w:tc>
        <w:tc>
          <w:tcPr>
            <w:tcW w:w="17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w:t>
            </w:r>
          </w:p>
        </w:tc>
        <w:tc>
          <w:tcPr>
            <w:tcW w:w="5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8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issuance of common stock in a public offering, net of issuance costs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593,821 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193,831 </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long-term debt</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2144" w:type="dxa"/>
            <w:gridSpan w:val="3"/>
            <w:tcBorders/>
            <w:shd w:fill="auto" w:val="cle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taxes on vested restricted stock units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(9,029)</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(3,845)</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options and employee stock purchases</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11,528 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13,709 </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6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596,320 </w:t>
            </w:r>
          </w:p>
        </w:tc>
        <w:tc>
          <w:tcPr>
            <w:tcW w:w="17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203,595 </w:t>
            </w:r>
          </w:p>
        </w:tc>
        <w:tc>
          <w:tcPr>
            <w:tcW w:w="5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(Decrease) increase in cash, cash equivalents and restricted cash</w:t>
            </w:r>
          </w:p>
        </w:tc>
        <w:tc>
          <w:tcPr>
            <w:tcW w:w="16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(174,507)</w:t>
            </w:r>
          </w:p>
        </w:tc>
        <w:tc>
          <w:tcPr>
            <w:tcW w:w="17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190,047 </w:t>
            </w:r>
          </w:p>
        </w:tc>
        <w:tc>
          <w:tcPr>
            <w:tcW w:w="5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Effect of foreign currency on cash, cash equivalents and restricted cash</w:t>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(decrease) increase in cash, cash equivalents and restricted cash</w:t>
            </w:r>
          </w:p>
        </w:tc>
        <w:tc>
          <w:tcPr>
            <w:tcW w:w="16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(176,021)</w:t>
            </w:r>
          </w:p>
        </w:tc>
        <w:tc>
          <w:tcPr>
            <w:tcW w:w="17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190,047 </w:t>
            </w:r>
          </w:p>
        </w:tc>
        <w:tc>
          <w:tcPr>
            <w:tcW w:w="5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beginning of period</w:t>
            </w:r>
          </w:p>
        </w:tc>
        <w:tc>
          <w:tcPr>
            <w:tcW w:w="1633"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349,967 </w:t>
            </w:r>
          </w:p>
        </w:tc>
        <w:tc>
          <w:tcPr>
            <w:tcW w:w="175"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159,920 </w:t>
            </w:r>
          </w:p>
        </w:tc>
        <w:tc>
          <w:tcPr>
            <w:tcW w:w="511"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8348" w:type="dxa"/>
        <w:jc w:val="center"/>
        <w:tblInd w:w="0" w:type="dxa"/>
        <w:tblCellMar>
          <w:top w:w="28" w:type="dxa"/>
          <w:left w:w="28" w:type="dxa"/>
          <w:bottom w:w="28" w:type="dxa"/>
          <w:right w:w="28" w:type="dxa"/>
        </w:tblCellMar>
      </w:tblPr>
      <w:tblGrid>
        <w:gridCol w:w="2039"/>
        <w:gridCol w:w="1788"/>
        <w:gridCol w:w="1797"/>
        <w:gridCol w:w="211"/>
        <w:gridCol w:w="856"/>
        <w:gridCol w:w="109"/>
        <w:gridCol w:w="109"/>
        <w:gridCol w:w="109"/>
        <w:gridCol w:w="109"/>
        <w:gridCol w:w="211"/>
        <w:gridCol w:w="856"/>
        <w:gridCol w:w="154"/>
      </w:tblGrid>
      <w:tr>
        <w:trPr/>
        <w:tc>
          <w:tcPr>
            <w:tcW w:w="2039"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173,946 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349,967 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bl>
      <w:tblPr>
        <w:tblW w:w="8947" w:type="dxa"/>
        <w:jc w:val="left"/>
        <w:tblInd w:w="0" w:type="dxa"/>
        <w:tblCellMar>
          <w:top w:w="28" w:type="dxa"/>
          <w:left w:w="28" w:type="dxa"/>
          <w:bottom w:w="28" w:type="dxa"/>
          <w:right w:w="28" w:type="dxa"/>
        </w:tblCellMar>
      </w:tblPr>
      <w:tblGrid>
        <w:gridCol w:w="1574"/>
        <w:gridCol w:w="1385"/>
        <w:gridCol w:w="1391"/>
        <w:gridCol w:w="356"/>
        <w:gridCol w:w="1445"/>
        <w:gridCol w:w="184"/>
        <w:gridCol w:w="184"/>
        <w:gridCol w:w="184"/>
        <w:gridCol w:w="184"/>
        <w:gridCol w:w="356"/>
        <w:gridCol w:w="1445"/>
        <w:gridCol w:w="259"/>
      </w:tblGrid>
      <w:tr>
        <w:trPr/>
        <w:tc>
          <w:tcPr>
            <w:tcW w:w="1574"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894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CASH, CASH EQUIVALENTS AND RESTRICTED CASH</w:t>
            </w:r>
          </w:p>
        </w:tc>
      </w:tr>
      <w:tr>
        <w:trPr/>
        <w:tc>
          <w:tcPr>
            <w:tcW w:w="894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894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of dollars)</w:t>
            </w:r>
          </w:p>
        </w:tc>
      </w:tr>
      <w:tr>
        <w:trPr/>
        <w:tc>
          <w:tcPr>
            <w:tcW w:w="4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4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2021</w:t>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6"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173,197 </w:t>
            </w:r>
          </w:p>
        </w:tc>
        <w:tc>
          <w:tcPr>
            <w:tcW w:w="184" w:type="dxa"/>
            <w:tcBorders>
              <w:top w:val="single" w:sz="1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349,364 </w:t>
            </w:r>
          </w:p>
        </w:tc>
        <w:tc>
          <w:tcPr>
            <w:tcW w:w="259" w:type="dxa"/>
            <w:tcBorders>
              <w:top w:val="single" w:sz="1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1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2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173,946 </w:t>
            </w:r>
          </w:p>
        </w:tc>
        <w:tc>
          <w:tcPr>
            <w:tcW w:w="1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349,967 </w:t>
            </w:r>
          </w:p>
        </w:tc>
        <w:tc>
          <w:tcPr>
            <w:tcW w:w="2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Investor and Media Contact: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Tracy Morris</w:t>
      </w:r>
    </w:p>
    <w:p>
      <w:pPr>
        <w:pStyle w:val="TextBody"/>
        <w:spacing w:lineRule="auto" w:line="276" w:before="0" w:after="0"/>
        <w:rPr>
          <w:rFonts w:ascii="Arial;sans-serif" w:hAnsi="Arial;sans-serif"/>
          <w:b w:val="false"/>
          <w:color w:val="000000"/>
          <w:sz w:val="20"/>
          <w:highlight w:val="white"/>
        </w:rPr>
      </w:pPr>
      <w:r>
        <w:rPr>
          <w:rFonts w:ascii="Arial;sans-serif" w:hAnsi="Arial;sans-serif"/>
          <w:b w:val="false"/>
          <w:color w:val="000000"/>
          <w:sz w:val="20"/>
          <w:highlight w:val="white"/>
        </w:rPr>
        <w:t>Vice President of Corporate Communications</w:t>
      </w:r>
    </w:p>
    <w:p>
      <w:pPr>
        <w:pStyle w:val="TextBody"/>
        <w:spacing w:lineRule="auto" w:line="256" w:before="0" w:after="0"/>
        <w:rPr>
          <w:rFonts w:ascii="Arial;sans-serif" w:hAnsi="Arial;sans-serif"/>
          <w:b w:val="false"/>
          <w:color w:val="000000"/>
          <w:sz w:val="20"/>
          <w:highlight w:val="white"/>
        </w:rPr>
      </w:pPr>
      <w:r>
        <w:rPr>
          <w:rFonts w:ascii="Arial;sans-serif" w:hAnsi="Arial;sans-serif"/>
          <w:b w:val="false"/>
          <w:color w:val="000000"/>
          <w:sz w:val="20"/>
          <w:highlight w:val="white"/>
        </w:rPr>
        <w:t>&amp; Investor Relations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650-380-4413</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tracy.morris@veracyte.com </w:t>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2628</Words>
  <CharactersWithSpaces>17667</CharactersWithSpaces>
  <Paragraphs>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