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2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Chambers Rebecca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100"/>
        <w:spacing w:after="0" w:line="365" w:lineRule="auto"/>
        <w:rPr>
          <w:sz w:val="20"/>
          <w:szCs w:val="20"/>
          <w:color w:val="auto"/>
        </w:rPr>
      </w:pPr>
      <w:r>
        <w:rPr>
          <w:rFonts w:ascii="Times New Roman" w:cs="Times New Roman" w:eastAsia="Times New Roman" w:hAnsi="Times New Roman"/>
          <w:sz w:val="17"/>
          <w:szCs w:val="17"/>
          <w:color w:val="0000FF"/>
        </w:rPr>
        <w:t>6000 SHORELINE COURT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VERACYTE,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VCYT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02/27/2025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30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3"/>
                <w:szCs w:val="3"/>
                <w:color w:val="auto"/>
              </w:rPr>
            </w:pPr>
          </w:p>
        </w:tc>
        <w:tc>
          <w:tcPr>
            <w:tcW w:w="3560" w:type="dxa"/>
            <w:vAlign w:val="bottom"/>
            <w:gridSpan w:val="10"/>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6"/>
            <w:vMerge w:val="continue"/>
          </w:tcPr>
          <w:p>
            <w:pPr>
              <w:spacing w:after="0"/>
              <w:rPr>
                <w:sz w:val="9"/>
                <w:szCs w:val="9"/>
                <w:color w:val="auto"/>
              </w:rPr>
            </w:pPr>
          </w:p>
        </w:tc>
        <w:tc>
          <w:tcPr>
            <w:tcW w:w="200" w:type="dxa"/>
            <w:vAlign w:val="bottom"/>
          </w:tcPr>
          <w:p>
            <w:pPr>
              <w:spacing w:after="0"/>
              <w:rPr>
                <w:sz w:val="9"/>
                <w:szCs w:val="9"/>
                <w:color w:val="auto"/>
              </w:rPr>
            </w:pPr>
          </w:p>
        </w:tc>
        <w:tc>
          <w:tcPr>
            <w:tcW w:w="356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4"/>
          </w:tcPr>
          <w:p>
            <w:pPr>
              <w:ind w:left="22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SOUTH SAN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94080</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3"/>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9"/>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jc w:val="center"/>
              <w:ind w:left="66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47"/>
              <w:spacing w:after="0"/>
              <w:rPr>
                <w:sz w:val="20"/>
                <w:szCs w:val="20"/>
                <w:color w:val="auto"/>
              </w:rPr>
            </w:pPr>
            <w:r>
              <w:rPr>
                <w:rFonts w:ascii="Times New Roman" w:cs="Times New Roman" w:eastAsia="Times New Roman" w:hAnsi="Times New Roman"/>
                <w:sz w:val="17"/>
                <w:szCs w:val="17"/>
                <w:color w:val="0000FF"/>
              </w:rPr>
              <w:t>02/27/2025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23,170</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left="44"/>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w w:val="97"/>
              </w:rPr>
              <w:t>136,680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47"/>
              <w:spacing w:after="0"/>
              <w:rPr>
                <w:sz w:val="20"/>
                <w:szCs w:val="20"/>
                <w:color w:val="auto"/>
              </w:rPr>
            </w:pPr>
            <w:r>
              <w:rPr>
                <w:rFonts w:ascii="Times New Roman" w:cs="Times New Roman" w:eastAsia="Times New Roman" w:hAnsi="Times New Roman"/>
                <w:sz w:val="17"/>
                <w:szCs w:val="17"/>
                <w:color w:val="0000FF"/>
              </w:rPr>
              <w:t>02/27/2025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(2)</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11,911</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33.84</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w w:val="97"/>
              </w:rPr>
              <w:t>124,769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47"/>
              <w:spacing w:after="0"/>
              <w:rPr>
                <w:sz w:val="20"/>
                <w:szCs w:val="20"/>
                <w:color w:val="auto"/>
              </w:rPr>
            </w:pPr>
            <w:r>
              <w:rPr>
                <w:rFonts w:ascii="Times New Roman" w:cs="Times New Roman" w:eastAsia="Times New Roman" w:hAnsi="Times New Roman"/>
                <w:sz w:val="17"/>
                <w:szCs w:val="17"/>
                <w:color w:val="0000FF"/>
              </w:rPr>
              <w:t>03/02/2025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(3)</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11,070</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34.76</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w w:val="97"/>
              </w:rPr>
              <w:t>113,699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acquired by the Reporting Person upon vesting of certain performance based restricted stock units ("PSUs") on February 27, 2025, upon the certification by the Board of Directors of the Issuer of the achievement of the performance goals set forth therein.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withheld to satisfy the Reporting Person's tax withholding obligations in connection with the vesting of the PSUs and does not represent a sale.</w:t>
      </w:r>
    </w:p>
    <w:p>
      <w:pPr>
        <w:spacing w:after="0" w:line="5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reporting the withholding of 1,080, 659, 906, 826 and 7,599 shares of common stock to satisfy the reporting person's tax withholding obligations in connection with the vesting of 2,125, 1,296, 1,783, 1626 and 14,964 Restricted Stock Units granted on July 19, 2021, March 3, 2022 , August 5, 2022, March 6, 2023 and March 6, 2024, respectively, and does not represent a sale by the reporting person.</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Jonathan Wygant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03/03/2025</w:t>
            </w:r>
          </w:p>
        </w:tc>
        <w:tc>
          <w:tcPr>
            <w:tcW w:w="0" w:type="dxa"/>
            <w:vAlign w:val="bottom"/>
          </w:tcPr>
          <w:p>
            <w:pPr>
              <w:spacing w:after="0"/>
              <w:rPr>
                <w:sz w:val="1"/>
                <w:szCs w:val="1"/>
                <w:color w:val="auto"/>
              </w:rPr>
            </w:pPr>
          </w:p>
        </w:tc>
      </w:tr>
      <w:tr>
        <w:trPr>
          <w:trHeight w:val="87"/>
        </w:trPr>
        <w:tc>
          <w:tcPr>
            <w:tcW w:w="16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00" w:type="dxa"/>
            <w:vAlign w:val="bottom"/>
            <w:tcBorders>
              <w:top w:val="single" w:sz="8" w:color="auto"/>
            </w:tcBorders>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23563" TargetMode="External"/><Relationship Id="rId14"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2025-03-03T16:14:20Z</dcterms:created>
  <dcterms:modified xsi:type="dcterms:W3CDTF">2025-03-03T16:14:20Z</dcterms:modified>
</cp:coreProperties>
</file>