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1246505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1151890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Date of Report (Date of earliest event reported): February 26, 2021</w:t>
            </w:r>
          </w:p>
        </w:tc>
        <w:tc>
          <w:tcPr>
            <w:tcW w:w="2300" w:type="dxa"/>
            <w:vAlign w:val="bottom"/>
          </w:tcPr>
          <w:p>
            <w:pPr>
              <w:spacing w:after="0"/>
              <w:rPr>
                <w:sz w:val="20"/>
                <w:szCs w:val="20"/>
                <w:color w:val="auto"/>
              </w:rPr>
            </w:pPr>
          </w:p>
        </w:tc>
      </w:tr>
      <w:tr>
        <w:trPr>
          <w:trHeight w:val="445"/>
        </w:trPr>
        <w:tc>
          <w:tcPr>
            <w:tcW w:w="2260" w:type="dxa"/>
            <w:vAlign w:val="bottom"/>
          </w:tcPr>
          <w:p>
            <w:pPr>
              <w:spacing w:after="0"/>
              <w:rPr>
                <w:sz w:val="24"/>
                <w:szCs w:val="24"/>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rPr>
              <w:t>VERACYTE, INC.</w:t>
            </w:r>
          </w:p>
        </w:tc>
        <w:tc>
          <w:tcPr>
            <w:tcW w:w="2300" w:type="dxa"/>
            <w:vAlign w:val="bottom"/>
          </w:tcPr>
          <w:p>
            <w:pPr>
              <w:spacing w:after="0"/>
              <w:rPr>
                <w:sz w:val="24"/>
                <w:szCs w:val="24"/>
                <w:color w:val="auto"/>
              </w:rPr>
            </w:pPr>
          </w:p>
        </w:tc>
      </w:tr>
      <w:tr>
        <w:trPr>
          <w:trHeight w:val="230"/>
        </w:trPr>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2300" w:type="dxa"/>
            <w:vAlign w:val="bottom"/>
          </w:tcPr>
          <w:p>
            <w:pPr>
              <w:spacing w:after="0"/>
              <w:rPr>
                <w:sz w:val="20"/>
                <w:szCs w:val="20"/>
                <w:color w:val="auto"/>
              </w:rPr>
            </w:pPr>
          </w:p>
        </w:tc>
      </w:tr>
      <w:tr>
        <w:trPr>
          <w:trHeight w:val="513"/>
        </w:trPr>
        <w:tc>
          <w:tcPr>
            <w:tcW w:w="22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Delaware</w:t>
            </w: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0"/>
              </w:rPr>
              <w:t>001-36156</w:t>
            </w:r>
          </w:p>
        </w:tc>
        <w:tc>
          <w:tcPr>
            <w:tcW w:w="230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20-5455398</w:t>
            </w:r>
          </w:p>
        </w:tc>
      </w:tr>
      <w:tr>
        <w:trPr>
          <w:trHeight w:val="229"/>
        </w:trPr>
        <w:tc>
          <w:tcPr>
            <w:tcW w:w="2260" w:type="dxa"/>
            <w:vAlign w:val="bottom"/>
          </w:tcPr>
          <w:p>
            <w:pPr>
              <w:jc w:val="center"/>
              <w:ind w:right="90"/>
              <w:spacing w:after="0"/>
              <w:rPr>
                <w:sz w:val="20"/>
                <w:szCs w:val="20"/>
                <w:color w:val="auto"/>
              </w:rPr>
            </w:pPr>
            <w:r>
              <w:rPr>
                <w:rFonts w:ascii="Arial" w:cs="Arial" w:eastAsia="Arial" w:hAnsi="Arial"/>
                <w:sz w:val="18"/>
                <w:szCs w:val="18"/>
                <w:color w:val="auto"/>
                <w:w w:val="92"/>
              </w:rPr>
              <w:t>(State or other jurisdiction of</w:t>
            </w:r>
          </w:p>
        </w:tc>
        <w:tc>
          <w:tcPr>
            <w:tcW w:w="52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2300" w:type="dxa"/>
            <w:vAlign w:val="bottom"/>
          </w:tcPr>
          <w:p>
            <w:pPr>
              <w:jc w:val="center"/>
              <w:ind w:left="110"/>
              <w:spacing w:after="0"/>
              <w:rPr>
                <w:sz w:val="20"/>
                <w:szCs w:val="20"/>
                <w:color w:val="auto"/>
              </w:rPr>
            </w:pPr>
            <w:r>
              <w:rPr>
                <w:rFonts w:ascii="Arial" w:cs="Arial" w:eastAsia="Arial" w:hAnsi="Arial"/>
                <w:sz w:val="18"/>
                <w:szCs w:val="18"/>
                <w:color w:val="auto"/>
                <w:w w:val="94"/>
              </w:rPr>
              <w:t>(IRS Employer Identification</w:t>
            </w:r>
          </w:p>
        </w:tc>
      </w:tr>
      <w:tr>
        <w:trPr>
          <w:trHeight w:val="230"/>
        </w:trPr>
        <w:tc>
          <w:tcPr>
            <w:tcW w:w="2260" w:type="dxa"/>
            <w:vAlign w:val="bottom"/>
          </w:tcPr>
          <w:p>
            <w:pPr>
              <w:jc w:val="center"/>
              <w:ind w:right="90"/>
              <w:spacing w:after="0"/>
              <w:rPr>
                <w:sz w:val="20"/>
                <w:szCs w:val="20"/>
                <w:color w:val="auto"/>
              </w:rPr>
            </w:pPr>
            <w:r>
              <w:rPr>
                <w:rFonts w:ascii="Arial" w:cs="Arial" w:eastAsia="Arial" w:hAnsi="Arial"/>
                <w:sz w:val="18"/>
                <w:szCs w:val="18"/>
                <w:color w:val="auto"/>
                <w:w w:val="94"/>
              </w:rPr>
              <w:t>incorporation)</w:t>
            </w:r>
          </w:p>
        </w:tc>
        <w:tc>
          <w:tcPr>
            <w:tcW w:w="5220" w:type="dxa"/>
            <w:vAlign w:val="bottom"/>
          </w:tcPr>
          <w:p>
            <w:pPr>
              <w:spacing w:after="0"/>
              <w:rPr>
                <w:sz w:val="20"/>
                <w:szCs w:val="20"/>
                <w:color w:val="auto"/>
              </w:rPr>
            </w:pPr>
          </w:p>
        </w:tc>
        <w:tc>
          <w:tcPr>
            <w:tcW w:w="2300" w:type="dxa"/>
            <w:vAlign w:val="bottom"/>
          </w:tcPr>
          <w:p>
            <w:pPr>
              <w:jc w:val="center"/>
              <w:ind w:left="90"/>
              <w:spacing w:after="0"/>
              <w:rPr>
                <w:sz w:val="20"/>
                <w:szCs w:val="20"/>
                <w:color w:val="auto"/>
              </w:rPr>
            </w:pPr>
            <w:r>
              <w:rPr>
                <w:rFonts w:ascii="Arial" w:cs="Arial" w:eastAsia="Arial" w:hAnsi="Arial"/>
                <w:sz w:val="18"/>
                <w:szCs w:val="18"/>
                <w:color w:val="auto"/>
                <w:w w:val="93"/>
              </w:rPr>
              <w:t>No.)</w:t>
            </w:r>
          </w:p>
        </w:tc>
      </w:tr>
      <w:tr>
        <w:trPr>
          <w:trHeight w:val="526"/>
        </w:trPr>
        <w:tc>
          <w:tcPr>
            <w:tcW w:w="7480" w:type="dxa"/>
            <w:vAlign w:val="bottom"/>
            <w:gridSpan w:val="2"/>
          </w:tcPr>
          <w:p>
            <w:pPr>
              <w:ind w:left="40"/>
              <w:spacing w:after="0"/>
              <w:rPr>
                <w:sz w:val="20"/>
                <w:szCs w:val="20"/>
                <w:color w:val="auto"/>
              </w:rPr>
            </w:pPr>
            <w:r>
              <w:rPr>
                <w:rFonts w:ascii="Arial" w:cs="Arial" w:eastAsia="Arial" w:hAnsi="Arial"/>
                <w:sz w:val="18"/>
                <w:szCs w:val="18"/>
                <w:b w:val="1"/>
                <w:bCs w:val="1"/>
                <w:color w:val="auto"/>
              </w:rPr>
              <w:t>6000 Shoreline Court, Suite 300, South San Francisco, California</w:t>
            </w:r>
          </w:p>
        </w:tc>
        <w:tc>
          <w:tcPr>
            <w:tcW w:w="230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94080</w:t>
            </w:r>
          </w:p>
        </w:tc>
      </w:tr>
      <w:tr>
        <w:trPr>
          <w:trHeight w:val="256"/>
        </w:trPr>
        <w:tc>
          <w:tcPr>
            <w:tcW w:w="7480" w:type="dxa"/>
            <w:vAlign w:val="bottom"/>
            <w:gridSpan w:val="2"/>
          </w:tcPr>
          <w:p>
            <w:pPr>
              <w:ind w:left="1120"/>
              <w:spacing w:after="0"/>
              <w:rPr>
                <w:sz w:val="20"/>
                <w:szCs w:val="20"/>
                <w:color w:val="auto"/>
              </w:rPr>
            </w:pPr>
            <w:r>
              <w:rPr>
                <w:rFonts w:ascii="Arial" w:cs="Arial" w:eastAsia="Arial" w:hAnsi="Arial"/>
                <w:sz w:val="18"/>
                <w:szCs w:val="18"/>
                <w:color w:val="auto"/>
              </w:rPr>
              <w:t>(Address of principal executive offices)</w:t>
            </w:r>
          </w:p>
        </w:tc>
        <w:tc>
          <w:tcPr>
            <w:tcW w:w="2300" w:type="dxa"/>
            <w:vAlign w:val="bottom"/>
          </w:tcPr>
          <w:p>
            <w:pPr>
              <w:jc w:val="center"/>
              <w:ind w:left="130"/>
              <w:spacing w:after="0"/>
              <w:rPr>
                <w:sz w:val="20"/>
                <w:szCs w:val="20"/>
                <w:color w:val="auto"/>
              </w:rPr>
            </w:pPr>
            <w:r>
              <w:rPr>
                <w:rFonts w:ascii="Arial" w:cs="Arial" w:eastAsia="Arial" w:hAnsi="Arial"/>
                <w:sz w:val="18"/>
                <w:szCs w:val="18"/>
                <w:color w:val="auto"/>
                <w:w w:val="94"/>
              </w:rPr>
              <w:t>(Zip Code)</w:t>
            </w:r>
          </w:p>
        </w:tc>
      </w:tr>
    </w:tbl>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35" w:lineRule="exact"/>
        <w:rPr>
          <w:sz w:val="24"/>
          <w:szCs w:val="24"/>
          <w:color w:val="auto"/>
        </w:rPr>
      </w:pPr>
    </w:p>
    <w:p>
      <w:pPr>
        <w:ind w:left="20" w:right="620" w:firstLine="54"/>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49" w:lineRule="exact"/>
        <w:rPr>
          <w:rFonts w:ascii="MS PGothic" w:cs="MS PGothic" w:eastAsia="MS PGothic" w:hAnsi="MS PGothic"/>
          <w:sz w:val="18"/>
          <w:szCs w:val="18"/>
          <w:color w:val="auto"/>
        </w:rPr>
      </w:pPr>
    </w:p>
    <w:p>
      <w:pPr>
        <w:ind w:left="1220" w:hanging="726"/>
        <w:spacing w:after="0"/>
        <w:tabs>
          <w:tab w:leader="none" w:pos="1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263"/>
        </w:trPr>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80" w:type="dxa"/>
            <w:vAlign w:val="bottom"/>
          </w:tcPr>
          <w:p>
            <w:pPr>
              <w:spacing w:after="0"/>
              <w:rPr>
                <w:sz w:val="22"/>
                <w:szCs w:val="22"/>
                <w:color w:val="auto"/>
              </w:rPr>
            </w:pPr>
          </w:p>
        </w:tc>
        <w:tc>
          <w:tcPr>
            <w:tcW w:w="20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Trading Symbol(s)</w:t>
            </w:r>
          </w:p>
        </w:tc>
        <w:tc>
          <w:tcPr>
            <w:tcW w:w="180" w:type="dxa"/>
            <w:vAlign w:val="bottom"/>
          </w:tcPr>
          <w:p>
            <w:pPr>
              <w:spacing w:after="0"/>
              <w:rPr>
                <w:sz w:val="22"/>
                <w:szCs w:val="22"/>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43"/>
        </w:trPr>
        <w:tc>
          <w:tcPr>
            <w:tcW w:w="4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gridSpan w:val="2"/>
          </w:tcPr>
          <w:p>
            <w:pPr>
              <w:ind w:left="820"/>
              <w:spacing w:after="0"/>
              <w:rPr>
                <w:sz w:val="20"/>
                <w:szCs w:val="20"/>
                <w:color w:val="auto"/>
              </w:rPr>
            </w:pPr>
            <w:r>
              <w:rPr>
                <w:rFonts w:ascii="Arial" w:cs="Arial" w:eastAsia="Arial" w:hAnsi="Arial"/>
                <w:sz w:val="18"/>
                <w:szCs w:val="18"/>
                <w:color w:val="auto"/>
              </w:rPr>
              <w:t>VCYT</w:t>
            </w:r>
          </w:p>
        </w:tc>
        <w:tc>
          <w:tcPr>
            <w:tcW w:w="442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96" w:lineRule="exact"/>
        <w:rPr>
          <w:sz w:val="24"/>
          <w:szCs w:val="24"/>
          <w:color w:val="auto"/>
        </w:rPr>
      </w:pPr>
    </w:p>
    <w:p>
      <w:pPr>
        <w:ind w:left="20" w:right="260"/>
        <w:spacing w:after="0" w:line="25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ind w:left="20"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1384935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7089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 of 2013 Stock Incentive Plan</w:t>
      </w:r>
    </w:p>
    <w:p>
      <w:pPr>
        <w:spacing w:after="0" w:line="2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26, 2021, the Board of Directors (the “</w:t>
      </w:r>
      <w:r>
        <w:rPr>
          <w:rFonts w:ascii="Arial" w:cs="Arial" w:eastAsia="Arial" w:hAnsi="Arial"/>
          <w:sz w:val="17"/>
          <w:szCs w:val="17"/>
          <w:b w:val="1"/>
          <w:bCs w:val="1"/>
          <w:color w:val="auto"/>
        </w:rPr>
        <w:t>Board</w:t>
      </w:r>
      <w:r>
        <w:rPr>
          <w:rFonts w:ascii="Arial" w:cs="Arial" w:eastAsia="Arial" w:hAnsi="Arial"/>
          <w:sz w:val="17"/>
          <w:szCs w:val="17"/>
          <w:color w:val="auto"/>
        </w:rPr>
        <w:t>”) of Veracyte, Inc. (the “</w:t>
      </w:r>
      <w:r>
        <w:rPr>
          <w:rFonts w:ascii="Arial" w:cs="Arial" w:eastAsia="Arial" w:hAnsi="Arial"/>
          <w:sz w:val="17"/>
          <w:szCs w:val="17"/>
          <w:b w:val="1"/>
          <w:bCs w:val="1"/>
          <w:color w:val="auto"/>
        </w:rPr>
        <w:t>Company</w:t>
      </w:r>
      <w:r>
        <w:rPr>
          <w:rFonts w:ascii="Arial" w:cs="Arial" w:eastAsia="Arial" w:hAnsi="Arial"/>
          <w:sz w:val="17"/>
          <w:szCs w:val="17"/>
          <w:color w:val="auto"/>
        </w:rPr>
        <w:t>”) approved an amendment (the “</w:t>
      </w:r>
      <w:r>
        <w:rPr>
          <w:rFonts w:ascii="Arial" w:cs="Arial" w:eastAsia="Arial" w:hAnsi="Arial"/>
          <w:sz w:val="17"/>
          <w:szCs w:val="17"/>
          <w:b w:val="1"/>
          <w:bCs w:val="1"/>
          <w:color w:val="auto"/>
        </w:rPr>
        <w:t>Plan Amendment</w:t>
      </w:r>
      <w:r>
        <w:rPr>
          <w:rFonts w:ascii="Arial" w:cs="Arial" w:eastAsia="Arial" w:hAnsi="Arial"/>
          <w:sz w:val="17"/>
          <w:szCs w:val="17"/>
          <w:color w:val="auto"/>
        </w:rPr>
        <w:t>”) to the Company’s 2013 Stock Incentive Plan (the “</w:t>
      </w:r>
      <w:r>
        <w:rPr>
          <w:rFonts w:ascii="Arial" w:cs="Arial" w:eastAsia="Arial" w:hAnsi="Arial"/>
          <w:sz w:val="17"/>
          <w:szCs w:val="17"/>
          <w:b w:val="1"/>
          <w:bCs w:val="1"/>
          <w:color w:val="auto"/>
        </w:rPr>
        <w:t>Plan</w:t>
      </w:r>
      <w:r>
        <w:rPr>
          <w:rFonts w:ascii="Arial" w:cs="Arial" w:eastAsia="Arial" w:hAnsi="Arial"/>
          <w:sz w:val="17"/>
          <w:szCs w:val="17"/>
          <w:color w:val="auto"/>
        </w:rPr>
        <w:t>”) to provide that (A) each non-employee director who first joins the Board shall receive restricted stock units (“</w:t>
      </w:r>
      <w:r>
        <w:rPr>
          <w:rFonts w:ascii="Arial" w:cs="Arial" w:eastAsia="Arial" w:hAnsi="Arial"/>
          <w:sz w:val="17"/>
          <w:szCs w:val="17"/>
          <w:b w:val="1"/>
          <w:bCs w:val="1"/>
          <w:color w:val="auto"/>
        </w:rPr>
        <w:t>RSUs</w:t>
      </w:r>
      <w:r>
        <w:rPr>
          <w:rFonts w:ascii="Arial" w:cs="Arial" w:eastAsia="Arial" w:hAnsi="Arial"/>
          <w:sz w:val="17"/>
          <w:szCs w:val="17"/>
          <w:color w:val="auto"/>
        </w:rPr>
        <w:t>”) valued on the grant date at $600,000, which RSUs shall vest as to one-third of the shares subject thereto on each of the first, second and third annual anniversaries of the date of grant, (B) on the first business day following the conclusion of each regular annual meeting of the Company’s stockholders, each non-employee director who was not elected to the Board for the first time at such meeting, who has served on the Board for at least six months on such date and who will continue serving as a member of the Board thereafter shall receive RSUs valued on the grant date at $300,000, which RSUs shall vest on the first anniversary of the date of grant, or immediately prior to the next regular annual meeting of the Company’s stockholders, if earlier. In addition, the Plan Amendment provides that no non-employee director may receive equity awards under the Plan that, when combined with cash compensation received for service as a non-employee director, exceeds $750,000 in value in any calendar year, which amount shall instead be $1,500,000 in value in the calendar year in which such director first joins the Board.</w:t>
      </w:r>
    </w:p>
    <w:p>
      <w:pPr>
        <w:spacing w:after="0" w:line="20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description of the Plan Amendment is qualified in its entirety by reference to the full text of the Plan Amendment, a copy of which is filed as Exhibit 10.1 to this Current Report on Form 8-K and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2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86"/>
        </w:trPr>
        <w:tc>
          <w:tcPr>
            <w:tcW w:w="1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Exhibit No.</w:t>
            </w:r>
          </w:p>
        </w:tc>
        <w:tc>
          <w:tcPr>
            <w:tcW w:w="260" w:type="dxa"/>
            <w:vAlign w:val="bottom"/>
          </w:tcPr>
          <w:p>
            <w:pPr>
              <w:spacing w:after="0"/>
              <w:rPr>
                <w:sz w:val="24"/>
                <w:szCs w:val="24"/>
                <w:color w:val="auto"/>
              </w:rPr>
            </w:pPr>
          </w:p>
        </w:tc>
        <w:tc>
          <w:tcPr>
            <w:tcW w:w="9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Pr>
          <w:p>
            <w:pPr>
              <w:spacing w:after="0"/>
              <w:rPr>
                <w:sz w:val="24"/>
                <w:szCs w:val="24"/>
                <w:color w:val="auto"/>
              </w:rPr>
            </w:pPr>
          </w:p>
        </w:tc>
      </w:tr>
      <w:tr>
        <w:trPr>
          <w:trHeight w:val="331"/>
        </w:trPr>
        <w:tc>
          <w:tcPr>
            <w:tcW w:w="1420" w:type="dxa"/>
            <w:vAlign w:val="bottom"/>
          </w:tcPr>
          <w:p>
            <w:pPr>
              <w:jc w:val="right"/>
              <w:ind w:right="35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9560" w:type="dxa"/>
            <w:vAlign w:val="bottom"/>
            <w:gridSpan w:val="2"/>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2013 Stock Incentive Plan, as amended.</w:t>
              </w:r>
            </w:hyperlink>
          </w:p>
        </w:tc>
      </w:tr>
      <w:tr>
        <w:trPr>
          <w:trHeight w:val="527"/>
        </w:trPr>
        <w:tc>
          <w:tcPr>
            <w:tcW w:w="1420" w:type="dxa"/>
            <w:vAlign w:val="bottom"/>
          </w:tcPr>
          <w:p>
            <w:pPr>
              <w:jc w:val="right"/>
              <w:ind w:right="47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956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910"/>
        </w:trPr>
        <w:tc>
          <w:tcPr>
            <w:tcW w:w="1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March 3, 2021</w:t>
      </w:r>
    </w:p>
    <w:p>
      <w:pPr>
        <w:spacing w:after="0" w:line="27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VERACYTE, INC.</w:t>
      </w:r>
    </w:p>
    <w:p>
      <w:pPr>
        <w:spacing w:after="0" w:line="279"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23495</wp:posOffset>
            </wp:positionV>
            <wp:extent cx="3926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30"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Keith Kennedy</w:t>
      </w:r>
    </w:p>
    <w:p>
      <w:pPr>
        <w:spacing w:after="0" w:line="63" w:lineRule="exact"/>
        <w:rPr>
          <w:sz w:val="20"/>
          <w:szCs w:val="20"/>
          <w:color w:val="auto"/>
        </w:rPr>
      </w:pPr>
    </w:p>
    <w:p>
      <w:pPr>
        <w:ind w:left="4260"/>
        <w:spacing w:after="0"/>
        <w:tabs>
          <w:tab w:leader="none" w:pos="5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00"/>
          </w:cols>
          <w:pgMar w:left="320" w:top="141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VERACYTE,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2013 STOCK INCENTIVE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(Adopted by the Board of Directors on October 2, 2013)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amended by the Board of Directors on May 23, 2017, October 23, 2017 and 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33857/00600/FW/11852899.4</w:t>
      </w:r>
    </w:p>
    <w:p>
      <w:pPr>
        <w:sectPr>
          <w:pgSz w:w="11900" w:h="16838" w:orient="portrait"/>
          <w:cols w:equalWidth="0" w:num="1">
            <w:col w:w="11240"/>
          </w:cols>
          <w:pgMar w:left="320" w:top="1422"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color w:val="auto"/>
        </w:rPr>
        <w:t>Table of Contents</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Page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100" w:type="dxa"/>
            <w:vAlign w:val="bottom"/>
          </w:tcPr>
          <w:p>
            <w:pPr>
              <w:spacing w:after="0"/>
              <w:rPr>
                <w:sz w:val="20"/>
                <w:szCs w:val="20"/>
                <w:color w:val="auto"/>
              </w:rPr>
            </w:pPr>
            <w:r>
              <w:rPr>
                <w:rFonts w:ascii="Arial" w:cs="Arial" w:eastAsia="Arial" w:hAnsi="Arial"/>
                <w:sz w:val="22"/>
                <w:szCs w:val="22"/>
                <w:color w:val="auto"/>
              </w:rPr>
              <w:t>Section 1. ESTABLISHMENT AND PURPOSE.</w:t>
            </w:r>
          </w:p>
        </w:tc>
        <w:tc>
          <w:tcPr>
            <w:tcW w:w="2440" w:type="dxa"/>
            <w:vAlign w:val="bottom"/>
          </w:tcPr>
          <w:p>
            <w:pPr>
              <w:ind w:left="2220"/>
              <w:spacing w:after="0"/>
              <w:rPr>
                <w:sz w:val="20"/>
                <w:szCs w:val="20"/>
                <w:color w:val="auto"/>
              </w:rPr>
            </w:pPr>
            <w:r>
              <w:rPr>
                <w:rFonts w:ascii="Arial" w:cs="Arial" w:eastAsia="Arial" w:hAnsi="Arial"/>
                <w:sz w:val="22"/>
                <w:szCs w:val="22"/>
                <w:color w:val="auto"/>
              </w:rPr>
              <w:t>1</w:t>
            </w:r>
          </w:p>
        </w:tc>
      </w:tr>
      <w:tr>
        <w:trPr>
          <w:trHeight w:val="311"/>
        </w:trPr>
        <w:tc>
          <w:tcPr>
            <w:tcW w:w="8100" w:type="dxa"/>
            <w:vAlign w:val="bottom"/>
          </w:tcPr>
          <w:p>
            <w:pPr>
              <w:spacing w:after="0"/>
              <w:rPr>
                <w:sz w:val="20"/>
                <w:szCs w:val="20"/>
                <w:color w:val="auto"/>
              </w:rPr>
            </w:pPr>
            <w:r>
              <w:rPr>
                <w:rFonts w:ascii="Arial" w:cs="Arial" w:eastAsia="Arial" w:hAnsi="Arial"/>
                <w:sz w:val="22"/>
                <w:szCs w:val="22"/>
                <w:color w:val="auto"/>
              </w:rPr>
              <w:t>Section 2. DEFINITIONS.</w:t>
            </w:r>
          </w:p>
        </w:tc>
        <w:tc>
          <w:tcPr>
            <w:tcW w:w="2440" w:type="dxa"/>
            <w:vAlign w:val="bottom"/>
          </w:tcPr>
          <w:p>
            <w:pPr>
              <w:ind w:left="2220"/>
              <w:spacing w:after="0"/>
              <w:rPr>
                <w:sz w:val="20"/>
                <w:szCs w:val="20"/>
                <w:color w:val="auto"/>
              </w:rPr>
            </w:pPr>
            <w:r>
              <w:rPr>
                <w:rFonts w:ascii="Arial" w:cs="Arial" w:eastAsia="Arial" w:hAnsi="Arial"/>
                <w:sz w:val="22"/>
                <w:szCs w:val="22"/>
                <w:color w:val="auto"/>
              </w:rPr>
              <w:t>1</w:t>
            </w:r>
          </w:p>
        </w:tc>
      </w:tr>
      <w:tr>
        <w:trPr>
          <w:trHeight w:val="310"/>
        </w:trPr>
        <w:tc>
          <w:tcPr>
            <w:tcW w:w="8100" w:type="dxa"/>
            <w:vAlign w:val="bottom"/>
          </w:tcPr>
          <w:p>
            <w:pPr>
              <w:spacing w:after="0"/>
              <w:rPr>
                <w:sz w:val="20"/>
                <w:szCs w:val="20"/>
                <w:color w:val="auto"/>
              </w:rPr>
            </w:pPr>
            <w:r>
              <w:rPr>
                <w:rFonts w:ascii="Arial" w:cs="Arial" w:eastAsia="Arial" w:hAnsi="Arial"/>
                <w:sz w:val="22"/>
                <w:szCs w:val="22"/>
                <w:color w:val="auto"/>
              </w:rPr>
              <w:t>Section 3. ADMINISTRATION.</w:t>
            </w:r>
          </w:p>
        </w:tc>
        <w:tc>
          <w:tcPr>
            <w:tcW w:w="2440" w:type="dxa"/>
            <w:vAlign w:val="bottom"/>
          </w:tcPr>
          <w:p>
            <w:pPr>
              <w:ind w:left="2220"/>
              <w:spacing w:after="0"/>
              <w:rPr>
                <w:sz w:val="20"/>
                <w:szCs w:val="20"/>
                <w:color w:val="auto"/>
              </w:rPr>
            </w:pPr>
            <w:r>
              <w:rPr>
                <w:rFonts w:ascii="Arial" w:cs="Arial" w:eastAsia="Arial" w:hAnsi="Arial"/>
                <w:sz w:val="22"/>
                <w:szCs w:val="22"/>
                <w:color w:val="auto"/>
              </w:rPr>
              <w:t>5</w:t>
            </w:r>
          </w:p>
        </w:tc>
      </w:tr>
      <w:tr>
        <w:trPr>
          <w:trHeight w:val="311"/>
        </w:trPr>
        <w:tc>
          <w:tcPr>
            <w:tcW w:w="8100" w:type="dxa"/>
            <w:vAlign w:val="bottom"/>
          </w:tcPr>
          <w:p>
            <w:pPr>
              <w:spacing w:after="0"/>
              <w:rPr>
                <w:sz w:val="20"/>
                <w:szCs w:val="20"/>
                <w:color w:val="auto"/>
              </w:rPr>
            </w:pPr>
            <w:r>
              <w:rPr>
                <w:rFonts w:ascii="Arial" w:cs="Arial" w:eastAsia="Arial" w:hAnsi="Arial"/>
                <w:sz w:val="22"/>
                <w:szCs w:val="22"/>
                <w:color w:val="auto"/>
              </w:rPr>
              <w:t>Section 4. ELIGIBILITY.</w:t>
            </w:r>
          </w:p>
        </w:tc>
        <w:tc>
          <w:tcPr>
            <w:tcW w:w="2440" w:type="dxa"/>
            <w:vAlign w:val="bottom"/>
          </w:tcPr>
          <w:p>
            <w:pPr>
              <w:ind w:left="2220"/>
              <w:spacing w:after="0"/>
              <w:rPr>
                <w:sz w:val="20"/>
                <w:szCs w:val="20"/>
                <w:color w:val="auto"/>
              </w:rPr>
            </w:pPr>
            <w:r>
              <w:rPr>
                <w:rFonts w:ascii="Arial" w:cs="Arial" w:eastAsia="Arial" w:hAnsi="Arial"/>
                <w:sz w:val="22"/>
                <w:szCs w:val="22"/>
                <w:color w:val="auto"/>
              </w:rPr>
              <w:t>7</w:t>
            </w:r>
          </w:p>
        </w:tc>
      </w:tr>
      <w:tr>
        <w:trPr>
          <w:trHeight w:val="310"/>
        </w:trPr>
        <w:tc>
          <w:tcPr>
            <w:tcW w:w="8100" w:type="dxa"/>
            <w:vAlign w:val="bottom"/>
          </w:tcPr>
          <w:p>
            <w:pPr>
              <w:spacing w:after="0"/>
              <w:rPr>
                <w:sz w:val="20"/>
                <w:szCs w:val="20"/>
                <w:color w:val="auto"/>
              </w:rPr>
            </w:pPr>
            <w:r>
              <w:rPr>
                <w:rFonts w:ascii="Arial" w:cs="Arial" w:eastAsia="Arial" w:hAnsi="Arial"/>
                <w:sz w:val="22"/>
                <w:szCs w:val="22"/>
                <w:color w:val="auto"/>
              </w:rPr>
              <w:t>Section 5. STOCK SUBJECT TO PLAN.</w:t>
            </w:r>
          </w:p>
        </w:tc>
        <w:tc>
          <w:tcPr>
            <w:tcW w:w="2440" w:type="dxa"/>
            <w:vAlign w:val="bottom"/>
          </w:tcPr>
          <w:p>
            <w:pPr>
              <w:ind w:left="2220"/>
              <w:spacing w:after="0"/>
              <w:rPr>
                <w:sz w:val="20"/>
                <w:szCs w:val="20"/>
                <w:color w:val="auto"/>
              </w:rPr>
            </w:pPr>
            <w:r>
              <w:rPr>
                <w:rFonts w:ascii="Arial" w:cs="Arial" w:eastAsia="Arial" w:hAnsi="Arial"/>
                <w:sz w:val="22"/>
                <w:szCs w:val="22"/>
                <w:color w:val="auto"/>
              </w:rPr>
              <w:t>8</w:t>
            </w:r>
          </w:p>
        </w:tc>
      </w:tr>
      <w:tr>
        <w:trPr>
          <w:trHeight w:val="311"/>
        </w:trPr>
        <w:tc>
          <w:tcPr>
            <w:tcW w:w="8100" w:type="dxa"/>
            <w:vAlign w:val="bottom"/>
          </w:tcPr>
          <w:p>
            <w:pPr>
              <w:spacing w:after="0"/>
              <w:rPr>
                <w:sz w:val="20"/>
                <w:szCs w:val="20"/>
                <w:color w:val="auto"/>
              </w:rPr>
            </w:pPr>
            <w:r>
              <w:rPr>
                <w:rFonts w:ascii="Arial" w:cs="Arial" w:eastAsia="Arial" w:hAnsi="Arial"/>
                <w:sz w:val="22"/>
                <w:szCs w:val="22"/>
                <w:color w:val="auto"/>
              </w:rPr>
              <w:t>Section 6. RESTRICTED SHARES.</w:t>
            </w:r>
          </w:p>
        </w:tc>
        <w:tc>
          <w:tcPr>
            <w:tcW w:w="2440" w:type="dxa"/>
            <w:vAlign w:val="bottom"/>
          </w:tcPr>
          <w:p>
            <w:pPr>
              <w:ind w:left="2220"/>
              <w:spacing w:after="0"/>
              <w:rPr>
                <w:sz w:val="20"/>
                <w:szCs w:val="20"/>
                <w:color w:val="auto"/>
              </w:rPr>
            </w:pPr>
            <w:r>
              <w:rPr>
                <w:rFonts w:ascii="Arial" w:cs="Arial" w:eastAsia="Arial" w:hAnsi="Arial"/>
                <w:sz w:val="22"/>
                <w:szCs w:val="22"/>
                <w:color w:val="auto"/>
              </w:rPr>
              <w:t>9</w:t>
            </w:r>
          </w:p>
        </w:tc>
      </w:tr>
      <w:tr>
        <w:trPr>
          <w:trHeight w:val="311"/>
        </w:trPr>
        <w:tc>
          <w:tcPr>
            <w:tcW w:w="8100" w:type="dxa"/>
            <w:vAlign w:val="bottom"/>
          </w:tcPr>
          <w:p>
            <w:pPr>
              <w:spacing w:after="0"/>
              <w:rPr>
                <w:sz w:val="20"/>
                <w:szCs w:val="20"/>
                <w:color w:val="auto"/>
              </w:rPr>
            </w:pPr>
            <w:r>
              <w:rPr>
                <w:rFonts w:ascii="Arial" w:cs="Arial" w:eastAsia="Arial" w:hAnsi="Arial"/>
                <w:sz w:val="22"/>
                <w:szCs w:val="22"/>
                <w:color w:val="auto"/>
              </w:rPr>
              <w:t>Section 7. TERMS AND CONDITIONS OF OPTIONS.</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10</w:t>
            </w:r>
          </w:p>
        </w:tc>
      </w:tr>
      <w:tr>
        <w:trPr>
          <w:trHeight w:val="310"/>
        </w:trPr>
        <w:tc>
          <w:tcPr>
            <w:tcW w:w="8100" w:type="dxa"/>
            <w:vAlign w:val="bottom"/>
          </w:tcPr>
          <w:p>
            <w:pPr>
              <w:spacing w:after="0"/>
              <w:rPr>
                <w:sz w:val="20"/>
                <w:szCs w:val="20"/>
                <w:color w:val="auto"/>
              </w:rPr>
            </w:pPr>
            <w:r>
              <w:rPr>
                <w:rFonts w:ascii="Arial" w:cs="Arial" w:eastAsia="Arial" w:hAnsi="Arial"/>
                <w:sz w:val="22"/>
                <w:szCs w:val="22"/>
                <w:color w:val="auto"/>
              </w:rPr>
              <w:t>Section 8. PAYMENT FOR SHARES.</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12</w:t>
            </w:r>
          </w:p>
        </w:tc>
      </w:tr>
      <w:tr>
        <w:trPr>
          <w:trHeight w:val="311"/>
        </w:trPr>
        <w:tc>
          <w:tcPr>
            <w:tcW w:w="8100" w:type="dxa"/>
            <w:vAlign w:val="bottom"/>
          </w:tcPr>
          <w:p>
            <w:pPr>
              <w:spacing w:after="0"/>
              <w:rPr>
                <w:sz w:val="20"/>
                <w:szCs w:val="20"/>
                <w:color w:val="auto"/>
              </w:rPr>
            </w:pPr>
            <w:r>
              <w:rPr>
                <w:rFonts w:ascii="Arial" w:cs="Arial" w:eastAsia="Arial" w:hAnsi="Arial"/>
                <w:sz w:val="22"/>
                <w:szCs w:val="22"/>
                <w:color w:val="auto"/>
              </w:rPr>
              <w:t>Section 9. STOCK APPRECIATION RIGHTS.</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13</w:t>
            </w:r>
          </w:p>
        </w:tc>
      </w:tr>
      <w:tr>
        <w:trPr>
          <w:trHeight w:val="310"/>
        </w:trPr>
        <w:tc>
          <w:tcPr>
            <w:tcW w:w="8100" w:type="dxa"/>
            <w:vAlign w:val="bottom"/>
          </w:tcPr>
          <w:p>
            <w:pPr>
              <w:spacing w:after="0"/>
              <w:rPr>
                <w:sz w:val="20"/>
                <w:szCs w:val="20"/>
                <w:color w:val="auto"/>
              </w:rPr>
            </w:pPr>
            <w:r>
              <w:rPr>
                <w:rFonts w:ascii="Arial" w:cs="Arial" w:eastAsia="Arial" w:hAnsi="Arial"/>
                <w:sz w:val="22"/>
                <w:szCs w:val="22"/>
                <w:color w:val="auto"/>
              </w:rPr>
              <w:t>Section 10. STOCK UNITS.</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14</w:t>
            </w:r>
          </w:p>
        </w:tc>
      </w:tr>
      <w:tr>
        <w:trPr>
          <w:trHeight w:val="311"/>
        </w:trPr>
        <w:tc>
          <w:tcPr>
            <w:tcW w:w="8100" w:type="dxa"/>
            <w:vAlign w:val="bottom"/>
          </w:tcPr>
          <w:p>
            <w:pPr>
              <w:spacing w:after="0"/>
              <w:rPr>
                <w:sz w:val="20"/>
                <w:szCs w:val="20"/>
                <w:color w:val="auto"/>
              </w:rPr>
            </w:pPr>
            <w:r>
              <w:rPr>
                <w:rFonts w:ascii="Arial" w:cs="Arial" w:eastAsia="Arial" w:hAnsi="Arial"/>
                <w:sz w:val="22"/>
                <w:szCs w:val="22"/>
                <w:color w:val="auto"/>
              </w:rPr>
              <w:t>Section 11. CASH-BASED AWARDS</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15</w:t>
            </w:r>
          </w:p>
        </w:tc>
      </w:tr>
      <w:tr>
        <w:trPr>
          <w:trHeight w:val="310"/>
        </w:trPr>
        <w:tc>
          <w:tcPr>
            <w:tcW w:w="8100" w:type="dxa"/>
            <w:vAlign w:val="bottom"/>
          </w:tcPr>
          <w:p>
            <w:pPr>
              <w:spacing w:after="0"/>
              <w:rPr>
                <w:sz w:val="20"/>
                <w:szCs w:val="20"/>
                <w:color w:val="auto"/>
              </w:rPr>
            </w:pPr>
            <w:r>
              <w:rPr>
                <w:rFonts w:ascii="Arial" w:cs="Arial" w:eastAsia="Arial" w:hAnsi="Arial"/>
                <w:sz w:val="22"/>
                <w:szCs w:val="22"/>
                <w:color w:val="auto"/>
              </w:rPr>
              <w:t>Section 12. ADJUSTMENT OF SHARES.</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16</w:t>
            </w:r>
          </w:p>
        </w:tc>
      </w:tr>
      <w:tr>
        <w:trPr>
          <w:trHeight w:val="311"/>
        </w:trPr>
        <w:tc>
          <w:tcPr>
            <w:tcW w:w="8100" w:type="dxa"/>
            <w:vAlign w:val="bottom"/>
          </w:tcPr>
          <w:p>
            <w:pPr>
              <w:spacing w:after="0"/>
              <w:rPr>
                <w:sz w:val="20"/>
                <w:szCs w:val="20"/>
                <w:color w:val="auto"/>
              </w:rPr>
            </w:pPr>
            <w:r>
              <w:rPr>
                <w:rFonts w:ascii="Arial" w:cs="Arial" w:eastAsia="Arial" w:hAnsi="Arial"/>
                <w:sz w:val="22"/>
                <w:szCs w:val="22"/>
                <w:color w:val="auto"/>
              </w:rPr>
              <w:t>Section 13. DEFERRAL OF AWARDS.</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17</w:t>
            </w:r>
          </w:p>
        </w:tc>
      </w:tr>
      <w:tr>
        <w:trPr>
          <w:trHeight w:val="310"/>
        </w:trPr>
        <w:tc>
          <w:tcPr>
            <w:tcW w:w="8100" w:type="dxa"/>
            <w:vAlign w:val="bottom"/>
          </w:tcPr>
          <w:p>
            <w:pPr>
              <w:spacing w:after="0"/>
              <w:rPr>
                <w:sz w:val="20"/>
                <w:szCs w:val="20"/>
                <w:color w:val="auto"/>
              </w:rPr>
            </w:pPr>
            <w:r>
              <w:rPr>
                <w:rFonts w:ascii="Arial" w:cs="Arial" w:eastAsia="Arial" w:hAnsi="Arial"/>
                <w:sz w:val="22"/>
                <w:szCs w:val="22"/>
                <w:color w:val="auto"/>
              </w:rPr>
              <w:t>Section 14. AWARDS UNDER OTHER PLANS.</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18</w:t>
            </w:r>
          </w:p>
        </w:tc>
      </w:tr>
      <w:tr>
        <w:trPr>
          <w:trHeight w:val="310"/>
        </w:trPr>
        <w:tc>
          <w:tcPr>
            <w:tcW w:w="8100" w:type="dxa"/>
            <w:vAlign w:val="bottom"/>
          </w:tcPr>
          <w:p>
            <w:pPr>
              <w:spacing w:after="0"/>
              <w:rPr>
                <w:sz w:val="20"/>
                <w:szCs w:val="20"/>
                <w:color w:val="auto"/>
              </w:rPr>
            </w:pPr>
            <w:r>
              <w:rPr>
                <w:rFonts w:ascii="Arial" w:cs="Arial" w:eastAsia="Arial" w:hAnsi="Arial"/>
                <w:sz w:val="22"/>
                <w:szCs w:val="22"/>
                <w:color w:val="auto"/>
              </w:rPr>
              <w:t>Section 15. PAYMENT OF DIRECTOR’S FEES IN SECURITIES.</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18</w:t>
            </w:r>
          </w:p>
        </w:tc>
      </w:tr>
      <w:tr>
        <w:trPr>
          <w:trHeight w:val="311"/>
        </w:trPr>
        <w:tc>
          <w:tcPr>
            <w:tcW w:w="8100" w:type="dxa"/>
            <w:vAlign w:val="bottom"/>
          </w:tcPr>
          <w:p>
            <w:pPr>
              <w:spacing w:after="0"/>
              <w:rPr>
                <w:sz w:val="20"/>
                <w:szCs w:val="20"/>
                <w:color w:val="auto"/>
              </w:rPr>
            </w:pPr>
            <w:r>
              <w:rPr>
                <w:rFonts w:ascii="Arial" w:cs="Arial" w:eastAsia="Arial" w:hAnsi="Arial"/>
                <w:sz w:val="22"/>
                <w:szCs w:val="22"/>
                <w:color w:val="auto"/>
              </w:rPr>
              <w:t>Section 16. LEGAL AND REGULATORY REQUIREMENTS.</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18</w:t>
            </w:r>
          </w:p>
        </w:tc>
      </w:tr>
      <w:tr>
        <w:trPr>
          <w:trHeight w:val="310"/>
        </w:trPr>
        <w:tc>
          <w:tcPr>
            <w:tcW w:w="8100" w:type="dxa"/>
            <w:vAlign w:val="bottom"/>
          </w:tcPr>
          <w:p>
            <w:pPr>
              <w:spacing w:after="0"/>
              <w:rPr>
                <w:sz w:val="20"/>
                <w:szCs w:val="20"/>
                <w:color w:val="auto"/>
              </w:rPr>
            </w:pPr>
            <w:r>
              <w:rPr>
                <w:rFonts w:ascii="Arial" w:cs="Arial" w:eastAsia="Arial" w:hAnsi="Arial"/>
                <w:sz w:val="22"/>
                <w:szCs w:val="22"/>
                <w:color w:val="auto"/>
              </w:rPr>
              <w:t>Section 17. TAXES.</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18</w:t>
            </w:r>
          </w:p>
        </w:tc>
      </w:tr>
      <w:tr>
        <w:trPr>
          <w:trHeight w:val="310"/>
        </w:trPr>
        <w:tc>
          <w:tcPr>
            <w:tcW w:w="8100" w:type="dxa"/>
            <w:vAlign w:val="bottom"/>
          </w:tcPr>
          <w:p>
            <w:pPr>
              <w:spacing w:after="0"/>
              <w:rPr>
                <w:sz w:val="20"/>
                <w:szCs w:val="20"/>
                <w:color w:val="auto"/>
              </w:rPr>
            </w:pPr>
            <w:r>
              <w:rPr>
                <w:rFonts w:ascii="Arial" w:cs="Arial" w:eastAsia="Arial" w:hAnsi="Arial"/>
                <w:sz w:val="22"/>
                <w:szCs w:val="22"/>
                <w:color w:val="auto"/>
              </w:rPr>
              <w:t>Section 18. TRANSFERABILITY.</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19</w:t>
            </w:r>
          </w:p>
        </w:tc>
      </w:tr>
      <w:tr>
        <w:trPr>
          <w:trHeight w:val="310"/>
        </w:trPr>
        <w:tc>
          <w:tcPr>
            <w:tcW w:w="8100" w:type="dxa"/>
            <w:vAlign w:val="bottom"/>
          </w:tcPr>
          <w:p>
            <w:pPr>
              <w:spacing w:after="0"/>
              <w:rPr>
                <w:sz w:val="20"/>
                <w:szCs w:val="20"/>
                <w:color w:val="auto"/>
              </w:rPr>
            </w:pPr>
            <w:r>
              <w:rPr>
                <w:rFonts w:ascii="Arial" w:cs="Arial" w:eastAsia="Arial" w:hAnsi="Arial"/>
                <w:sz w:val="22"/>
                <w:szCs w:val="22"/>
                <w:color w:val="auto"/>
              </w:rPr>
              <w:t>Section 19. PERFORMANCE BASED AWARDS.</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19</w:t>
            </w:r>
          </w:p>
        </w:tc>
      </w:tr>
      <w:tr>
        <w:trPr>
          <w:trHeight w:val="310"/>
        </w:trPr>
        <w:tc>
          <w:tcPr>
            <w:tcW w:w="8100" w:type="dxa"/>
            <w:vAlign w:val="bottom"/>
          </w:tcPr>
          <w:p>
            <w:pPr>
              <w:spacing w:after="0"/>
              <w:rPr>
                <w:sz w:val="20"/>
                <w:szCs w:val="20"/>
                <w:color w:val="auto"/>
              </w:rPr>
            </w:pPr>
            <w:r>
              <w:rPr>
                <w:rFonts w:ascii="Arial" w:cs="Arial" w:eastAsia="Arial" w:hAnsi="Arial"/>
                <w:sz w:val="22"/>
                <w:szCs w:val="22"/>
                <w:color w:val="auto"/>
              </w:rPr>
              <w:t>Section 20. NO EMPLOYMENT RIGHTS.</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21</w:t>
            </w:r>
          </w:p>
        </w:tc>
      </w:tr>
      <w:tr>
        <w:trPr>
          <w:trHeight w:val="310"/>
        </w:trPr>
        <w:tc>
          <w:tcPr>
            <w:tcW w:w="8100" w:type="dxa"/>
            <w:vAlign w:val="bottom"/>
          </w:tcPr>
          <w:p>
            <w:pPr>
              <w:spacing w:after="0"/>
              <w:rPr>
                <w:sz w:val="20"/>
                <w:szCs w:val="20"/>
                <w:color w:val="auto"/>
              </w:rPr>
            </w:pPr>
            <w:r>
              <w:rPr>
                <w:rFonts w:ascii="Arial" w:cs="Arial" w:eastAsia="Arial" w:hAnsi="Arial"/>
                <w:sz w:val="22"/>
                <w:szCs w:val="22"/>
                <w:color w:val="auto"/>
              </w:rPr>
              <w:t>Section 21. DURATION AND AMENDMENTS.</w:t>
            </w:r>
          </w:p>
        </w:tc>
        <w:tc>
          <w:tcPr>
            <w:tcW w:w="2440" w:type="dxa"/>
            <w:vAlign w:val="bottom"/>
          </w:tcPr>
          <w:p>
            <w:pPr>
              <w:ind w:left="2220"/>
              <w:spacing w:after="0"/>
              <w:rPr>
                <w:sz w:val="20"/>
                <w:szCs w:val="20"/>
                <w:color w:val="auto"/>
              </w:rPr>
            </w:pPr>
            <w:r>
              <w:rPr>
                <w:rFonts w:ascii="Arial" w:cs="Arial" w:eastAsia="Arial" w:hAnsi="Arial"/>
                <w:sz w:val="22"/>
                <w:szCs w:val="22"/>
                <w:color w:val="auto"/>
                <w:w w:val="81"/>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20"/>
          </w:cols>
          <w:pgMar w:left="340" w:top="142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VERACYTE,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2013 STOCK INCENTIVE PLAN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1. </w:t>
      </w:r>
      <w:r>
        <w:rPr>
          <w:rFonts w:ascii="Arial" w:cs="Arial" w:eastAsia="Arial" w:hAnsi="Arial"/>
          <w:sz w:val="22"/>
          <w:szCs w:val="22"/>
          <w:b w:val="1"/>
          <w:bCs w:val="1"/>
          <w:color w:val="000000"/>
        </w:rPr>
        <w:t>ESTABLISHMENT AND PURPOSE.</w:t>
      </w:r>
    </w:p>
    <w:p>
      <w:pPr>
        <w:spacing w:after="0" w:line="22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2"/>
          <w:szCs w:val="22"/>
          <w:color w:val="auto"/>
        </w:rPr>
        <w:t>The Plan was adopted by the Board of Directors on October 2, 2013, and became effective immediately prior to the closing of the initial offering of Stock to the public pursuant to a registration statement filed by the Company with the Securities and Exchange Commission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The purpose of the Plan is to promote the long-term success of the Company and the creation of stockholder value by (a) encouraging Employees, Outside Directors and Consultants to focus on critical long-range objectives, (b) encouraging the attraction and retention of Employees, Outside Directors and Consultants with exceptional qualifications and (c) linking Employees, Outside Directors and Consultants directly to stockholder interests through increased stock ownership. The Plan seeks to achieve this purpose by providing for Awards in the form of restricted shares, stock units, options (which may constitute incentive stock options or nonstatutory stock options), stock appreciation rights or cash-based awards.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2. </w:t>
      </w:r>
      <w:r>
        <w:rPr>
          <w:rFonts w:ascii="Arial" w:cs="Arial" w:eastAsia="Arial" w:hAnsi="Arial"/>
          <w:sz w:val="22"/>
          <w:szCs w:val="22"/>
          <w:b w:val="1"/>
          <w:bCs w:val="1"/>
          <w:color w:val="000000"/>
        </w:rPr>
        <w:t>DEFINITIONS.</w:t>
      </w:r>
    </w:p>
    <w:p>
      <w:pPr>
        <w:spacing w:after="0" w:line="226" w:lineRule="exact"/>
        <w:rPr>
          <w:sz w:val="20"/>
          <w:szCs w:val="20"/>
          <w:color w:val="auto"/>
        </w:rPr>
      </w:pPr>
    </w:p>
    <w:p>
      <w:pPr>
        <w:ind w:right="20" w:firstLine="656"/>
        <w:spacing w:after="0" w:line="263" w:lineRule="auto"/>
        <w:tabs>
          <w:tab w:leader="none" w:pos="1144" w:val="left"/>
        </w:tabs>
        <w:numPr>
          <w:ilvl w:val="0"/>
          <w:numId w:val="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shall mean any entity other than a Subsidiary, if the Company and/or one or more Subsidiaries own not less than 50% of such entity.</w:t>
      </w:r>
    </w:p>
    <w:p>
      <w:pPr>
        <w:spacing w:after="0" w:line="174" w:lineRule="exact"/>
        <w:rPr>
          <w:rFonts w:ascii="Arial" w:cs="Arial" w:eastAsia="Arial" w:hAnsi="Arial"/>
          <w:sz w:val="22"/>
          <w:szCs w:val="22"/>
          <w:color w:val="010000"/>
        </w:rPr>
      </w:pPr>
    </w:p>
    <w:p>
      <w:pPr>
        <w:ind w:left="1120" w:hanging="464"/>
        <w:spacing w:after="0"/>
        <w:tabs>
          <w:tab w:leader="none" w:pos="1120" w:val="left"/>
        </w:tabs>
        <w:numPr>
          <w:ilvl w:val="0"/>
          <w:numId w:val="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Amendment Date</w:t>
      </w:r>
      <w:r>
        <w:rPr>
          <w:rFonts w:ascii="Arial" w:cs="Arial" w:eastAsia="Arial" w:hAnsi="Arial"/>
          <w:sz w:val="22"/>
          <w:szCs w:val="22"/>
          <w:color w:val="auto"/>
        </w:rPr>
        <w:t>” means February 26, 2021.</w:t>
      </w:r>
    </w:p>
    <w:p>
      <w:pPr>
        <w:spacing w:after="0" w:line="219" w:lineRule="exact"/>
        <w:rPr>
          <w:rFonts w:ascii="Arial" w:cs="Arial" w:eastAsia="Arial" w:hAnsi="Arial"/>
          <w:sz w:val="22"/>
          <w:szCs w:val="22"/>
          <w:color w:val="010000"/>
        </w:rPr>
      </w:pPr>
    </w:p>
    <w:p>
      <w:pPr>
        <w:ind w:left="1120" w:hanging="464"/>
        <w:spacing w:after="0"/>
        <w:tabs>
          <w:tab w:leader="none" w:pos="1120" w:val="left"/>
        </w:tabs>
        <w:numPr>
          <w:ilvl w:val="0"/>
          <w:numId w:val="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shall mean any award of an Option, a SAR, a Restricted Share, a Stock Unit or a Cash-Based Award under</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Plan.</w:t>
      </w:r>
    </w:p>
    <w:p>
      <w:pPr>
        <w:spacing w:after="0" w:line="201" w:lineRule="exact"/>
        <w:rPr>
          <w:rFonts w:ascii="Arial" w:cs="Arial" w:eastAsia="Arial" w:hAnsi="Arial"/>
          <w:sz w:val="19"/>
          <w:szCs w:val="19"/>
          <w:color w:val="010000"/>
        </w:rPr>
      </w:pPr>
    </w:p>
    <w:p>
      <w:pPr>
        <w:ind w:firstLine="656"/>
        <w:spacing w:after="0" w:line="263" w:lineRule="auto"/>
        <w:tabs>
          <w:tab w:leader="none" w:pos="1129" w:val="left"/>
        </w:tabs>
        <w:numPr>
          <w:ilvl w:val="0"/>
          <w:numId w:val="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shall mean the agreement between the Company and the recipient of an Award which contains the terms, conditions and restrictions pertaining to such Award.</w:t>
      </w:r>
    </w:p>
    <w:p>
      <w:pPr>
        <w:spacing w:after="0" w:line="174" w:lineRule="exact"/>
        <w:rPr>
          <w:rFonts w:ascii="Arial" w:cs="Arial" w:eastAsia="Arial" w:hAnsi="Arial"/>
          <w:sz w:val="22"/>
          <w:szCs w:val="22"/>
          <w:color w:val="010000"/>
        </w:rPr>
      </w:pPr>
    </w:p>
    <w:p>
      <w:pPr>
        <w:ind w:left="1180" w:hanging="524"/>
        <w:spacing w:after="0"/>
        <w:tabs>
          <w:tab w:leader="none" w:pos="1180" w:val="left"/>
        </w:tabs>
        <w:numPr>
          <w:ilvl w:val="0"/>
          <w:numId w:val="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 of Directors</w:t>
      </w:r>
      <w:r>
        <w:rPr>
          <w:rFonts w:ascii="Arial" w:cs="Arial" w:eastAsia="Arial" w:hAnsi="Arial"/>
          <w:sz w:val="19"/>
          <w:szCs w:val="19"/>
          <w:color w:val="auto"/>
        </w:rPr>
        <w:t xml:space="preserve">” </w:t>
      </w:r>
      <w:r>
        <w:rPr>
          <w:rFonts w:ascii="Arial" w:cs="Arial" w:eastAsia="Arial" w:hAnsi="Arial"/>
          <w:sz w:val="19"/>
          <w:szCs w:val="19"/>
          <w:i w:val="1"/>
          <w:iCs w:val="1"/>
          <w:color w:val="auto"/>
        </w:rPr>
        <w:t>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shall mean the Board of Directors of the Company, as constituted from time to</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time.</w:t>
      </w:r>
    </w:p>
    <w:p>
      <w:pPr>
        <w:spacing w:after="0" w:line="201" w:lineRule="exact"/>
        <w:rPr>
          <w:rFonts w:ascii="Arial" w:cs="Arial" w:eastAsia="Arial" w:hAnsi="Arial"/>
          <w:sz w:val="19"/>
          <w:szCs w:val="19"/>
          <w:color w:val="010000"/>
        </w:rPr>
      </w:pPr>
    </w:p>
    <w:p>
      <w:pPr>
        <w:ind w:left="1080" w:hanging="424"/>
        <w:spacing w:after="0"/>
        <w:tabs>
          <w:tab w:leader="none" w:pos="1080" w:val="left"/>
        </w:tabs>
        <w:numPr>
          <w:ilvl w:val="0"/>
          <w:numId w:val="2"/>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Cash-Based Award</w:t>
      </w:r>
      <w:r>
        <w:rPr>
          <w:rFonts w:ascii="Arial" w:cs="Arial" w:eastAsia="Arial" w:hAnsi="Arial"/>
          <w:sz w:val="19"/>
          <w:szCs w:val="19"/>
          <w:color w:val="auto"/>
        </w:rPr>
        <w:t>” shall mean an Award that entitles the Participant to receive a cash-denominated payment.</w:t>
      </w:r>
    </w:p>
    <w:p>
      <w:pPr>
        <w:spacing w:after="0" w:line="254" w:lineRule="exact"/>
        <w:rPr>
          <w:rFonts w:ascii="Arial" w:cs="Arial" w:eastAsia="Arial" w:hAnsi="Arial"/>
          <w:sz w:val="19"/>
          <w:szCs w:val="19"/>
          <w:color w:val="010000"/>
        </w:rPr>
      </w:pPr>
    </w:p>
    <w:p>
      <w:pPr>
        <w:ind w:left="1120" w:hanging="464"/>
        <w:spacing w:after="0"/>
        <w:tabs>
          <w:tab w:leader="none" w:pos="1120" w:val="left"/>
        </w:tabs>
        <w:numPr>
          <w:ilvl w:val="0"/>
          <w:numId w:val="2"/>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shall mean the occurrence of any of the following events:</w:t>
      </w:r>
    </w:p>
    <w:p>
      <w:pPr>
        <w:spacing w:after="0" w:line="219" w:lineRule="exact"/>
        <w:rPr>
          <w:rFonts w:ascii="Arial" w:cs="Arial" w:eastAsia="Arial" w:hAnsi="Arial"/>
          <w:sz w:val="22"/>
          <w:szCs w:val="22"/>
          <w:color w:val="010000"/>
        </w:rPr>
      </w:pPr>
    </w:p>
    <w:p>
      <w:pPr>
        <w:ind w:right="20" w:firstLine="1304"/>
        <w:spacing w:after="0" w:line="263" w:lineRule="auto"/>
        <w:tabs>
          <w:tab w:leader="none" w:pos="1729" w:val="left"/>
        </w:tabs>
        <w:numPr>
          <w:ilvl w:val="1"/>
          <w:numId w:val="2"/>
        </w:numPr>
        <w:rPr>
          <w:rFonts w:ascii="Arial" w:cs="Arial" w:eastAsia="Arial" w:hAnsi="Arial"/>
          <w:sz w:val="22"/>
          <w:szCs w:val="22"/>
          <w:color w:val="010000"/>
        </w:rPr>
      </w:pPr>
      <w:r>
        <w:rPr>
          <w:rFonts w:ascii="Arial" w:cs="Arial" w:eastAsia="Arial" w:hAnsi="Arial"/>
          <w:sz w:val="22"/>
          <w:szCs w:val="22"/>
          <w:color w:val="auto"/>
        </w:rPr>
        <w:t>A change in the composition of the Board of Directors occurs, as a result of which fewer than one-half of the incumbent directors are directors who either:</w:t>
      </w:r>
    </w:p>
    <w:p>
      <w:pPr>
        <w:spacing w:after="0" w:line="174" w:lineRule="exact"/>
        <w:rPr>
          <w:rFonts w:ascii="Arial" w:cs="Arial" w:eastAsia="Arial" w:hAnsi="Arial"/>
          <w:sz w:val="22"/>
          <w:szCs w:val="22"/>
          <w:color w:val="010000"/>
        </w:rPr>
      </w:pPr>
    </w:p>
    <w:p>
      <w:pPr>
        <w:ind w:left="2620" w:hanging="668"/>
        <w:spacing w:after="0"/>
        <w:tabs>
          <w:tab w:leader="none" w:pos="2620" w:val="left"/>
        </w:tabs>
        <w:numPr>
          <w:ilvl w:val="2"/>
          <w:numId w:val="2"/>
        </w:numPr>
        <w:rPr>
          <w:rFonts w:ascii="Arial" w:cs="Arial" w:eastAsia="Arial" w:hAnsi="Arial"/>
          <w:sz w:val="21"/>
          <w:szCs w:val="21"/>
          <w:color w:val="010000"/>
        </w:rPr>
      </w:pPr>
      <w:r>
        <w:rPr>
          <w:rFonts w:ascii="Arial" w:cs="Arial" w:eastAsia="Arial" w:hAnsi="Arial"/>
          <w:sz w:val="21"/>
          <w:szCs w:val="21"/>
          <w:color w:val="auto"/>
        </w:rPr>
        <w:t>Had been directors of the Company on the “look-back date” (as defined below) (the “original</w:t>
      </w:r>
    </w:p>
    <w:p>
      <w:pPr>
        <w:spacing w:after="0" w:line="32"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directors”); or</w:t>
      </w:r>
    </w:p>
    <w:p>
      <w:pPr>
        <w:sectPr>
          <w:pgSz w:w="11900" w:h="16838" w:orient="portrait"/>
          <w:cols w:equalWidth="0" w:num="1">
            <w:col w:w="11240"/>
          </w:cols>
          <w:pgMar w:left="320" w:top="1422" w:right="339" w:bottom="1440" w:gutter="0" w:footer="0" w:header="0"/>
        </w:sectPr>
      </w:pPr>
    </w:p>
    <w:bookmarkStart w:id="6" w:name="page7"/>
    <w:bookmarkEnd w:id="6"/>
    <w:p>
      <w:pPr>
        <w:jc w:val="both"/>
        <w:ind w:firstLine="1952"/>
        <w:spacing w:after="0" w:line="271" w:lineRule="auto"/>
        <w:tabs>
          <w:tab w:leader="none" w:pos="2515" w:val="left"/>
        </w:tabs>
        <w:numPr>
          <w:ilvl w:val="0"/>
          <w:numId w:val="3"/>
        </w:numPr>
        <w:rPr>
          <w:rFonts w:ascii="Arial" w:cs="Arial" w:eastAsia="Arial" w:hAnsi="Arial"/>
          <w:sz w:val="21"/>
          <w:szCs w:val="21"/>
          <w:color w:val="010000"/>
        </w:rPr>
      </w:pPr>
      <w:r>
        <w:rPr>
          <w:rFonts w:ascii="Arial" w:cs="Arial" w:eastAsia="Arial" w:hAnsi="Arial"/>
          <w:sz w:val="21"/>
          <w:szCs w:val="21"/>
          <w:color w:val="auto"/>
        </w:rPr>
        <w:t>Were elected, or nominated for election, to the Board of Directors with the affirmative votes of at least a majority of the aggregate of the original directors who were still in office at the time of the election or nomination and the directors whose election or nomination was previously so approved (the “continuing directors”);</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color w:val="auto"/>
        </w:rPr>
        <w:t xml:space="preserve">provided, however, </w:t>
      </w:r>
      <w:r>
        <w:rPr>
          <w:rFonts w:ascii="Arial" w:cs="Arial" w:eastAsia="Arial" w:hAnsi="Arial"/>
          <w:sz w:val="22"/>
          <w:szCs w:val="22"/>
          <w:color w:val="auto"/>
        </w:rPr>
        <w:t>that for this purpose, the “original directors” and “continuing directors” shall not include any individual</w:t>
      </w:r>
      <w:r>
        <w:rPr>
          <w:rFonts w:ascii="Arial" w:cs="Arial" w:eastAsia="Arial" w:hAnsi="Arial"/>
          <w:sz w:val="22"/>
          <w:szCs w:val="22"/>
          <w:i w:val="1"/>
          <w:iCs w:val="1"/>
          <w:color w:val="auto"/>
        </w:rPr>
        <w:t xml:space="preserve"> </w:t>
      </w:r>
      <w:r>
        <w:rPr>
          <w:rFonts w:ascii="Arial" w:cs="Arial" w:eastAsia="Arial" w:hAnsi="Arial"/>
          <w:sz w:val="22"/>
          <w:szCs w:val="22"/>
          <w:color w:val="auto"/>
        </w:rPr>
        <w:t>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188" w:lineRule="exact"/>
        <w:rPr>
          <w:sz w:val="20"/>
          <w:szCs w:val="20"/>
          <w:color w:val="auto"/>
        </w:rPr>
      </w:pPr>
    </w:p>
    <w:p>
      <w:pPr>
        <w:jc w:val="both"/>
        <w:ind w:firstLine="1304"/>
        <w:spacing w:after="0" w:line="259" w:lineRule="auto"/>
        <w:tabs>
          <w:tab w:leader="none" w:pos="1884" w:val="left"/>
        </w:tabs>
        <w:numPr>
          <w:ilvl w:val="0"/>
          <w:numId w:val="4"/>
        </w:numPr>
        <w:rPr>
          <w:rFonts w:ascii="Arial" w:cs="Arial" w:eastAsia="Arial" w:hAnsi="Arial"/>
          <w:sz w:val="21"/>
          <w:szCs w:val="21"/>
          <w:color w:val="010000"/>
        </w:rPr>
      </w:pPr>
      <w:r>
        <w:rPr>
          <w:rFonts w:ascii="Arial" w:cs="Arial" w:eastAsia="Arial" w:hAnsi="Arial"/>
          <w:sz w:val="21"/>
          <w:szCs w:val="21"/>
          <w:color w:val="auto"/>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or</w:t>
      </w:r>
    </w:p>
    <w:p>
      <w:pPr>
        <w:spacing w:after="0" w:line="183" w:lineRule="exact"/>
        <w:rPr>
          <w:rFonts w:ascii="Arial" w:cs="Arial" w:eastAsia="Arial" w:hAnsi="Arial"/>
          <w:sz w:val="21"/>
          <w:szCs w:val="21"/>
          <w:color w:val="010000"/>
        </w:rPr>
      </w:pPr>
    </w:p>
    <w:p>
      <w:pPr>
        <w:jc w:val="both"/>
        <w:ind w:firstLine="1304"/>
        <w:spacing w:after="0" w:line="263" w:lineRule="auto"/>
        <w:tabs>
          <w:tab w:leader="none" w:pos="1890" w:val="left"/>
        </w:tabs>
        <w:numPr>
          <w:ilvl w:val="0"/>
          <w:numId w:val="4"/>
        </w:numPr>
        <w:rPr>
          <w:rFonts w:ascii="Arial" w:cs="Arial" w:eastAsia="Arial" w:hAnsi="Arial"/>
          <w:sz w:val="21"/>
          <w:szCs w:val="21"/>
          <w:color w:val="010000"/>
        </w:rPr>
      </w:pPr>
      <w:r>
        <w:rPr>
          <w:rFonts w:ascii="Arial" w:cs="Arial" w:eastAsia="Arial" w:hAnsi="Arial"/>
          <w:sz w:val="21"/>
          <w:szCs w:val="21"/>
          <w:color w:val="auto"/>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p>
    <w:p>
      <w:pPr>
        <w:spacing w:after="0" w:line="175" w:lineRule="exact"/>
        <w:rPr>
          <w:rFonts w:ascii="Arial" w:cs="Arial" w:eastAsia="Arial" w:hAnsi="Arial"/>
          <w:sz w:val="21"/>
          <w:szCs w:val="21"/>
          <w:color w:val="010000"/>
        </w:rPr>
      </w:pPr>
    </w:p>
    <w:p>
      <w:pPr>
        <w:ind w:left="1840" w:hanging="536"/>
        <w:spacing w:after="0"/>
        <w:tabs>
          <w:tab w:leader="none" w:pos="1840" w:val="left"/>
        </w:tabs>
        <w:numPr>
          <w:ilvl w:val="0"/>
          <w:numId w:val="4"/>
        </w:numPr>
        <w:rPr>
          <w:rFonts w:ascii="Arial" w:cs="Arial" w:eastAsia="Arial" w:hAnsi="Arial"/>
          <w:sz w:val="22"/>
          <w:szCs w:val="22"/>
          <w:color w:val="010000"/>
        </w:rPr>
      </w:pPr>
      <w:r>
        <w:rPr>
          <w:rFonts w:ascii="Arial" w:cs="Arial" w:eastAsia="Arial" w:hAnsi="Arial"/>
          <w:sz w:val="22"/>
          <w:szCs w:val="22"/>
          <w:color w:val="auto"/>
        </w:rPr>
        <w:t>The sale, transfer or other disposition of all or substantially all of the Company’s assets.</w:t>
      </w:r>
    </w:p>
    <w:p>
      <w:pPr>
        <w:spacing w:after="0" w:line="22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For purposes of subsection (e)(i) above, the term “look-back” date shall mean the later of (1) the Effective Date or (2) the date 24 months prior to the date of the event that may constitute a Change in Control.</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For purposes of subsection (e)(ii)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Any other provision of this Section 2(e)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28" w:right="339" w:bottom="1440" w:gutter="0" w:footer="0" w:header="0"/>
        </w:sectPr>
      </w:pPr>
    </w:p>
    <w:bookmarkStart w:id="7" w:name="page8"/>
    <w:bookmarkEnd w:id="7"/>
    <w:p>
      <w:pPr>
        <w:ind w:right="20"/>
        <w:spacing w:after="0" w:line="287" w:lineRule="auto"/>
        <w:rPr>
          <w:sz w:val="20"/>
          <w:szCs w:val="20"/>
          <w:color w:val="auto"/>
        </w:rPr>
      </w:pPr>
      <w:r>
        <w:rPr>
          <w:rFonts w:ascii="Arial" w:cs="Arial" w:eastAsia="Arial" w:hAnsi="Arial"/>
          <w:sz w:val="21"/>
          <w:szCs w:val="21"/>
          <w:color w:val="auto"/>
        </w:rPr>
        <w:t>in Control shall not be deemed to occur if the Company files a registration statement with the United States Securities and Exchange Commission for the initial or secondary public offering of securities or debt of the Company to the public.</w:t>
      </w:r>
    </w:p>
    <w:p>
      <w:pPr>
        <w:spacing w:after="0" w:line="151" w:lineRule="exact"/>
        <w:rPr>
          <w:sz w:val="20"/>
          <w:szCs w:val="20"/>
          <w:color w:val="auto"/>
        </w:rPr>
      </w:pPr>
    </w:p>
    <w:p>
      <w:pPr>
        <w:ind w:left="1120" w:hanging="464"/>
        <w:spacing w:after="0"/>
        <w:tabs>
          <w:tab w:leader="none" w:pos="1120" w:val="left"/>
        </w:tabs>
        <w:numPr>
          <w:ilvl w:val="0"/>
          <w:numId w:val="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shall mean the Internal Revenue Code of 1986, as amended.</w:t>
      </w:r>
    </w:p>
    <w:p>
      <w:pPr>
        <w:spacing w:after="0" w:line="219" w:lineRule="exact"/>
        <w:rPr>
          <w:rFonts w:ascii="Arial" w:cs="Arial" w:eastAsia="Arial" w:hAnsi="Arial"/>
          <w:sz w:val="22"/>
          <w:szCs w:val="22"/>
          <w:color w:val="010000"/>
        </w:rPr>
      </w:pPr>
    </w:p>
    <w:p>
      <w:pPr>
        <w:ind w:firstLine="656"/>
        <w:spacing w:after="0" w:line="263" w:lineRule="auto"/>
        <w:tabs>
          <w:tab w:leader="none" w:pos="1081" w:val="left"/>
        </w:tabs>
        <w:numPr>
          <w:ilvl w:val="0"/>
          <w:numId w:val="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shall mean the Compensation Committee as designated by the Board of Directors, which is authorized to administer the Plan, as described in Section 3 hereof.</w:t>
      </w:r>
    </w:p>
    <w:p>
      <w:pPr>
        <w:spacing w:after="0" w:line="174" w:lineRule="exact"/>
        <w:rPr>
          <w:rFonts w:ascii="Arial" w:cs="Arial" w:eastAsia="Arial" w:hAnsi="Arial"/>
          <w:sz w:val="22"/>
          <w:szCs w:val="22"/>
          <w:color w:val="010000"/>
        </w:rPr>
      </w:pPr>
    </w:p>
    <w:p>
      <w:pPr>
        <w:ind w:left="1080" w:hanging="424"/>
        <w:spacing w:after="0"/>
        <w:tabs>
          <w:tab w:leader="none" w:pos="1080" w:val="left"/>
        </w:tabs>
        <w:numPr>
          <w:ilvl w:val="0"/>
          <w:numId w:val="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shall mean Veracyte, Inc., a Delaware corporation.</w:t>
      </w:r>
    </w:p>
    <w:p>
      <w:pPr>
        <w:spacing w:after="0" w:line="219" w:lineRule="exact"/>
        <w:rPr>
          <w:rFonts w:ascii="Arial" w:cs="Arial" w:eastAsia="Arial" w:hAnsi="Arial"/>
          <w:sz w:val="22"/>
          <w:szCs w:val="22"/>
          <w:color w:val="010000"/>
        </w:rPr>
      </w:pPr>
    </w:p>
    <w:p>
      <w:pPr>
        <w:jc w:val="both"/>
        <w:ind w:firstLine="656"/>
        <w:spacing w:after="0" w:line="253" w:lineRule="auto"/>
        <w:tabs>
          <w:tab w:leader="none" w:pos="1237" w:val="left"/>
        </w:tabs>
        <w:numPr>
          <w:ilvl w:val="0"/>
          <w:numId w:val="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Consultant</w:t>
      </w:r>
      <w:r>
        <w:rPr>
          <w:rFonts w:ascii="Arial" w:cs="Arial" w:eastAsia="Arial" w:hAnsi="Arial"/>
          <w:sz w:val="22"/>
          <w:szCs w:val="22"/>
          <w:color w:val="auto"/>
        </w:rPr>
        <w:t>” shall mean a consultant or advisor who provides bona fide services to the Company, a Parent, a Subsidiary or an Affiliate as an independent contractor (not including service as a member of the Board of Directors) or a member of the board of directors of a Parent or a Subsidiary, in each case who is not an Employee.</w:t>
      </w:r>
    </w:p>
    <w:p>
      <w:pPr>
        <w:spacing w:after="0" w:line="185" w:lineRule="exact"/>
        <w:rPr>
          <w:rFonts w:ascii="Arial" w:cs="Arial" w:eastAsia="Arial" w:hAnsi="Arial"/>
          <w:sz w:val="22"/>
          <w:szCs w:val="22"/>
          <w:color w:val="010000"/>
        </w:rPr>
      </w:pPr>
    </w:p>
    <w:p>
      <w:pPr>
        <w:ind w:left="1080" w:hanging="424"/>
        <w:spacing w:after="0"/>
        <w:tabs>
          <w:tab w:leader="none" w:pos="1080" w:val="left"/>
        </w:tabs>
        <w:numPr>
          <w:ilvl w:val="0"/>
          <w:numId w:val="5"/>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shall mean any individual who is a common-law employee of the Company, a Parent, a Subsidiary or an</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Affiliate.</w:t>
      </w:r>
    </w:p>
    <w:p>
      <w:pPr>
        <w:spacing w:after="0" w:line="201" w:lineRule="exact"/>
        <w:rPr>
          <w:rFonts w:ascii="Arial" w:cs="Arial" w:eastAsia="Arial" w:hAnsi="Arial"/>
          <w:sz w:val="19"/>
          <w:szCs w:val="19"/>
          <w:color w:val="010000"/>
        </w:rPr>
      </w:pPr>
    </w:p>
    <w:p>
      <w:pPr>
        <w:ind w:left="1180" w:hanging="524"/>
        <w:spacing w:after="0"/>
        <w:tabs>
          <w:tab w:leader="none" w:pos="1180" w:val="left"/>
        </w:tabs>
        <w:numPr>
          <w:ilvl w:val="0"/>
          <w:numId w:val="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shall mean the Securities Exchange Act of 1934, as amended.</w:t>
      </w:r>
    </w:p>
    <w:p>
      <w:pPr>
        <w:spacing w:after="0" w:line="219" w:lineRule="exact"/>
        <w:rPr>
          <w:rFonts w:ascii="Arial" w:cs="Arial" w:eastAsia="Arial" w:hAnsi="Arial"/>
          <w:sz w:val="22"/>
          <w:szCs w:val="22"/>
          <w:color w:val="010000"/>
        </w:rPr>
      </w:pPr>
    </w:p>
    <w:p>
      <w:pPr>
        <w:jc w:val="both"/>
        <w:ind w:firstLine="656"/>
        <w:spacing w:after="0" w:line="250" w:lineRule="auto"/>
        <w:tabs>
          <w:tab w:leader="none" w:pos="1197" w:val="left"/>
        </w:tabs>
        <w:numPr>
          <w:ilvl w:val="0"/>
          <w:numId w:val="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Exercise Price</w:t>
      </w:r>
      <w:r>
        <w:rPr>
          <w:rFonts w:ascii="Arial" w:cs="Arial" w:eastAsia="Arial" w:hAnsi="Arial"/>
          <w:sz w:val="22"/>
          <w:szCs w:val="22"/>
          <w:color w:val="auto"/>
        </w:rPr>
        <w:t>” shall mean, in the case of an Option, the amount for which one Share may be purchased upon exercise of such Option, as specified in the applicable Stock Option Agreement. “Exercise Price,” in the case of a SAR, shall mean an amount, as specified in the applicable SAR Agreement, which is subtracted from the Fair Market Value of one Share in determining the amount payable upon exercise of such SAR.</w:t>
      </w:r>
    </w:p>
    <w:p>
      <w:pPr>
        <w:spacing w:after="0" w:line="187" w:lineRule="exact"/>
        <w:rPr>
          <w:rFonts w:ascii="Arial" w:cs="Arial" w:eastAsia="Arial" w:hAnsi="Arial"/>
          <w:sz w:val="22"/>
          <w:szCs w:val="22"/>
          <w:color w:val="010000"/>
        </w:rPr>
      </w:pPr>
    </w:p>
    <w:p>
      <w:pPr>
        <w:ind w:firstLine="656"/>
        <w:spacing w:after="0" w:line="263" w:lineRule="auto"/>
        <w:tabs>
          <w:tab w:leader="none" w:pos="1278" w:val="left"/>
        </w:tabs>
        <w:numPr>
          <w:ilvl w:val="0"/>
          <w:numId w:val="5"/>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with respect to a Share, shall mean the market price of one Share, determined by the Committee as follows:</w:t>
      </w:r>
    </w:p>
    <w:p>
      <w:pPr>
        <w:spacing w:after="0" w:line="174" w:lineRule="exact"/>
        <w:rPr>
          <w:rFonts w:ascii="Arial" w:cs="Arial" w:eastAsia="Arial" w:hAnsi="Arial"/>
          <w:sz w:val="22"/>
          <w:szCs w:val="22"/>
          <w:color w:val="010000"/>
        </w:rPr>
      </w:pPr>
    </w:p>
    <w:p>
      <w:pPr>
        <w:jc w:val="both"/>
        <w:ind w:firstLine="1304"/>
        <w:spacing w:after="0" w:line="302" w:lineRule="auto"/>
        <w:tabs>
          <w:tab w:leader="none" w:pos="1729" w:val="left"/>
        </w:tabs>
        <w:numPr>
          <w:ilvl w:val="1"/>
          <w:numId w:val="5"/>
        </w:numPr>
        <w:rPr>
          <w:rFonts w:ascii="Arial" w:cs="Arial" w:eastAsia="Arial" w:hAnsi="Arial"/>
          <w:sz w:val="19"/>
          <w:szCs w:val="19"/>
          <w:color w:val="010000"/>
        </w:rPr>
      </w:pPr>
      <w:r>
        <w:rPr>
          <w:rFonts w:ascii="Arial" w:cs="Arial" w:eastAsia="Arial" w:hAnsi="Arial"/>
          <w:sz w:val="19"/>
          <w:szCs w:val="19"/>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OTC Link Quote system;</w:t>
      </w:r>
    </w:p>
    <w:p>
      <w:pPr>
        <w:spacing w:after="0" w:line="142" w:lineRule="exact"/>
        <w:rPr>
          <w:rFonts w:ascii="Arial" w:cs="Arial" w:eastAsia="Arial" w:hAnsi="Arial"/>
          <w:sz w:val="19"/>
          <w:szCs w:val="19"/>
          <w:color w:val="010000"/>
        </w:rPr>
      </w:pPr>
    </w:p>
    <w:p>
      <w:pPr>
        <w:jc w:val="both"/>
        <w:ind w:firstLine="1304"/>
        <w:spacing w:after="0" w:line="253" w:lineRule="auto"/>
        <w:tabs>
          <w:tab w:leader="none" w:pos="1830" w:val="left"/>
        </w:tabs>
        <w:numPr>
          <w:ilvl w:val="1"/>
          <w:numId w:val="5"/>
        </w:numPr>
        <w:rPr>
          <w:rFonts w:ascii="Arial" w:cs="Arial" w:eastAsia="Arial" w:hAnsi="Arial"/>
          <w:sz w:val="22"/>
          <w:szCs w:val="22"/>
          <w:color w:val="010000"/>
        </w:rPr>
      </w:pPr>
      <w:r>
        <w:rPr>
          <w:rFonts w:ascii="Arial" w:cs="Arial" w:eastAsia="Arial" w:hAnsi="Arial"/>
          <w:sz w:val="22"/>
          <w:szCs w:val="22"/>
          <w:color w:val="auto"/>
        </w:rPr>
        <w:t>If the Stock was traded on any established stock exchange (such as the New York Stock Exchange or The NASDAQ Stock Market) or national market system on the date in question, then the Fair Market Value shall be equal to the closing price reported for such date by the applicable exchange or system; and</w:t>
      </w:r>
    </w:p>
    <w:p>
      <w:pPr>
        <w:spacing w:after="0" w:line="185" w:lineRule="exact"/>
        <w:rPr>
          <w:rFonts w:ascii="Arial" w:cs="Arial" w:eastAsia="Arial" w:hAnsi="Arial"/>
          <w:sz w:val="22"/>
          <w:szCs w:val="22"/>
          <w:color w:val="010000"/>
        </w:rPr>
      </w:pPr>
    </w:p>
    <w:p>
      <w:pPr>
        <w:ind w:right="20" w:firstLine="1304"/>
        <w:spacing w:after="0" w:line="263" w:lineRule="auto"/>
        <w:tabs>
          <w:tab w:leader="none" w:pos="1917" w:val="left"/>
        </w:tabs>
        <w:numPr>
          <w:ilvl w:val="1"/>
          <w:numId w:val="5"/>
        </w:numPr>
        <w:rPr>
          <w:rFonts w:ascii="Arial" w:cs="Arial" w:eastAsia="Arial" w:hAnsi="Arial"/>
          <w:sz w:val="22"/>
          <w:szCs w:val="22"/>
          <w:color w:val="010000"/>
        </w:rPr>
      </w:pPr>
      <w:r>
        <w:rPr>
          <w:rFonts w:ascii="Arial" w:cs="Arial" w:eastAsia="Arial" w:hAnsi="Arial"/>
          <w:sz w:val="22"/>
          <w:szCs w:val="22"/>
          <w:color w:val="auto"/>
        </w:rPr>
        <w:t>If none of the foregoing provisions is applicable, then the Fair Market Value shall be determined by the Committee in good faith on such basis as it deems appropriate.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In all cases, the determination of Fair Market Value by the Committee shall be conclusive and binding on all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8" w:name="page9"/>
    <w:bookmarkEnd w:id="8"/>
    <w:p>
      <w:pPr>
        <w:ind w:left="1120" w:hanging="464"/>
        <w:spacing w:after="0"/>
        <w:tabs>
          <w:tab w:leader="none" w:pos="1120" w:val="left"/>
        </w:tabs>
        <w:numPr>
          <w:ilvl w:val="0"/>
          <w:numId w:val="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ISO</w:t>
      </w:r>
      <w:r>
        <w:rPr>
          <w:rFonts w:ascii="Arial" w:cs="Arial" w:eastAsia="Arial" w:hAnsi="Arial"/>
          <w:sz w:val="22"/>
          <w:szCs w:val="22"/>
          <w:color w:val="auto"/>
        </w:rPr>
        <w:t>” shall mean an employee incentive stock option described in Section 422 of the Code.</w:t>
      </w:r>
    </w:p>
    <w:p>
      <w:pPr>
        <w:spacing w:after="0" w:line="165" w:lineRule="exact"/>
        <w:rPr>
          <w:rFonts w:ascii="Arial" w:cs="Arial" w:eastAsia="Arial" w:hAnsi="Arial"/>
          <w:sz w:val="22"/>
          <w:szCs w:val="22"/>
          <w:color w:val="010000"/>
        </w:rPr>
      </w:pPr>
    </w:p>
    <w:p>
      <w:pPr>
        <w:ind w:left="1120" w:hanging="464"/>
        <w:spacing w:after="0"/>
        <w:tabs>
          <w:tab w:leader="none" w:pos="1120" w:val="left"/>
        </w:tabs>
        <w:numPr>
          <w:ilvl w:val="0"/>
          <w:numId w:val="6"/>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Option</w:t>
      </w:r>
      <w:r>
        <w:rPr>
          <w:rFonts w:ascii="Arial" w:cs="Arial" w:eastAsia="Arial" w:hAnsi="Arial"/>
          <w:sz w:val="22"/>
          <w:szCs w:val="22"/>
          <w:color w:val="auto"/>
        </w:rPr>
        <w:t>” or “</w:t>
      </w:r>
      <w:r>
        <w:rPr>
          <w:rFonts w:ascii="Arial" w:cs="Arial" w:eastAsia="Arial" w:hAnsi="Arial"/>
          <w:sz w:val="22"/>
          <w:szCs w:val="22"/>
          <w:b w:val="1"/>
          <w:bCs w:val="1"/>
          <w:i w:val="1"/>
          <w:iCs w:val="1"/>
          <w:color w:val="auto"/>
        </w:rPr>
        <w:t>NSO</w:t>
      </w:r>
      <w:r>
        <w:rPr>
          <w:rFonts w:ascii="Arial" w:cs="Arial" w:eastAsia="Arial" w:hAnsi="Arial"/>
          <w:sz w:val="22"/>
          <w:szCs w:val="22"/>
          <w:color w:val="auto"/>
        </w:rPr>
        <w:t>” shall mean an employee stock option that is not an ISO.</w:t>
      </w:r>
    </w:p>
    <w:p>
      <w:pPr>
        <w:spacing w:after="0" w:line="165" w:lineRule="exact"/>
        <w:rPr>
          <w:rFonts w:ascii="Arial" w:cs="Arial" w:eastAsia="Arial" w:hAnsi="Arial"/>
          <w:sz w:val="22"/>
          <w:szCs w:val="22"/>
          <w:color w:val="010000"/>
        </w:rPr>
      </w:pPr>
    </w:p>
    <w:p>
      <w:pPr>
        <w:ind w:left="1180" w:hanging="524"/>
        <w:spacing w:after="0"/>
        <w:tabs>
          <w:tab w:leader="none" w:pos="1180" w:val="left"/>
        </w:tabs>
        <w:numPr>
          <w:ilvl w:val="0"/>
          <w:numId w:val="6"/>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shall mean an ISO or Nonstatutory Option granted under the Plan and entitling the holder to purchase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Shares.</w:t>
      </w:r>
    </w:p>
    <w:p>
      <w:pPr>
        <w:spacing w:after="0" w:line="148" w:lineRule="exact"/>
        <w:rPr>
          <w:sz w:val="20"/>
          <w:szCs w:val="20"/>
          <w:color w:val="auto"/>
        </w:rPr>
      </w:pPr>
    </w:p>
    <w:p>
      <w:pPr>
        <w:ind w:firstLine="656"/>
        <w:spacing w:after="0" w:line="263" w:lineRule="auto"/>
        <w:tabs>
          <w:tab w:leader="none" w:pos="1119" w:val="left"/>
        </w:tabs>
        <w:numPr>
          <w:ilvl w:val="0"/>
          <w:numId w:val="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Outside Director</w:t>
      </w:r>
      <w:r>
        <w:rPr>
          <w:rFonts w:ascii="Arial" w:cs="Arial" w:eastAsia="Arial" w:hAnsi="Arial"/>
          <w:sz w:val="22"/>
          <w:szCs w:val="22"/>
          <w:color w:val="auto"/>
        </w:rPr>
        <w:t>” shall mean a member of the Board of Directors who is not a common-law employee of, or paid consultant to, the Company, a Parent or a Subsidiary.</w:t>
      </w:r>
    </w:p>
    <w:p>
      <w:pPr>
        <w:spacing w:after="0" w:line="120" w:lineRule="exact"/>
        <w:rPr>
          <w:rFonts w:ascii="Arial" w:cs="Arial" w:eastAsia="Arial" w:hAnsi="Arial"/>
          <w:sz w:val="22"/>
          <w:szCs w:val="22"/>
          <w:color w:val="010000"/>
        </w:rPr>
      </w:pPr>
    </w:p>
    <w:p>
      <w:pPr>
        <w:jc w:val="both"/>
        <w:ind w:firstLine="656"/>
        <w:spacing w:after="0" w:line="265" w:lineRule="auto"/>
        <w:tabs>
          <w:tab w:leader="none" w:pos="1068" w:val="left"/>
        </w:tabs>
        <w:numPr>
          <w:ilvl w:val="0"/>
          <w:numId w:val="7"/>
        </w:numPr>
        <w:rPr>
          <w:rFonts w:ascii="Arial" w:cs="Arial" w:eastAsia="Arial" w:hAnsi="Arial"/>
          <w:sz w:val="21"/>
          <w:szCs w:val="21"/>
          <w:color w:val="010000"/>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121" w:lineRule="exact"/>
        <w:rPr>
          <w:rFonts w:ascii="Arial" w:cs="Arial" w:eastAsia="Arial" w:hAnsi="Arial"/>
          <w:sz w:val="21"/>
          <w:szCs w:val="21"/>
          <w:color w:val="010000"/>
        </w:rPr>
      </w:pPr>
    </w:p>
    <w:p>
      <w:pPr>
        <w:ind w:left="1120" w:hanging="464"/>
        <w:spacing w:after="0"/>
        <w:tabs>
          <w:tab w:leader="none" w:pos="1120" w:val="left"/>
        </w:tabs>
        <w:numPr>
          <w:ilvl w:val="0"/>
          <w:numId w:val="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shall mean a person who holds an Award.</w:t>
      </w:r>
    </w:p>
    <w:p>
      <w:pPr>
        <w:spacing w:after="0" w:line="165" w:lineRule="exact"/>
        <w:rPr>
          <w:rFonts w:ascii="Arial" w:cs="Arial" w:eastAsia="Arial" w:hAnsi="Arial"/>
          <w:sz w:val="22"/>
          <w:szCs w:val="22"/>
          <w:color w:val="010000"/>
        </w:rPr>
      </w:pPr>
    </w:p>
    <w:p>
      <w:pPr>
        <w:ind w:firstLine="656"/>
        <w:spacing w:after="0" w:line="343" w:lineRule="auto"/>
        <w:tabs>
          <w:tab w:leader="none" w:pos="1224" w:val="left"/>
        </w:tabs>
        <w:numPr>
          <w:ilvl w:val="0"/>
          <w:numId w:val="7"/>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Based Award</w:t>
      </w:r>
      <w:r>
        <w:rPr>
          <w:rFonts w:ascii="Arial" w:cs="Arial" w:eastAsia="Arial" w:hAnsi="Arial"/>
          <w:sz w:val="19"/>
          <w:szCs w:val="19"/>
          <w:color w:val="auto"/>
        </w:rPr>
        <w:t>” shall mean any Restricted Share Award, Stock Unit Award or Cash-Based Award granted to a Participant that is intended to qualify as “performance-based compensation” under Section 162(m) of the Code.</w:t>
      </w:r>
    </w:p>
    <w:p>
      <w:pPr>
        <w:spacing w:after="0" w:line="50" w:lineRule="exact"/>
        <w:rPr>
          <w:rFonts w:ascii="Arial" w:cs="Arial" w:eastAsia="Arial" w:hAnsi="Arial"/>
          <w:sz w:val="19"/>
          <w:szCs w:val="19"/>
          <w:color w:val="010000"/>
        </w:rPr>
      </w:pPr>
    </w:p>
    <w:p>
      <w:pPr>
        <w:ind w:left="1180" w:hanging="524"/>
        <w:spacing w:after="0"/>
        <w:tabs>
          <w:tab w:leader="none" w:pos="1180" w:val="left"/>
        </w:tabs>
        <w:numPr>
          <w:ilvl w:val="0"/>
          <w:numId w:val="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shall mean this 2013 Stock Incentive Plan of Veracyte, Inc., as amended from time to time.</w:t>
      </w:r>
    </w:p>
    <w:p>
      <w:pPr>
        <w:spacing w:after="0" w:line="165" w:lineRule="exact"/>
        <w:rPr>
          <w:rFonts w:ascii="Arial" w:cs="Arial" w:eastAsia="Arial" w:hAnsi="Arial"/>
          <w:sz w:val="22"/>
          <w:szCs w:val="22"/>
          <w:color w:val="010000"/>
        </w:rPr>
      </w:pPr>
    </w:p>
    <w:p>
      <w:pPr>
        <w:ind w:firstLine="656"/>
        <w:spacing w:after="0" w:line="263" w:lineRule="auto"/>
        <w:tabs>
          <w:tab w:leader="none" w:pos="1197" w:val="left"/>
        </w:tabs>
        <w:numPr>
          <w:ilvl w:val="0"/>
          <w:numId w:val="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shall mean the consideration for which one Share may be acquired under the Plan (other than upon exercise of an Option), as specified by the Committee.</w:t>
      </w:r>
    </w:p>
    <w:p>
      <w:pPr>
        <w:spacing w:after="0" w:line="120" w:lineRule="exact"/>
        <w:rPr>
          <w:rFonts w:ascii="Arial" w:cs="Arial" w:eastAsia="Arial" w:hAnsi="Arial"/>
          <w:sz w:val="22"/>
          <w:szCs w:val="22"/>
          <w:color w:val="010000"/>
        </w:rPr>
      </w:pPr>
    </w:p>
    <w:p>
      <w:pPr>
        <w:ind w:left="1120" w:hanging="464"/>
        <w:spacing w:after="0"/>
        <w:tabs>
          <w:tab w:leader="none" w:pos="1120" w:val="left"/>
        </w:tabs>
        <w:numPr>
          <w:ilvl w:val="0"/>
          <w:numId w:val="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Share</w:t>
      </w:r>
      <w:r>
        <w:rPr>
          <w:rFonts w:ascii="Arial" w:cs="Arial" w:eastAsia="Arial" w:hAnsi="Arial"/>
          <w:sz w:val="22"/>
          <w:szCs w:val="22"/>
          <w:color w:val="auto"/>
        </w:rPr>
        <w:t>” shall mean a Share awarded under the Plan.</w:t>
      </w:r>
    </w:p>
    <w:p>
      <w:pPr>
        <w:spacing w:after="0" w:line="165" w:lineRule="exact"/>
        <w:rPr>
          <w:rFonts w:ascii="Arial" w:cs="Arial" w:eastAsia="Arial" w:hAnsi="Arial"/>
          <w:sz w:val="22"/>
          <w:szCs w:val="22"/>
          <w:color w:val="010000"/>
        </w:rPr>
      </w:pPr>
    </w:p>
    <w:p>
      <w:pPr>
        <w:ind w:left="1120" w:hanging="464"/>
        <w:spacing w:after="0"/>
        <w:tabs>
          <w:tab w:leader="none" w:pos="1120" w:val="left"/>
        </w:tabs>
        <w:numPr>
          <w:ilvl w:val="0"/>
          <w:numId w:val="7"/>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SAR</w:t>
      </w:r>
      <w:r>
        <w:rPr>
          <w:rFonts w:ascii="Arial" w:cs="Arial" w:eastAsia="Arial" w:hAnsi="Arial"/>
          <w:sz w:val="22"/>
          <w:szCs w:val="22"/>
          <w:color w:val="auto"/>
        </w:rPr>
        <w:t>” shall mean a stock appreciation right granted under the Plan.</w:t>
      </w:r>
    </w:p>
    <w:p>
      <w:pPr>
        <w:spacing w:after="0" w:line="166" w:lineRule="exact"/>
        <w:rPr>
          <w:sz w:val="20"/>
          <w:szCs w:val="20"/>
          <w:color w:val="auto"/>
        </w:rPr>
      </w:pPr>
    </w:p>
    <w:p>
      <w:pPr>
        <w:jc w:val="both"/>
        <w:ind w:firstLine="656"/>
        <w:spacing w:after="0" w:line="290" w:lineRule="auto"/>
        <w:tabs>
          <w:tab w:leader="none" w:pos="1213" w:val="left"/>
        </w:tabs>
        <w:numPr>
          <w:ilvl w:val="0"/>
          <w:numId w:val="8"/>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shall mean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p>
    <w:p>
      <w:pPr>
        <w:spacing w:after="0" w:line="101" w:lineRule="exact"/>
        <w:rPr>
          <w:rFonts w:ascii="Arial" w:cs="Arial" w:eastAsia="Arial" w:hAnsi="Arial"/>
          <w:sz w:val="19"/>
          <w:szCs w:val="19"/>
          <w:color w:val="010000"/>
        </w:rPr>
      </w:pPr>
    </w:p>
    <w:p>
      <w:pPr>
        <w:ind w:left="1240" w:hanging="584"/>
        <w:spacing w:after="0"/>
        <w:tabs>
          <w:tab w:leader="none" w:pos="1240" w:val="left"/>
        </w:tabs>
        <w:numPr>
          <w:ilvl w:val="0"/>
          <w:numId w:val="8"/>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shall mean one share of Stock, as adjusted in accordance with Section 12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9" w:name="page10"/>
    <w:bookmarkEnd w:id="9"/>
    <w:p>
      <w:pPr>
        <w:ind w:left="1200" w:hanging="544"/>
        <w:spacing w:after="0"/>
        <w:tabs>
          <w:tab w:leader="none" w:pos="1200" w:val="left"/>
        </w:tabs>
        <w:numPr>
          <w:ilvl w:val="0"/>
          <w:numId w:val="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w:t>
      </w:r>
      <w:r>
        <w:rPr>
          <w:rFonts w:ascii="Arial" w:cs="Arial" w:eastAsia="Arial" w:hAnsi="Arial"/>
          <w:sz w:val="22"/>
          <w:szCs w:val="22"/>
          <w:color w:val="auto"/>
        </w:rPr>
        <w:t>” shall mean the Common Stock of the Company.</w:t>
      </w:r>
    </w:p>
    <w:p>
      <w:pPr>
        <w:spacing w:after="0" w:line="165" w:lineRule="exact"/>
        <w:rPr>
          <w:rFonts w:ascii="Arial" w:cs="Arial" w:eastAsia="Arial" w:hAnsi="Arial"/>
          <w:sz w:val="22"/>
          <w:szCs w:val="22"/>
          <w:color w:val="010000"/>
        </w:rPr>
      </w:pPr>
    </w:p>
    <w:p>
      <w:pPr>
        <w:ind w:firstLine="656"/>
        <w:spacing w:after="0" w:line="263" w:lineRule="auto"/>
        <w:tabs>
          <w:tab w:leader="none" w:pos="1332" w:val="left"/>
        </w:tabs>
        <w:numPr>
          <w:ilvl w:val="0"/>
          <w:numId w:val="9"/>
        </w:numPr>
        <w:rPr>
          <w:rFonts w:ascii="Arial" w:cs="Arial" w:eastAsia="Arial" w:hAnsi="Arial"/>
          <w:sz w:val="22"/>
          <w:szCs w:val="22"/>
          <w:color w:val="010000"/>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Stock Unit</w:t>
      </w:r>
      <w:r>
        <w:rPr>
          <w:rFonts w:ascii="Arial" w:cs="Arial" w:eastAsia="Arial" w:hAnsi="Arial"/>
          <w:sz w:val="22"/>
          <w:szCs w:val="22"/>
          <w:color w:val="auto"/>
        </w:rPr>
        <w:t>” shall mean a bookkeeping entry representing the Company’s obligation to deliver one Share (or distribute cash) on a future date in accordance with the provisions of a Stock Unit Award Agreement.</w:t>
      </w:r>
    </w:p>
    <w:p>
      <w:pPr>
        <w:spacing w:after="0" w:line="120" w:lineRule="exact"/>
        <w:rPr>
          <w:rFonts w:ascii="Arial" w:cs="Arial" w:eastAsia="Arial" w:hAnsi="Arial"/>
          <w:sz w:val="22"/>
          <w:szCs w:val="22"/>
          <w:color w:val="010000"/>
        </w:rPr>
      </w:pPr>
    </w:p>
    <w:p>
      <w:pPr>
        <w:jc w:val="both"/>
        <w:ind w:firstLine="656"/>
        <w:spacing w:after="0" w:line="312" w:lineRule="auto"/>
        <w:tabs>
          <w:tab w:leader="none" w:pos="1227" w:val="left"/>
        </w:tabs>
        <w:numPr>
          <w:ilvl w:val="0"/>
          <w:numId w:val="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shall mean any corporation, if the Company and/or one or more other Subsidiaries own not less than 50% of the total combined voting power of all classes of outstanding stock of such corporation. A corporation that attains the status of a Subsidiary on a date after the adoption of the Plan shall be considered a Subsidiary commencing as of such date.</w:t>
      </w:r>
    </w:p>
    <w:p>
      <w:pPr>
        <w:spacing w:after="0" w:line="79" w:lineRule="exact"/>
        <w:rPr>
          <w:rFonts w:ascii="Arial" w:cs="Arial" w:eastAsia="Arial" w:hAnsi="Arial"/>
          <w:sz w:val="19"/>
          <w:szCs w:val="19"/>
          <w:color w:val="010000"/>
        </w:rPr>
      </w:pPr>
    </w:p>
    <w:p>
      <w:pPr>
        <w:ind w:left="1200" w:hanging="544"/>
        <w:spacing w:after="0"/>
        <w:tabs>
          <w:tab w:leader="none" w:pos="1200" w:val="left"/>
        </w:tabs>
        <w:numPr>
          <w:ilvl w:val="0"/>
          <w:numId w:val="9"/>
        </w:numPr>
        <w:rPr>
          <w:rFonts w:ascii="Arial" w:cs="Arial" w:eastAsia="Arial" w:hAnsi="Arial"/>
          <w:sz w:val="19"/>
          <w:szCs w:val="19"/>
          <w:color w:val="010000"/>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and Permanent Disability</w:t>
      </w:r>
      <w:r>
        <w:rPr>
          <w:rFonts w:ascii="Arial" w:cs="Arial" w:eastAsia="Arial" w:hAnsi="Arial"/>
          <w:sz w:val="19"/>
          <w:szCs w:val="19"/>
          <w:color w:val="auto"/>
        </w:rPr>
        <w:t>” shall mean any permanent and total disability as defined by Section 22(e)(3) of</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the Code.</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3. </w:t>
      </w:r>
      <w:r>
        <w:rPr>
          <w:rFonts w:ascii="Arial" w:cs="Arial" w:eastAsia="Arial" w:hAnsi="Arial"/>
          <w:sz w:val="22"/>
          <w:szCs w:val="22"/>
          <w:b w:val="1"/>
          <w:bCs w:val="1"/>
          <w:color w:val="000000"/>
        </w:rPr>
        <w:t>ADMINISTRATION.</w:t>
      </w:r>
    </w:p>
    <w:p>
      <w:pPr>
        <w:spacing w:after="0" w:line="226" w:lineRule="exact"/>
        <w:rPr>
          <w:sz w:val="20"/>
          <w:szCs w:val="20"/>
          <w:color w:val="auto"/>
        </w:rPr>
      </w:pPr>
    </w:p>
    <w:p>
      <w:pPr>
        <w:jc w:val="both"/>
        <w:ind w:firstLine="656"/>
        <w:spacing w:after="0" w:line="294" w:lineRule="auto"/>
        <w:tabs>
          <w:tab w:leader="none" w:pos="1144" w:val="left"/>
        </w:tabs>
        <w:numPr>
          <w:ilvl w:val="0"/>
          <w:numId w:val="10"/>
        </w:numPr>
        <w:rPr>
          <w:rFonts w:ascii="Arial" w:cs="Arial" w:eastAsia="Arial" w:hAnsi="Arial"/>
          <w:sz w:val="19"/>
          <w:szCs w:val="19"/>
          <w:color w:val="010000"/>
        </w:rPr>
      </w:pPr>
      <w:r>
        <w:rPr>
          <w:rFonts w:ascii="Arial" w:cs="Arial" w:eastAsia="Arial" w:hAnsi="Arial"/>
          <w:sz w:val="19"/>
          <w:szCs w:val="19"/>
          <w:u w:val="single" w:color="auto"/>
          <w:color w:val="auto"/>
        </w:rPr>
        <w:t>Committee Composition</w:t>
      </w:r>
      <w:r>
        <w:rPr>
          <w:rFonts w:ascii="Arial" w:cs="Arial" w:eastAsia="Arial" w:hAnsi="Arial"/>
          <w:sz w:val="19"/>
          <w:szCs w:val="19"/>
          <w:color w:val="auto"/>
        </w:rPr>
        <w:t>. The Plan shall be administered by a Committee appointed by the Board, or by the Board acting as the Committee. The Committee shall consist of two or more directors of the Company. In addition, to the extent required by the Board, the composition of the Committee shall satisfy (i) such requirements as the Securities and Exchange Commission may establish for administrators acting under plans intended to qualify for exemption under Rule 16b-3 (or its successor) under the Exchange Act; and (ii) such requirements as the Internal Revenue Service may establish for outside directors acting under plans intended to qualify for exemption under Section 162(m)(4)(C) of the Code.</w:t>
      </w:r>
    </w:p>
    <w:p>
      <w:pPr>
        <w:spacing w:after="0" w:line="95" w:lineRule="exact"/>
        <w:rPr>
          <w:rFonts w:ascii="Arial" w:cs="Arial" w:eastAsia="Arial" w:hAnsi="Arial"/>
          <w:sz w:val="19"/>
          <w:szCs w:val="19"/>
          <w:color w:val="010000"/>
        </w:rPr>
      </w:pPr>
    </w:p>
    <w:p>
      <w:pPr>
        <w:jc w:val="both"/>
        <w:ind w:firstLine="656"/>
        <w:spacing w:after="0" w:line="289" w:lineRule="auto"/>
        <w:tabs>
          <w:tab w:leader="none" w:pos="1116" w:val="left"/>
        </w:tabs>
        <w:numPr>
          <w:ilvl w:val="0"/>
          <w:numId w:val="10"/>
        </w:numPr>
        <w:rPr>
          <w:rFonts w:ascii="Arial" w:cs="Arial" w:eastAsia="Arial" w:hAnsi="Arial"/>
          <w:sz w:val="19"/>
          <w:szCs w:val="19"/>
          <w:color w:val="010000"/>
        </w:rPr>
      </w:pPr>
      <w:r>
        <w:rPr>
          <w:rFonts w:ascii="Arial" w:cs="Arial" w:eastAsia="Arial" w:hAnsi="Arial"/>
          <w:sz w:val="19"/>
          <w:szCs w:val="19"/>
          <w:u w:val="single" w:color="auto"/>
          <w:color w:val="auto"/>
        </w:rPr>
        <w:t>Committee for Non-Officer Grants</w:t>
      </w:r>
      <w:r>
        <w:rPr>
          <w:rFonts w:ascii="Arial" w:cs="Arial" w:eastAsia="Arial" w:hAnsi="Arial"/>
          <w:sz w:val="19"/>
          <w:szCs w:val="19"/>
          <w:color w:val="auto"/>
        </w:rPr>
        <w:t>. The Board may also appoint one or more separate committees of the Board, each composed of one or more directors of the Company who need not satisfy the requirements of Section 3(a), who may administer the Plan with respect to Employees who are not considered officers or directors of the Company under Section 16 of the Exchange Act, may grant Awards under the Plan to such Employees and may determine all terms of such Awards. Within the limitations of the preceding sentence, any reference in the Plan to the Committee shall include such committee or committees appointed pursuant to the preceding sentence. To the extent permitted by applicable laws, the Board of Directors may also authorize one or more officers of the Company to designate Employees, other than officers under Section 16 of the Exchange Act, to receive Awards and/or to determine the number of such Awards to be received by such persons; provided, however, that the Board of Directors shall specify the total number of Awards that such officers may so grant.</w:t>
      </w:r>
    </w:p>
    <w:p>
      <w:pPr>
        <w:spacing w:after="0" w:line="102" w:lineRule="exact"/>
        <w:rPr>
          <w:rFonts w:ascii="Arial" w:cs="Arial" w:eastAsia="Arial" w:hAnsi="Arial"/>
          <w:sz w:val="19"/>
          <w:szCs w:val="19"/>
          <w:color w:val="010000"/>
        </w:rPr>
      </w:pPr>
    </w:p>
    <w:p>
      <w:pPr>
        <w:jc w:val="both"/>
        <w:ind w:firstLine="656"/>
        <w:spacing w:after="0" w:line="250" w:lineRule="auto"/>
        <w:tabs>
          <w:tab w:leader="none" w:pos="1144" w:val="left"/>
        </w:tabs>
        <w:numPr>
          <w:ilvl w:val="0"/>
          <w:numId w:val="10"/>
        </w:numPr>
        <w:rPr>
          <w:rFonts w:ascii="Arial" w:cs="Arial" w:eastAsia="Arial" w:hAnsi="Arial"/>
          <w:sz w:val="22"/>
          <w:szCs w:val="22"/>
          <w:color w:val="010000"/>
        </w:rPr>
      </w:pPr>
      <w:r>
        <w:rPr>
          <w:rFonts w:ascii="Arial" w:cs="Arial" w:eastAsia="Arial" w:hAnsi="Arial"/>
          <w:sz w:val="22"/>
          <w:szCs w:val="22"/>
          <w:u w:val="single" w:color="auto"/>
          <w:color w:val="auto"/>
        </w:rPr>
        <w:t>Committee Procedures</w:t>
      </w:r>
      <w:r>
        <w:rPr>
          <w:rFonts w:ascii="Arial" w:cs="Arial" w:eastAsia="Arial" w:hAnsi="Arial"/>
          <w:sz w:val="22"/>
          <w:szCs w:val="22"/>
          <w:color w:val="auto"/>
        </w:rPr>
        <w:t>. The Board of Directors shall designate one of the members of the Committee as chairman. The Committee may hold meetings at such times and places as it shall determine. The acts of a majority of the Committee members present at meetings at which a quorum exists, or acts reduced to or approved in writing (including via email) by all Committee members, shall be valid acts of the Committee.</w:t>
      </w:r>
    </w:p>
    <w:p>
      <w:pPr>
        <w:spacing w:after="0" w:line="133" w:lineRule="exact"/>
        <w:rPr>
          <w:rFonts w:ascii="Arial" w:cs="Arial" w:eastAsia="Arial" w:hAnsi="Arial"/>
          <w:sz w:val="22"/>
          <w:szCs w:val="22"/>
          <w:color w:val="010000"/>
        </w:rPr>
      </w:pPr>
    </w:p>
    <w:p>
      <w:pPr>
        <w:ind w:right="20" w:firstLine="656"/>
        <w:spacing w:after="0" w:line="263" w:lineRule="auto"/>
        <w:tabs>
          <w:tab w:leader="none" w:pos="1237" w:val="left"/>
        </w:tabs>
        <w:numPr>
          <w:ilvl w:val="0"/>
          <w:numId w:val="10"/>
        </w:numPr>
        <w:rPr>
          <w:rFonts w:ascii="Arial" w:cs="Arial" w:eastAsia="Arial" w:hAnsi="Arial"/>
          <w:sz w:val="22"/>
          <w:szCs w:val="22"/>
          <w:color w:val="010000"/>
        </w:rPr>
      </w:pPr>
      <w:r>
        <w:rPr>
          <w:rFonts w:ascii="Arial" w:cs="Arial" w:eastAsia="Arial" w:hAnsi="Arial"/>
          <w:sz w:val="22"/>
          <w:szCs w:val="22"/>
          <w:u w:val="single" w:color="auto"/>
          <w:color w:val="auto"/>
        </w:rPr>
        <w:t>Committee Responsibilities</w:t>
      </w:r>
      <w:r>
        <w:rPr>
          <w:rFonts w:ascii="Arial" w:cs="Arial" w:eastAsia="Arial" w:hAnsi="Arial"/>
          <w:sz w:val="22"/>
          <w:szCs w:val="22"/>
          <w:color w:val="auto"/>
        </w:rPr>
        <w:t>. Subject to the provisions of the Plan, the Committee shall have full authority and discretion to take the following actions:</w:t>
      </w:r>
    </w:p>
    <w:p>
      <w:pPr>
        <w:spacing w:after="0" w:line="120" w:lineRule="exact"/>
        <w:rPr>
          <w:rFonts w:ascii="Arial" w:cs="Arial" w:eastAsia="Arial" w:hAnsi="Arial"/>
          <w:sz w:val="22"/>
          <w:szCs w:val="22"/>
          <w:color w:val="010000"/>
        </w:rPr>
      </w:pPr>
    </w:p>
    <w:p>
      <w:pPr>
        <w:ind w:left="1720" w:hanging="416"/>
        <w:spacing w:after="0"/>
        <w:tabs>
          <w:tab w:leader="none" w:pos="1720" w:val="left"/>
        </w:tabs>
        <w:numPr>
          <w:ilvl w:val="1"/>
          <w:numId w:val="10"/>
        </w:numPr>
        <w:rPr>
          <w:rFonts w:ascii="Arial" w:cs="Arial" w:eastAsia="Arial" w:hAnsi="Arial"/>
          <w:sz w:val="22"/>
          <w:szCs w:val="22"/>
          <w:color w:val="010000"/>
        </w:rPr>
      </w:pPr>
      <w:r>
        <w:rPr>
          <w:rFonts w:ascii="Arial" w:cs="Arial" w:eastAsia="Arial" w:hAnsi="Arial"/>
          <w:sz w:val="22"/>
          <w:szCs w:val="22"/>
          <w:color w:val="auto"/>
        </w:rPr>
        <w:t>To interpret the Plan and to apply its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0" w:name="page11"/>
    <w:bookmarkEnd w:id="10"/>
    <w:p>
      <w:pPr>
        <w:ind w:left="1780" w:hanging="476"/>
        <w:spacing w:after="0"/>
        <w:tabs>
          <w:tab w:leader="none" w:pos="1780"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To adopt, amend or rescind rules, procedures and forms relating to the Plan;</w:t>
      </w:r>
    </w:p>
    <w:p>
      <w:pPr>
        <w:spacing w:after="0" w:line="165" w:lineRule="exact"/>
        <w:rPr>
          <w:rFonts w:ascii="Arial" w:cs="Arial" w:eastAsia="Arial" w:hAnsi="Arial"/>
          <w:sz w:val="22"/>
          <w:szCs w:val="22"/>
          <w:color w:val="010000"/>
        </w:rPr>
      </w:pPr>
    </w:p>
    <w:p>
      <w:pPr>
        <w:ind w:firstLine="1304"/>
        <w:spacing w:after="0" w:line="263" w:lineRule="auto"/>
        <w:tabs>
          <w:tab w:leader="none" w:pos="1917"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To adopt, amend or terminate sub-plans established for the purpose of satisfying applicable foreign laws including qualifying for preferred tax treatment under applicable foreign tax laws;</w:t>
      </w:r>
    </w:p>
    <w:p>
      <w:pPr>
        <w:spacing w:after="0" w:line="107" w:lineRule="exact"/>
        <w:rPr>
          <w:rFonts w:ascii="Arial" w:cs="Arial" w:eastAsia="Arial" w:hAnsi="Arial"/>
          <w:sz w:val="22"/>
          <w:szCs w:val="22"/>
          <w:color w:val="010000"/>
        </w:rPr>
      </w:pPr>
    </w:p>
    <w:p>
      <w:pPr>
        <w:ind w:left="1920" w:hanging="616"/>
        <w:spacing w:after="0"/>
        <w:tabs>
          <w:tab w:leader="none" w:pos="1920" w:val="left"/>
        </w:tabs>
        <w:numPr>
          <w:ilvl w:val="0"/>
          <w:numId w:val="11"/>
        </w:numPr>
        <w:rPr>
          <w:rFonts w:ascii="Arial" w:cs="Arial" w:eastAsia="Arial" w:hAnsi="Arial"/>
          <w:sz w:val="19"/>
          <w:szCs w:val="19"/>
          <w:color w:val="010000"/>
        </w:rPr>
      </w:pPr>
      <w:r>
        <w:rPr>
          <w:rFonts w:ascii="Arial" w:cs="Arial" w:eastAsia="Arial" w:hAnsi="Arial"/>
          <w:sz w:val="19"/>
          <w:szCs w:val="19"/>
          <w:color w:val="auto"/>
        </w:rPr>
        <w:t>To authorize any person to execute, on behalf of the Company, any instrument required to carry out the</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purposes of the Plan;</w:t>
      </w:r>
    </w:p>
    <w:p>
      <w:pPr>
        <w:spacing w:after="0" w:line="120" w:lineRule="exact"/>
        <w:rPr>
          <w:rFonts w:ascii="Arial" w:cs="Arial" w:eastAsia="Arial" w:hAnsi="Arial"/>
          <w:sz w:val="19"/>
          <w:szCs w:val="19"/>
          <w:color w:val="010000"/>
        </w:rPr>
      </w:pPr>
    </w:p>
    <w:p>
      <w:pPr>
        <w:ind w:left="1780" w:hanging="476"/>
        <w:spacing w:after="0"/>
        <w:tabs>
          <w:tab w:leader="none" w:pos="1780"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To determine when Awards are to be granted under the Plan;</w:t>
      </w:r>
    </w:p>
    <w:p>
      <w:pPr>
        <w:spacing w:after="0" w:line="152" w:lineRule="exact"/>
        <w:rPr>
          <w:rFonts w:ascii="Arial" w:cs="Arial" w:eastAsia="Arial" w:hAnsi="Arial"/>
          <w:sz w:val="22"/>
          <w:szCs w:val="22"/>
          <w:color w:val="010000"/>
        </w:rPr>
      </w:pPr>
    </w:p>
    <w:p>
      <w:pPr>
        <w:ind w:left="1840" w:hanging="536"/>
        <w:spacing w:after="0"/>
        <w:tabs>
          <w:tab w:leader="none" w:pos="1840"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To select the Participants to whom Awards are to be granted;</w:t>
      </w:r>
    </w:p>
    <w:p>
      <w:pPr>
        <w:spacing w:after="0" w:line="152" w:lineRule="exact"/>
        <w:rPr>
          <w:rFonts w:ascii="Arial" w:cs="Arial" w:eastAsia="Arial" w:hAnsi="Arial"/>
          <w:sz w:val="22"/>
          <w:szCs w:val="22"/>
          <w:color w:val="010000"/>
        </w:rPr>
      </w:pPr>
    </w:p>
    <w:p>
      <w:pPr>
        <w:ind w:left="1900" w:hanging="596"/>
        <w:spacing w:after="0"/>
        <w:tabs>
          <w:tab w:leader="none" w:pos="1900" w:val="left"/>
        </w:tabs>
        <w:numPr>
          <w:ilvl w:val="0"/>
          <w:numId w:val="11"/>
        </w:numPr>
        <w:rPr>
          <w:rFonts w:ascii="Arial" w:cs="Arial" w:eastAsia="Arial" w:hAnsi="Arial"/>
          <w:sz w:val="19"/>
          <w:szCs w:val="19"/>
          <w:color w:val="010000"/>
        </w:rPr>
      </w:pPr>
      <w:r>
        <w:rPr>
          <w:rFonts w:ascii="Arial" w:cs="Arial" w:eastAsia="Arial" w:hAnsi="Arial"/>
          <w:sz w:val="19"/>
          <w:szCs w:val="19"/>
          <w:color w:val="auto"/>
        </w:rPr>
        <w:t>To determine the type of Award and number of Shares or amount of cash to be made subject to each Award;</w:t>
      </w:r>
    </w:p>
    <w:p>
      <w:pPr>
        <w:spacing w:after="0" w:line="173" w:lineRule="exact"/>
        <w:rPr>
          <w:rFonts w:ascii="Arial" w:cs="Arial" w:eastAsia="Arial" w:hAnsi="Arial"/>
          <w:sz w:val="19"/>
          <w:szCs w:val="19"/>
          <w:color w:val="010000"/>
        </w:rPr>
      </w:pPr>
    </w:p>
    <w:p>
      <w:pPr>
        <w:jc w:val="both"/>
        <w:ind w:firstLine="1304"/>
        <w:spacing w:after="0" w:line="265" w:lineRule="auto"/>
        <w:tabs>
          <w:tab w:leader="none" w:pos="1957" w:val="left"/>
        </w:tabs>
        <w:numPr>
          <w:ilvl w:val="0"/>
          <w:numId w:val="11"/>
        </w:numPr>
        <w:rPr>
          <w:rFonts w:ascii="Arial" w:cs="Arial" w:eastAsia="Arial" w:hAnsi="Arial"/>
          <w:sz w:val="21"/>
          <w:szCs w:val="21"/>
          <w:color w:val="010000"/>
        </w:rPr>
      </w:pPr>
      <w:r>
        <w:rPr>
          <w:rFonts w:ascii="Arial" w:cs="Arial" w:eastAsia="Arial" w:hAnsi="Arial"/>
          <w:sz w:val="21"/>
          <w:szCs w:val="21"/>
          <w:color w:val="auto"/>
        </w:rPr>
        <w:t>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 Nonstatutory Option, and to specify the provisions of the agreement relating to such Award;</w:t>
      </w:r>
    </w:p>
    <w:p>
      <w:pPr>
        <w:spacing w:after="0" w:line="107" w:lineRule="exact"/>
        <w:rPr>
          <w:rFonts w:ascii="Arial" w:cs="Arial" w:eastAsia="Arial" w:hAnsi="Arial"/>
          <w:sz w:val="21"/>
          <w:szCs w:val="21"/>
          <w:color w:val="010000"/>
        </w:rPr>
      </w:pPr>
    </w:p>
    <w:p>
      <w:pPr>
        <w:ind w:firstLine="1304"/>
        <w:spacing w:after="0" w:line="263" w:lineRule="auto"/>
        <w:tabs>
          <w:tab w:leader="none" w:pos="1878"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To amend any outstanding Award Agreement, subject to applicable legal restrictions and to the consent of the Participant if the Participant’s rights or obligations would be materially impaired;</w:t>
      </w:r>
    </w:p>
    <w:p>
      <w:pPr>
        <w:spacing w:after="0" w:line="107" w:lineRule="exact"/>
        <w:rPr>
          <w:rFonts w:ascii="Arial" w:cs="Arial" w:eastAsia="Arial" w:hAnsi="Arial"/>
          <w:sz w:val="22"/>
          <w:szCs w:val="22"/>
          <w:color w:val="010000"/>
        </w:rPr>
      </w:pPr>
    </w:p>
    <w:p>
      <w:pPr>
        <w:ind w:firstLine="1304"/>
        <w:spacing w:after="0" w:line="263" w:lineRule="auto"/>
        <w:tabs>
          <w:tab w:leader="none" w:pos="1777"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To prescribe the consideration for the grant of each Award or other right under the Plan and to determine the sufficiency of such consideration;</w:t>
      </w:r>
    </w:p>
    <w:p>
      <w:pPr>
        <w:spacing w:after="0" w:line="93" w:lineRule="exact"/>
        <w:rPr>
          <w:rFonts w:ascii="Arial" w:cs="Arial" w:eastAsia="Arial" w:hAnsi="Arial"/>
          <w:sz w:val="22"/>
          <w:szCs w:val="22"/>
          <w:color w:val="010000"/>
        </w:rPr>
      </w:pPr>
    </w:p>
    <w:p>
      <w:pPr>
        <w:ind w:right="20" w:firstLine="1304"/>
        <w:spacing w:after="0" w:line="263" w:lineRule="auto"/>
        <w:tabs>
          <w:tab w:leader="none" w:pos="1918"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To determine the disposition of each Award or other right under the Plan in the event of a Participant’s divorce or dissolution of marriage;</w:t>
      </w:r>
    </w:p>
    <w:p>
      <w:pPr>
        <w:spacing w:after="0" w:line="107" w:lineRule="exact"/>
        <w:rPr>
          <w:rFonts w:ascii="Arial" w:cs="Arial" w:eastAsia="Arial" w:hAnsi="Arial"/>
          <w:sz w:val="22"/>
          <w:szCs w:val="22"/>
          <w:color w:val="010000"/>
        </w:rPr>
      </w:pPr>
    </w:p>
    <w:p>
      <w:pPr>
        <w:ind w:firstLine="1304"/>
        <w:spacing w:after="0" w:line="263" w:lineRule="auto"/>
        <w:tabs>
          <w:tab w:leader="none" w:pos="2005"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To determine whether Awards under the Plan will be granted in replacement of other grants under an incentive or other compensation plan of an acquired business;</w:t>
      </w:r>
    </w:p>
    <w:p>
      <w:pPr>
        <w:spacing w:after="0" w:line="107" w:lineRule="exact"/>
        <w:rPr>
          <w:rFonts w:ascii="Arial" w:cs="Arial" w:eastAsia="Arial" w:hAnsi="Arial"/>
          <w:sz w:val="22"/>
          <w:szCs w:val="22"/>
          <w:color w:val="010000"/>
        </w:rPr>
      </w:pPr>
    </w:p>
    <w:p>
      <w:pPr>
        <w:ind w:left="2080" w:hanging="776"/>
        <w:spacing w:after="0"/>
        <w:tabs>
          <w:tab w:leader="none" w:pos="2080" w:val="left"/>
        </w:tabs>
        <w:numPr>
          <w:ilvl w:val="0"/>
          <w:numId w:val="11"/>
        </w:numPr>
        <w:rPr>
          <w:rFonts w:ascii="Arial" w:cs="Arial" w:eastAsia="Arial" w:hAnsi="Arial"/>
          <w:sz w:val="19"/>
          <w:szCs w:val="19"/>
          <w:color w:val="010000"/>
        </w:rPr>
      </w:pPr>
      <w:r>
        <w:rPr>
          <w:rFonts w:ascii="Arial" w:cs="Arial" w:eastAsia="Arial" w:hAnsi="Arial"/>
          <w:sz w:val="19"/>
          <w:szCs w:val="19"/>
          <w:color w:val="auto"/>
        </w:rPr>
        <w:t>To correct any defect, supply any omission, or reconcile any inconsistency in the Plan or any Award</w:t>
      </w:r>
    </w:p>
    <w:p>
      <w:pPr>
        <w:spacing w:after="0" w:line="55"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Agreement;</w:t>
      </w:r>
    </w:p>
    <w:p>
      <w:pPr>
        <w:spacing w:after="0" w:line="120" w:lineRule="exact"/>
        <w:rPr>
          <w:rFonts w:ascii="Arial" w:cs="Arial" w:eastAsia="Arial" w:hAnsi="Arial"/>
          <w:sz w:val="19"/>
          <w:szCs w:val="19"/>
          <w:color w:val="010000"/>
        </w:rPr>
      </w:pPr>
    </w:p>
    <w:p>
      <w:pPr>
        <w:ind w:right="20" w:firstLine="1304"/>
        <w:spacing w:after="0" w:line="263" w:lineRule="auto"/>
        <w:tabs>
          <w:tab w:leader="none" w:pos="1959"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To establish or verify the extent of satisfaction of any performance goals or other conditions applicable to the grant, issuance, exercisability, vesting and/or ability to retain any Award; and</w:t>
      </w:r>
    </w:p>
    <w:p>
      <w:pPr>
        <w:spacing w:after="0" w:line="107" w:lineRule="exact"/>
        <w:rPr>
          <w:rFonts w:ascii="Arial" w:cs="Arial" w:eastAsia="Arial" w:hAnsi="Arial"/>
          <w:sz w:val="22"/>
          <w:szCs w:val="22"/>
          <w:color w:val="010000"/>
        </w:rPr>
      </w:pPr>
    </w:p>
    <w:p>
      <w:pPr>
        <w:ind w:left="1880" w:hanging="576"/>
        <w:spacing w:after="0"/>
        <w:tabs>
          <w:tab w:leader="none" w:pos="1880" w:val="left"/>
        </w:tabs>
        <w:numPr>
          <w:ilvl w:val="0"/>
          <w:numId w:val="11"/>
        </w:numPr>
        <w:rPr>
          <w:rFonts w:ascii="Arial" w:cs="Arial" w:eastAsia="Arial" w:hAnsi="Arial"/>
          <w:sz w:val="22"/>
          <w:szCs w:val="22"/>
          <w:color w:val="010000"/>
        </w:rPr>
      </w:pPr>
      <w:r>
        <w:rPr>
          <w:rFonts w:ascii="Arial" w:cs="Arial" w:eastAsia="Arial" w:hAnsi="Arial"/>
          <w:sz w:val="22"/>
          <w:szCs w:val="22"/>
          <w:color w:val="auto"/>
        </w:rPr>
        <w:t>To take any other actions deemed necessary or advisable for the administration of the Plan.</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1" w:name="page12"/>
    <w:bookmarkEnd w:id="11"/>
    <w:p>
      <w:pPr>
        <w:jc w:val="both"/>
        <w:spacing w:after="0" w:line="302" w:lineRule="auto"/>
        <w:rPr>
          <w:sz w:val="20"/>
          <w:szCs w:val="20"/>
          <w:color w:val="auto"/>
        </w:rPr>
      </w:pPr>
      <w:r>
        <w:rPr>
          <w:rFonts w:ascii="Arial" w:cs="Arial" w:eastAsia="Arial" w:hAnsi="Arial"/>
          <w:sz w:val="19"/>
          <w:szCs w:val="19"/>
          <w:color w:val="auto"/>
        </w:rPr>
        <w:t>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4. </w:t>
      </w:r>
      <w:r>
        <w:rPr>
          <w:rFonts w:ascii="Arial" w:cs="Arial" w:eastAsia="Arial" w:hAnsi="Arial"/>
          <w:sz w:val="22"/>
          <w:szCs w:val="22"/>
          <w:b w:val="1"/>
          <w:bCs w:val="1"/>
          <w:color w:val="000000"/>
        </w:rPr>
        <w:t>ELIGIBILITY.</w:t>
      </w:r>
    </w:p>
    <w:p>
      <w:pPr>
        <w:spacing w:after="0" w:line="226" w:lineRule="exact"/>
        <w:rPr>
          <w:sz w:val="20"/>
          <w:szCs w:val="20"/>
          <w:color w:val="auto"/>
        </w:rPr>
      </w:pPr>
    </w:p>
    <w:p>
      <w:pPr>
        <w:ind w:firstLine="656"/>
        <w:spacing w:after="0" w:line="287" w:lineRule="auto"/>
        <w:tabs>
          <w:tab w:leader="none" w:pos="1158" w:val="left"/>
        </w:tabs>
        <w:numPr>
          <w:ilvl w:val="0"/>
          <w:numId w:val="12"/>
        </w:numPr>
        <w:rPr>
          <w:rFonts w:ascii="Arial" w:cs="Arial" w:eastAsia="Arial" w:hAnsi="Arial"/>
          <w:sz w:val="21"/>
          <w:szCs w:val="21"/>
          <w:color w:val="010000"/>
        </w:rPr>
      </w:pPr>
      <w:r>
        <w:rPr>
          <w:rFonts w:ascii="Arial" w:cs="Arial" w:eastAsia="Arial" w:hAnsi="Arial"/>
          <w:sz w:val="21"/>
          <w:szCs w:val="21"/>
          <w:u w:val="single" w:color="auto"/>
          <w:color w:val="auto"/>
        </w:rPr>
        <w:t>General Rule</w:t>
      </w:r>
      <w:r>
        <w:rPr>
          <w:rFonts w:ascii="Arial" w:cs="Arial" w:eastAsia="Arial" w:hAnsi="Arial"/>
          <w:sz w:val="21"/>
          <w:szCs w:val="21"/>
          <w:color w:val="auto"/>
        </w:rPr>
        <w:t>. Only Employees, Consultants and Outside Directors shall be eligible for the grant of Awards. Only common-law employees of the Company, a Parent or a Subsidiary shall be eligible for the grant of ISOs.</w:t>
      </w:r>
    </w:p>
    <w:p>
      <w:pPr>
        <w:spacing w:after="0" w:line="151" w:lineRule="exact"/>
        <w:rPr>
          <w:rFonts w:ascii="Arial" w:cs="Arial" w:eastAsia="Arial" w:hAnsi="Arial"/>
          <w:sz w:val="21"/>
          <w:szCs w:val="21"/>
          <w:color w:val="010000"/>
        </w:rPr>
      </w:pPr>
    </w:p>
    <w:p>
      <w:pPr>
        <w:ind w:left="1120" w:hanging="464"/>
        <w:spacing w:after="0"/>
        <w:tabs>
          <w:tab w:leader="none" w:pos="1120" w:val="left"/>
        </w:tabs>
        <w:numPr>
          <w:ilvl w:val="0"/>
          <w:numId w:val="12"/>
        </w:numPr>
        <w:rPr>
          <w:rFonts w:ascii="Arial" w:cs="Arial" w:eastAsia="Arial" w:hAnsi="Arial"/>
          <w:sz w:val="22"/>
          <w:szCs w:val="22"/>
          <w:color w:val="010000"/>
        </w:rPr>
      </w:pPr>
      <w:r>
        <w:rPr>
          <w:rFonts w:ascii="Arial" w:cs="Arial" w:eastAsia="Arial" w:hAnsi="Arial"/>
          <w:sz w:val="22"/>
          <w:szCs w:val="22"/>
          <w:u w:val="single" w:color="auto"/>
          <w:color w:val="auto"/>
        </w:rPr>
        <w:t>Automatic Grants to Outside Directors; Calendar Year Limitation for Outside Directors</w:t>
      </w:r>
      <w:r>
        <w:rPr>
          <w:rFonts w:ascii="Arial" w:cs="Arial" w:eastAsia="Arial" w:hAnsi="Arial"/>
          <w:sz w:val="22"/>
          <w:szCs w:val="22"/>
          <w:i w:val="1"/>
          <w:iCs w:val="1"/>
          <w:color w:val="auto"/>
        </w:rPr>
        <w:t>.</w:t>
      </w:r>
    </w:p>
    <w:p>
      <w:pPr>
        <w:spacing w:after="0" w:line="219" w:lineRule="exact"/>
        <w:rPr>
          <w:rFonts w:ascii="Arial" w:cs="Arial" w:eastAsia="Arial" w:hAnsi="Arial"/>
          <w:sz w:val="22"/>
          <w:szCs w:val="22"/>
          <w:color w:val="010000"/>
        </w:rPr>
      </w:pPr>
    </w:p>
    <w:p>
      <w:pPr>
        <w:jc w:val="both"/>
        <w:ind w:firstLine="1304"/>
        <w:spacing w:after="0" w:line="292" w:lineRule="auto"/>
        <w:tabs>
          <w:tab w:leader="none" w:pos="1743" w:val="left"/>
        </w:tabs>
        <w:numPr>
          <w:ilvl w:val="1"/>
          <w:numId w:val="12"/>
        </w:numPr>
        <w:rPr>
          <w:rFonts w:ascii="Arial" w:cs="Arial" w:eastAsia="Arial" w:hAnsi="Arial"/>
          <w:sz w:val="19"/>
          <w:szCs w:val="19"/>
          <w:color w:val="010000"/>
        </w:rPr>
      </w:pPr>
      <w:r>
        <w:rPr>
          <w:rFonts w:ascii="Arial" w:cs="Arial" w:eastAsia="Arial" w:hAnsi="Arial"/>
          <w:sz w:val="19"/>
          <w:szCs w:val="19"/>
          <w:color w:val="auto"/>
        </w:rPr>
        <w:t>Each Outside Director who first joins the Board of Directors on or after the Amendment Date, and who was not previously an Employee, shall receive on the date of his or her election to the Board of Directors an Award of Stock Units to acquire such number of Shares equal to $600,000 divided by the closing price per Share on the date of his or election to the Board of Directors (subject to adjustment under Section 12). Stock Units granted under this Section 4(b)(i) shall vest as follows: one-third (1/3) of the Shares subject to each Award of Stock Units granted under this Section 4(b)(i) shall vest on each of the first, second and third annual anniversaries of the date of grant. Notwithstanding the foregoing, each such Award of Stock Units shall become vested in full if a Change in Control occurs with respect to the Company during the Participant’s Service.</w:t>
      </w:r>
    </w:p>
    <w:p>
      <w:pPr>
        <w:spacing w:after="0" w:line="150" w:lineRule="exact"/>
        <w:rPr>
          <w:rFonts w:ascii="Arial" w:cs="Arial" w:eastAsia="Arial" w:hAnsi="Arial"/>
          <w:sz w:val="19"/>
          <w:szCs w:val="19"/>
          <w:color w:val="010000"/>
        </w:rPr>
      </w:pPr>
    </w:p>
    <w:p>
      <w:pPr>
        <w:jc w:val="both"/>
        <w:ind w:firstLine="1304"/>
        <w:spacing w:after="0" w:line="258" w:lineRule="auto"/>
        <w:tabs>
          <w:tab w:leader="none" w:pos="1938" w:val="left"/>
        </w:tabs>
        <w:numPr>
          <w:ilvl w:val="1"/>
          <w:numId w:val="12"/>
        </w:numPr>
        <w:rPr>
          <w:rFonts w:ascii="Arial" w:cs="Arial" w:eastAsia="Arial" w:hAnsi="Arial"/>
          <w:sz w:val="21"/>
          <w:szCs w:val="21"/>
          <w:color w:val="010000"/>
        </w:rPr>
      </w:pPr>
      <w:r>
        <w:rPr>
          <w:rFonts w:ascii="Arial" w:cs="Arial" w:eastAsia="Arial" w:hAnsi="Arial"/>
          <w:sz w:val="21"/>
          <w:szCs w:val="21"/>
          <w:color w:val="auto"/>
        </w:rPr>
        <w:t>On the first business day following the conclusion of each regular annual meeting of the Company’s stockholders, commencing with the annual meeting occurring after the Amendment Date, each Outside Director who was not elected to the Board for the first time at such meeting and who will continue serving as a member of the Board of Directors thereafter shall receive an Award of Stock Units to acquire such number of Shares equal to $300,000 divided by the closing price per Share on such date (subject to adjustment under Section 12), provided that such Outside Director has served on the Board of Directors for at least six months as of such date. Each Award of Stock Units granted under this Section 4(b)(ii) shall vest on the first anniversary of the date of grant; provided, however, that each such Award of Stock Units shall become vested in full immediately prior to the next regular annual meeting of the Company’s stockholders following such date of grant in the event such meeting occurs prior to such first anniversary date. Notwithstanding the foregoing, each Award of Stock Units granted under this Section 4(b)(ii) shall become vested in full if a Change in Control occurs with respect to the Company during the Participant’s Service.</w:t>
      </w:r>
    </w:p>
    <w:p>
      <w:pPr>
        <w:spacing w:after="0" w:line="181" w:lineRule="exact"/>
        <w:rPr>
          <w:rFonts w:ascii="Arial" w:cs="Arial" w:eastAsia="Arial" w:hAnsi="Arial"/>
          <w:sz w:val="21"/>
          <w:szCs w:val="21"/>
          <w:color w:val="010000"/>
        </w:rPr>
      </w:pPr>
    </w:p>
    <w:p>
      <w:pPr>
        <w:jc w:val="both"/>
        <w:ind w:firstLine="1304"/>
        <w:spacing w:after="0" w:line="253" w:lineRule="auto"/>
        <w:tabs>
          <w:tab w:leader="none" w:pos="1930" w:val="left"/>
        </w:tabs>
        <w:numPr>
          <w:ilvl w:val="1"/>
          <w:numId w:val="12"/>
        </w:numPr>
        <w:rPr>
          <w:rFonts w:ascii="Arial" w:cs="Arial" w:eastAsia="Arial" w:hAnsi="Arial"/>
          <w:sz w:val="22"/>
          <w:szCs w:val="22"/>
          <w:color w:val="010000"/>
        </w:rPr>
      </w:pPr>
      <w:r>
        <w:rPr>
          <w:rFonts w:ascii="Arial" w:cs="Arial" w:eastAsia="Arial" w:hAnsi="Arial"/>
          <w:sz w:val="22"/>
          <w:szCs w:val="22"/>
          <w:color w:val="auto"/>
        </w:rPr>
        <w:t>The Exercise Price of all Nonstatutory Options (if applicable) granted to an Outside Director under this Section 4(b) shall be equal to 100% of the Fair Market Value of a Share on the date of grant, payable in one of the forms described in Section 8(a), (b), (d), (e), (f) or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2" w:name="page13"/>
    <w:bookmarkEnd w:id="12"/>
    <w:p>
      <w:pPr>
        <w:jc w:val="both"/>
        <w:ind w:firstLine="1304"/>
        <w:spacing w:after="0" w:line="248" w:lineRule="auto"/>
        <w:tabs>
          <w:tab w:leader="none" w:pos="1918" w:val="left"/>
        </w:tabs>
        <w:numPr>
          <w:ilvl w:val="1"/>
          <w:numId w:val="13"/>
        </w:numPr>
        <w:rPr>
          <w:rFonts w:ascii="Arial" w:cs="Arial" w:eastAsia="Arial" w:hAnsi="Arial"/>
          <w:sz w:val="22"/>
          <w:szCs w:val="22"/>
          <w:color w:val="010000"/>
        </w:rPr>
      </w:pPr>
      <w:r>
        <w:rPr>
          <w:rFonts w:ascii="Arial" w:cs="Arial" w:eastAsia="Arial" w:hAnsi="Arial"/>
          <w:sz w:val="22"/>
          <w:szCs w:val="22"/>
          <w:color w:val="auto"/>
        </w:rPr>
        <w:t>All Awards of Stock Units granted to an Outside Director under this Section 4(b) shall terminate on the earlier of (A) the day before the tenth anniversary of the date of grant of such Award or (B) the date on which the Award of Stock Units is settled in full; provided, however, that any such Awards of Stock Units that are not vested upon the termination of the Outside Director’s Service as a member of the Board of Directors for any reason shall terminate immediately and will not be settled.</w:t>
      </w:r>
    </w:p>
    <w:p>
      <w:pPr>
        <w:spacing w:after="0" w:line="191" w:lineRule="exact"/>
        <w:rPr>
          <w:rFonts w:ascii="Arial" w:cs="Arial" w:eastAsia="Arial" w:hAnsi="Arial"/>
          <w:sz w:val="22"/>
          <w:szCs w:val="22"/>
          <w:color w:val="010000"/>
        </w:rPr>
      </w:pPr>
    </w:p>
    <w:p>
      <w:pPr>
        <w:jc w:val="both"/>
        <w:ind w:firstLine="1304"/>
        <w:spacing w:after="0" w:line="250" w:lineRule="auto"/>
        <w:tabs>
          <w:tab w:leader="none" w:pos="1858" w:val="left"/>
        </w:tabs>
        <w:numPr>
          <w:ilvl w:val="1"/>
          <w:numId w:val="13"/>
        </w:numPr>
        <w:rPr>
          <w:rFonts w:ascii="Arial" w:cs="Arial" w:eastAsia="Arial" w:hAnsi="Arial"/>
          <w:sz w:val="22"/>
          <w:szCs w:val="22"/>
          <w:color w:val="010000"/>
        </w:rPr>
      </w:pPr>
      <w:r>
        <w:rPr>
          <w:rFonts w:ascii="Arial" w:cs="Arial" w:eastAsia="Arial" w:hAnsi="Arial"/>
          <w:sz w:val="22"/>
          <w:szCs w:val="22"/>
          <w:color w:val="auto"/>
        </w:rPr>
        <w:t>The Board of Directors or the Committee in its discretion may change and otherwise revise the terms of Awards granted to Outside Directors under this Section 4(b), including, without limitation, the number of Shares subject thereto, the type of Award to be granted under this Section 4(b), for Options or other Awards granted on or after the date the Board of Directors or Committee determines to make any such change or revision.</w:t>
      </w:r>
    </w:p>
    <w:p>
      <w:pPr>
        <w:spacing w:after="0" w:line="187" w:lineRule="exact"/>
        <w:rPr>
          <w:rFonts w:ascii="Arial" w:cs="Arial" w:eastAsia="Arial" w:hAnsi="Arial"/>
          <w:sz w:val="22"/>
          <w:szCs w:val="22"/>
          <w:color w:val="010000"/>
        </w:rPr>
      </w:pPr>
    </w:p>
    <w:p>
      <w:pPr>
        <w:jc w:val="both"/>
        <w:ind w:firstLine="1304"/>
        <w:spacing w:after="0" w:line="287" w:lineRule="auto"/>
        <w:tabs>
          <w:tab w:leader="none" w:pos="1932" w:val="left"/>
        </w:tabs>
        <w:numPr>
          <w:ilvl w:val="1"/>
          <w:numId w:val="13"/>
        </w:numPr>
        <w:rPr>
          <w:rFonts w:ascii="Arial" w:cs="Arial" w:eastAsia="Arial" w:hAnsi="Arial"/>
          <w:sz w:val="19"/>
          <w:szCs w:val="19"/>
          <w:color w:val="010000"/>
        </w:rPr>
      </w:pPr>
      <w:r>
        <w:rPr>
          <w:rFonts w:ascii="Arial" w:cs="Arial" w:eastAsia="Arial" w:hAnsi="Arial"/>
          <w:sz w:val="19"/>
          <w:szCs w:val="19"/>
          <w:color w:val="auto"/>
        </w:rPr>
        <w:t>No Outside Director may receive Awards under the Plan that, when combined with cash compensation received for service as an Outside Director, exceeds $750,000 in value (as described below) in any calendar year, which amount shall instead be $1,500,000 in value (as described below) in the calendar year in which such Outside Director first joins the Board of Directors. The value of Awards for purposes of complying with this maximum will be determined as follows: (a) for Options and SARs, the value will be calculated using the Black-Scholes valuation methodology or the Company’s regular valuation methodology for determining the grant date fair value of Options and SARs for reporting purposes, and (b) for all Awards other than Options and SARs, the value will be determined by either (i) calculating the product of the Fair Market Value per 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an Outside Director will not count for purposes of the limitations set forth in this Section 4(b)(vi).</w:t>
      </w:r>
    </w:p>
    <w:p>
      <w:pPr>
        <w:spacing w:after="0" w:line="163" w:lineRule="exact"/>
        <w:rPr>
          <w:rFonts w:ascii="Arial" w:cs="Arial" w:eastAsia="Arial" w:hAnsi="Arial"/>
          <w:sz w:val="19"/>
          <w:szCs w:val="19"/>
          <w:color w:val="010000"/>
        </w:rPr>
      </w:pPr>
    </w:p>
    <w:p>
      <w:pPr>
        <w:jc w:val="both"/>
        <w:ind w:firstLine="656"/>
        <w:spacing w:after="0" w:line="253" w:lineRule="auto"/>
        <w:tabs>
          <w:tab w:leader="none" w:pos="1104" w:val="left"/>
        </w:tabs>
        <w:numPr>
          <w:ilvl w:val="0"/>
          <w:numId w:val="14"/>
        </w:numPr>
        <w:rPr>
          <w:rFonts w:ascii="Arial" w:cs="Arial" w:eastAsia="Arial" w:hAnsi="Arial"/>
          <w:sz w:val="22"/>
          <w:szCs w:val="22"/>
          <w:color w:val="010000"/>
        </w:rPr>
      </w:pPr>
      <w:r>
        <w:rPr>
          <w:rFonts w:ascii="Arial" w:cs="Arial" w:eastAsia="Arial" w:hAnsi="Arial"/>
          <w:sz w:val="22"/>
          <w:szCs w:val="22"/>
          <w:u w:val="single" w:color="auto"/>
          <w:color w:val="auto"/>
        </w:rPr>
        <w:t>Ten-Percent Stockholders</w:t>
      </w:r>
      <w:r>
        <w:rPr>
          <w:rFonts w:ascii="Arial" w:cs="Arial" w:eastAsia="Arial" w:hAnsi="Arial"/>
          <w:sz w:val="22"/>
          <w:szCs w:val="22"/>
          <w:color w:val="auto"/>
        </w:rPr>
        <w:t>. An Employee who owns more than 10% of the total combined voting power of all classes of outstanding stock of the Company, a Parent or Subsidiary shall not be eligible for the grant of an ISO unless such grant satisfies the requirements of Section 422(c)(5) of the Code.</w:t>
      </w:r>
    </w:p>
    <w:p>
      <w:pPr>
        <w:spacing w:after="0" w:line="185" w:lineRule="exact"/>
        <w:rPr>
          <w:rFonts w:ascii="Arial" w:cs="Arial" w:eastAsia="Arial" w:hAnsi="Arial"/>
          <w:sz w:val="22"/>
          <w:szCs w:val="22"/>
          <w:color w:val="010000"/>
        </w:rPr>
      </w:pPr>
    </w:p>
    <w:p>
      <w:pPr>
        <w:jc w:val="both"/>
        <w:ind w:right="20" w:firstLine="656"/>
        <w:spacing w:after="0" w:line="250" w:lineRule="auto"/>
        <w:tabs>
          <w:tab w:leader="none" w:pos="1251" w:val="left"/>
        </w:tabs>
        <w:numPr>
          <w:ilvl w:val="0"/>
          <w:numId w:val="14"/>
        </w:numPr>
        <w:rPr>
          <w:rFonts w:ascii="Arial" w:cs="Arial" w:eastAsia="Arial" w:hAnsi="Arial"/>
          <w:sz w:val="22"/>
          <w:szCs w:val="22"/>
          <w:color w:val="010000"/>
        </w:rPr>
      </w:pPr>
      <w:r>
        <w:rPr>
          <w:rFonts w:ascii="Arial" w:cs="Arial" w:eastAsia="Arial" w:hAnsi="Arial"/>
          <w:sz w:val="22"/>
          <w:szCs w:val="22"/>
          <w:u w:val="single" w:color="auto"/>
          <w:color w:val="auto"/>
        </w:rPr>
        <w:t>Attribution Rules</w:t>
      </w:r>
      <w:r>
        <w:rPr>
          <w:rFonts w:ascii="Arial" w:cs="Arial" w:eastAsia="Arial" w:hAnsi="Arial"/>
          <w:sz w:val="22"/>
          <w:szCs w:val="22"/>
          <w:color w:val="auto"/>
        </w:rPr>
        <w:t>. For purposes of Section 4(c) above, in determining stock ownership, an Employee shall be deemed to own 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187" w:lineRule="exact"/>
        <w:rPr>
          <w:rFonts w:ascii="Arial" w:cs="Arial" w:eastAsia="Arial" w:hAnsi="Arial"/>
          <w:sz w:val="22"/>
          <w:szCs w:val="22"/>
          <w:color w:val="010000"/>
        </w:rPr>
      </w:pPr>
    </w:p>
    <w:p>
      <w:pPr>
        <w:jc w:val="both"/>
        <w:ind w:right="20" w:firstLine="656"/>
        <w:spacing w:after="0" w:line="253" w:lineRule="auto"/>
        <w:tabs>
          <w:tab w:leader="none" w:pos="1158" w:val="left"/>
        </w:tabs>
        <w:numPr>
          <w:ilvl w:val="0"/>
          <w:numId w:val="14"/>
        </w:numPr>
        <w:rPr>
          <w:rFonts w:ascii="Arial" w:cs="Arial" w:eastAsia="Arial" w:hAnsi="Arial"/>
          <w:sz w:val="22"/>
          <w:szCs w:val="22"/>
          <w:color w:val="010000"/>
        </w:rPr>
      </w:pPr>
      <w:r>
        <w:rPr>
          <w:rFonts w:ascii="Arial" w:cs="Arial" w:eastAsia="Arial" w:hAnsi="Arial"/>
          <w:sz w:val="22"/>
          <w:szCs w:val="22"/>
          <w:u w:val="single" w:color="auto"/>
          <w:color w:val="auto"/>
        </w:rPr>
        <w:t>Outstanding Stock</w:t>
      </w:r>
      <w:r>
        <w:rPr>
          <w:rFonts w:ascii="Arial" w:cs="Arial" w:eastAsia="Arial" w:hAnsi="Arial"/>
          <w:sz w:val="22"/>
          <w:szCs w:val="22"/>
          <w:color w:val="auto"/>
        </w:rPr>
        <w:t>. For purposes of Section 4(c) above, “outstanding stock” shall include all stock actually issued and outstanding immediately after the grant. “Outstanding stock” shall not include shares authorized for issuance under outstanding options held by the Employee or by any 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28" w:right="339" w:bottom="1440" w:gutter="0" w:footer="0" w:header="0"/>
        </w:sectPr>
      </w:pPr>
    </w:p>
    <w:bookmarkStart w:id="13" w:name="page14"/>
    <w:bookmarkEnd w:id="13"/>
    <w:p>
      <w:pPr>
        <w:spacing w:after="0"/>
        <w:rPr>
          <w:sz w:val="20"/>
          <w:szCs w:val="20"/>
          <w:color w:val="auto"/>
        </w:rPr>
      </w:pPr>
      <w:r>
        <w:rPr>
          <w:rFonts w:ascii="Arial" w:cs="Arial" w:eastAsia="Arial" w:hAnsi="Arial"/>
          <w:sz w:val="22"/>
          <w:szCs w:val="22"/>
          <w:b w:val="1"/>
          <w:bCs w:val="1"/>
          <w:color w:val="010000"/>
        </w:rPr>
        <w:t xml:space="preserve">Section 5. </w:t>
      </w:r>
      <w:r>
        <w:rPr>
          <w:rFonts w:ascii="Arial" w:cs="Arial" w:eastAsia="Arial" w:hAnsi="Arial"/>
          <w:sz w:val="22"/>
          <w:szCs w:val="22"/>
          <w:b w:val="1"/>
          <w:bCs w:val="1"/>
          <w:color w:val="000000"/>
        </w:rPr>
        <w:t>STOCK SUBJECT TO PLAN.</w:t>
      </w:r>
    </w:p>
    <w:p>
      <w:pPr>
        <w:spacing w:after="0" w:line="226" w:lineRule="exact"/>
        <w:rPr>
          <w:sz w:val="20"/>
          <w:szCs w:val="20"/>
          <w:color w:val="auto"/>
        </w:rPr>
      </w:pPr>
    </w:p>
    <w:p>
      <w:pPr>
        <w:jc w:val="both"/>
        <w:ind w:firstLine="656"/>
        <w:spacing w:after="0" w:line="285" w:lineRule="auto"/>
        <w:tabs>
          <w:tab w:leader="none" w:pos="1198" w:val="left"/>
        </w:tabs>
        <w:numPr>
          <w:ilvl w:val="0"/>
          <w:numId w:val="15"/>
        </w:numPr>
        <w:rPr>
          <w:rFonts w:ascii="Arial" w:cs="Arial" w:eastAsia="Arial" w:hAnsi="Arial"/>
          <w:sz w:val="19"/>
          <w:szCs w:val="19"/>
          <w:color w:val="010000"/>
        </w:rPr>
      </w:pPr>
      <w:r>
        <w:rPr>
          <w:rFonts w:ascii="Arial" w:cs="Arial" w:eastAsia="Arial" w:hAnsi="Arial"/>
          <w:sz w:val="19"/>
          <w:szCs w:val="19"/>
          <w:u w:val="single" w:color="auto"/>
          <w:color w:val="auto"/>
        </w:rPr>
        <w:t>Basic Limitation</w:t>
      </w:r>
      <w:r>
        <w:rPr>
          <w:rFonts w:ascii="Arial" w:cs="Arial" w:eastAsia="Arial" w:hAnsi="Arial"/>
          <w:sz w:val="19"/>
          <w:szCs w:val="19"/>
          <w:color w:val="auto"/>
        </w:rPr>
        <w:t>. Shares offered under the Plan shall be authorized but unissued Shares or treasury Shares. The aggregate number of Shares authorized for issuance as Awards under the Plan shall not exceed the sum of (x) 1,700,000 Shares, plus (y) the sum of the number of Shares subject to outstanding awards under the Company’s 2008 Stock Plan (the “Predecessor Plan”) on the Effective Date that are subsequently forfeited or terminated for any reason before being exercised or settled, plus the number of Shares subject to vesting restrictions under the Predecessor Plan on the Effective Date that are subsequently forfeited, plus the number of reserved Shares not issued or subject to outstanding grants under the Predecessor Plan on the Effective Date, plus (z) an annual increase on the first day of each fiscal year, for a period of not more than ten years, beginning on January 1, 2014, and ending on (and including) January 1, 2023, in an amount equal to the lesser of (i) 4% of the outstanding Shares on the last day of the immediately preceding fiscal or (ii) if the Board acts prior to the first day of the fiscal year, such lesser amount (including zero) that the Board determines for purposes of the annual increase for that fiscal year. Notwithstanding the foregoing, the number of Shares that may be delivered in the aggregate pursuant to the exercise of ISOs granted under the Plan shall not exceed 9,500,000 Shares plus, to the extent allowable under Section 422 of the Code and the Treasury Regulations promulgated thereunder, any Shares that become available for issuance under the Plan pursuant to Section 5(c). The limitations of this Section 5(a) shall be subject to adjustment pursuant to Section 12.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14" w:lineRule="exact"/>
        <w:rPr>
          <w:rFonts w:ascii="Arial" w:cs="Arial" w:eastAsia="Arial" w:hAnsi="Arial"/>
          <w:sz w:val="19"/>
          <w:szCs w:val="19"/>
          <w:color w:val="010000"/>
        </w:rPr>
      </w:pPr>
    </w:p>
    <w:p>
      <w:pPr>
        <w:jc w:val="both"/>
        <w:ind w:firstLine="656"/>
        <w:spacing w:after="0" w:line="258" w:lineRule="auto"/>
        <w:tabs>
          <w:tab w:leader="none" w:pos="1318" w:val="left"/>
        </w:tabs>
        <w:numPr>
          <w:ilvl w:val="0"/>
          <w:numId w:val="15"/>
        </w:numPr>
        <w:rPr>
          <w:rFonts w:ascii="Arial" w:cs="Arial" w:eastAsia="Arial" w:hAnsi="Arial"/>
          <w:sz w:val="21"/>
          <w:szCs w:val="21"/>
          <w:color w:val="010000"/>
        </w:rPr>
      </w:pPr>
      <w:r>
        <w:rPr>
          <w:rFonts w:ascii="Arial" w:cs="Arial" w:eastAsia="Arial" w:hAnsi="Arial"/>
          <w:sz w:val="21"/>
          <w:szCs w:val="21"/>
          <w:u w:val="single" w:color="auto"/>
          <w:color w:val="auto"/>
        </w:rPr>
        <w:t>Section 162(m) Award Limitation</w:t>
      </w:r>
      <w:r>
        <w:rPr>
          <w:rFonts w:ascii="Arial" w:cs="Arial" w:eastAsia="Arial" w:hAnsi="Arial"/>
          <w:sz w:val="21"/>
          <w:szCs w:val="21"/>
          <w:color w:val="auto"/>
        </w:rPr>
        <w:t>. Notwithstanding any contrary provisions of the Plan, and subject to the provisions of Section 12, during any time when the transition period relief under Treasury Regulation Section 1.162-27(f)(2) has lapsed or does not apply, and with respect to any Option or SAR intended to qualify as “performance-based compensation” under Section 162(m) of the Code, no Participant eligible for an Award may receive Options or SARs under the Plan in any calendar year that relate to an aggregate of more than 1,000,000 Shares, and no more than two times this amount in the first year of employment. To the extent required by Section 162(m) of the Code or the regulations thereunder, in applying the foregoing limitation with respect to a Participant, if any Option or SAR is canceled, the canceled Option or SAR shall continue to count against the maximum number of Shares with respect to which Options and SARs may be granted to the Participant. For this purpose, the repricing of an Option or SAR shall be treated as the cancellation of the existing Option or SAR and the grant of a new Option or SAR.</w:t>
      </w:r>
    </w:p>
    <w:p>
      <w:pPr>
        <w:spacing w:after="0" w:line="131" w:lineRule="exact"/>
        <w:rPr>
          <w:rFonts w:ascii="Arial" w:cs="Arial" w:eastAsia="Arial" w:hAnsi="Arial"/>
          <w:sz w:val="21"/>
          <w:szCs w:val="21"/>
          <w:color w:val="010000"/>
        </w:rPr>
      </w:pPr>
    </w:p>
    <w:p>
      <w:pPr>
        <w:jc w:val="both"/>
        <w:ind w:firstLine="656"/>
        <w:spacing w:after="0" w:line="247" w:lineRule="auto"/>
        <w:tabs>
          <w:tab w:leader="none" w:pos="1117" w:val="left"/>
        </w:tabs>
        <w:numPr>
          <w:ilvl w:val="0"/>
          <w:numId w:val="15"/>
        </w:numPr>
        <w:rPr>
          <w:rFonts w:ascii="Arial" w:cs="Arial" w:eastAsia="Arial" w:hAnsi="Arial"/>
          <w:sz w:val="22"/>
          <w:szCs w:val="22"/>
          <w:color w:val="010000"/>
        </w:rPr>
      </w:pPr>
      <w:r>
        <w:rPr>
          <w:rFonts w:ascii="Arial" w:cs="Arial" w:eastAsia="Arial" w:hAnsi="Arial"/>
          <w:sz w:val="22"/>
          <w:szCs w:val="22"/>
          <w:u w:val="single" w:color="auto"/>
          <w:color w:val="auto"/>
        </w:rPr>
        <w:t>Additional Shares</w:t>
      </w:r>
      <w:r>
        <w:rPr>
          <w:rFonts w:ascii="Arial" w:cs="Arial" w:eastAsia="Arial" w:hAnsi="Arial"/>
          <w:sz w:val="22"/>
          <w:szCs w:val="22"/>
          <w:color w:val="auto"/>
        </w:rPr>
        <w:t xml:space="preserve">. If Restricted Shares or Shares issued upon the exercise of Options are forfeited, then such Shares shall again become available for Awards under the Plan. If Stock Units, Options or SARs are forfeited or terminate for any reason before being exercised or settled, or an Award is settled in cash without the delivery of Shares to the holder, then any Shares subject to the Award shall again become available for Awards under the Plan. Only the number of </w:t>
      </w:r>
      <w:r>
        <w:rPr>
          <w:rFonts w:ascii="Arial" w:cs="Arial" w:eastAsia="Arial" w:hAnsi="Arial"/>
          <w:sz w:val="22"/>
          <w:szCs w:val="22"/>
          <w:i w:val="1"/>
          <w:iCs w:val="1"/>
          <w:color w:val="auto"/>
        </w:rPr>
        <w:t>Shares</w:t>
      </w:r>
      <w:r>
        <w:rPr>
          <w:rFonts w:ascii="Arial" w:cs="Arial" w:eastAsia="Arial" w:hAnsi="Arial"/>
          <w:sz w:val="22"/>
          <w:szCs w:val="22"/>
          <w:color w:val="auto"/>
        </w:rPr>
        <w:t xml:space="preserve"> (if any) actually issued in settlement of Awards (and not forfeited) shall reduce the number available in Section 5(a) and the balance shall again become available for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22" w:right="339" w:bottom="1440" w:gutter="0" w:footer="0" w:header="0"/>
        </w:sectPr>
      </w:pPr>
    </w:p>
    <w:bookmarkStart w:id="14" w:name="page15"/>
    <w:bookmarkEnd w:id="14"/>
    <w:p>
      <w:pPr>
        <w:jc w:val="both"/>
        <w:spacing w:after="0" w:line="250" w:lineRule="auto"/>
        <w:rPr>
          <w:sz w:val="20"/>
          <w:szCs w:val="20"/>
          <w:color w:val="auto"/>
        </w:rPr>
      </w:pPr>
      <w:r>
        <w:rPr>
          <w:rFonts w:ascii="Arial" w:cs="Arial" w:eastAsia="Arial" w:hAnsi="Arial"/>
          <w:sz w:val="22"/>
          <w:szCs w:val="22"/>
          <w:color w:val="auto"/>
        </w:rPr>
        <w:t>under the Plan. Any Shares withheld to satisfy the grant or exercise price or tax withholding obligation pursuant to any Award shall again become available for Awards under the Plan. Notwithstanding the foregoing provisions of this Section 5(c), Shares that have actually been issued shall not again become available for Awards under the Plan, except for Shares that are forfeited and do not become vested.</w:t>
      </w:r>
    </w:p>
    <w:p>
      <w:pPr>
        <w:spacing w:after="0" w:line="134" w:lineRule="exact"/>
        <w:rPr>
          <w:sz w:val="20"/>
          <w:szCs w:val="20"/>
          <w:color w:val="auto"/>
        </w:rPr>
      </w:pPr>
    </w:p>
    <w:p>
      <w:pPr>
        <w:jc w:val="both"/>
        <w:ind w:firstLine="656"/>
        <w:spacing w:after="0" w:line="246" w:lineRule="auto"/>
        <w:tabs>
          <w:tab w:leader="none" w:pos="1305" w:val="left"/>
        </w:tabs>
        <w:numPr>
          <w:ilvl w:val="0"/>
          <w:numId w:val="16"/>
        </w:numPr>
        <w:rPr>
          <w:rFonts w:ascii="Arial" w:cs="Arial" w:eastAsia="Arial" w:hAnsi="Arial"/>
          <w:sz w:val="22"/>
          <w:szCs w:val="22"/>
          <w:color w:val="010000"/>
        </w:rPr>
      </w:pPr>
      <w:r>
        <w:rPr>
          <w:rFonts w:ascii="Arial" w:cs="Arial" w:eastAsia="Arial" w:hAnsi="Arial"/>
          <w:sz w:val="22"/>
          <w:szCs w:val="22"/>
          <w:u w:val="single" w:color="auto"/>
          <w:color w:val="auto"/>
        </w:rPr>
        <w:t>Substitution and Assumption of Awards</w:t>
      </w:r>
      <w:r>
        <w:rPr>
          <w:rFonts w:ascii="Arial" w:cs="Arial" w:eastAsia="Arial" w:hAnsi="Arial"/>
          <w:sz w:val="22"/>
          <w:szCs w:val="22"/>
          <w:color w:val="auto"/>
        </w:rPr>
        <w:t xml:space="preserve">. The Committee may make Awards under the Plan by assumption, substitution or </w:t>
      </w:r>
      <w:r>
        <w:rPr>
          <w:rFonts w:ascii="Arial" w:cs="Arial" w:eastAsia="Arial" w:hAnsi="Arial"/>
          <w:sz w:val="22"/>
          <w:szCs w:val="22"/>
          <w:i w:val="1"/>
          <w:iCs w:val="1"/>
          <w:color w:val="auto"/>
        </w:rPr>
        <w:t>replacement</w:t>
      </w:r>
      <w:r>
        <w:rPr>
          <w:rFonts w:ascii="Arial" w:cs="Arial" w:eastAsia="Arial" w:hAnsi="Arial"/>
          <w:sz w:val="22"/>
          <w:szCs w:val="22"/>
          <w:color w:val="auto"/>
        </w:rPr>
        <w:t xml:space="preserve"> of stock 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Any such substitute or assumed Awards shall not count against the Share limitation set forth in Section 5(a).</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6. </w:t>
      </w:r>
      <w:r>
        <w:rPr>
          <w:rFonts w:ascii="Arial" w:cs="Arial" w:eastAsia="Arial" w:hAnsi="Arial"/>
          <w:sz w:val="22"/>
          <w:szCs w:val="22"/>
          <w:b w:val="1"/>
          <w:bCs w:val="1"/>
          <w:color w:val="000000"/>
        </w:rPr>
        <w:t>RESTRICTED SHARES.</w:t>
      </w:r>
    </w:p>
    <w:p>
      <w:pPr>
        <w:spacing w:after="0" w:line="226" w:lineRule="exact"/>
        <w:rPr>
          <w:sz w:val="20"/>
          <w:szCs w:val="20"/>
          <w:color w:val="auto"/>
        </w:rPr>
      </w:pPr>
    </w:p>
    <w:p>
      <w:pPr>
        <w:jc w:val="both"/>
        <w:ind w:firstLine="656"/>
        <w:spacing w:after="0" w:line="265" w:lineRule="auto"/>
        <w:tabs>
          <w:tab w:leader="none" w:pos="1266" w:val="left"/>
        </w:tabs>
        <w:numPr>
          <w:ilvl w:val="0"/>
          <w:numId w:val="17"/>
        </w:numPr>
        <w:rPr>
          <w:rFonts w:ascii="Arial" w:cs="Arial" w:eastAsia="Arial" w:hAnsi="Arial"/>
          <w:sz w:val="21"/>
          <w:szCs w:val="21"/>
          <w:color w:val="010000"/>
        </w:rPr>
      </w:pPr>
      <w:r>
        <w:rPr>
          <w:rFonts w:ascii="Arial" w:cs="Arial" w:eastAsia="Arial" w:hAnsi="Arial"/>
          <w:sz w:val="21"/>
          <w:szCs w:val="21"/>
          <w:u w:val="single" w:color="auto"/>
          <w:color w:val="auto"/>
        </w:rPr>
        <w:t>Restricted Share Award Agreement</w:t>
      </w:r>
      <w:r>
        <w:rPr>
          <w:rFonts w:ascii="Arial" w:cs="Arial" w:eastAsia="Arial" w:hAnsi="Arial"/>
          <w:sz w:val="21"/>
          <w:szCs w:val="21"/>
          <w:color w:val="auto"/>
        </w:rPr>
        <w:t>. Each grant of Restricted Shares under the Plan shall be evidenced by a 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121" w:lineRule="exact"/>
        <w:rPr>
          <w:rFonts w:ascii="Arial" w:cs="Arial" w:eastAsia="Arial" w:hAnsi="Arial"/>
          <w:sz w:val="21"/>
          <w:szCs w:val="21"/>
          <w:color w:val="010000"/>
        </w:rPr>
      </w:pPr>
    </w:p>
    <w:p>
      <w:pPr>
        <w:jc w:val="both"/>
        <w:ind w:firstLine="656"/>
        <w:spacing w:after="0" w:line="253" w:lineRule="auto"/>
        <w:tabs>
          <w:tab w:leader="none" w:pos="1264" w:val="left"/>
        </w:tabs>
        <w:numPr>
          <w:ilvl w:val="0"/>
          <w:numId w:val="17"/>
        </w:numPr>
        <w:rPr>
          <w:rFonts w:ascii="Arial" w:cs="Arial" w:eastAsia="Arial" w:hAnsi="Arial"/>
          <w:sz w:val="22"/>
          <w:szCs w:val="22"/>
          <w:color w:val="010000"/>
        </w:rPr>
      </w:pPr>
      <w:r>
        <w:rPr>
          <w:rFonts w:ascii="Arial" w:cs="Arial" w:eastAsia="Arial" w:hAnsi="Arial"/>
          <w:sz w:val="22"/>
          <w:szCs w:val="22"/>
          <w:u w:val="single" w:color="auto"/>
          <w:color w:val="auto"/>
        </w:rPr>
        <w:t>Payment for Awards</w:t>
      </w:r>
      <w:r>
        <w:rPr>
          <w:rFonts w:ascii="Arial" w:cs="Arial" w:eastAsia="Arial" w:hAnsi="Arial"/>
          <w:sz w:val="22"/>
          <w:szCs w:val="22"/>
          <w:color w:val="auto"/>
        </w:rPr>
        <w:t xml:space="preserve">. Restricted Shares may be sold or awarded under the Plan for such consideration as the Committee </w:t>
      </w:r>
      <w:r>
        <w:rPr>
          <w:rFonts w:ascii="Arial" w:cs="Arial" w:eastAsia="Arial" w:hAnsi="Arial"/>
          <w:sz w:val="22"/>
          <w:szCs w:val="22"/>
          <w:i w:val="1"/>
          <w:iCs w:val="1"/>
          <w:color w:val="auto"/>
        </w:rPr>
        <w:t>may</w:t>
      </w:r>
      <w:r>
        <w:rPr>
          <w:rFonts w:ascii="Arial" w:cs="Arial" w:eastAsia="Arial" w:hAnsi="Arial"/>
          <w:sz w:val="22"/>
          <w:szCs w:val="22"/>
          <w:color w:val="auto"/>
        </w:rPr>
        <w:t xml:space="preserve"> determine, including (without limitation) cash, cash equivalents, full-recourse promissory notes, past services and future services.</w:t>
      </w:r>
    </w:p>
    <w:p>
      <w:pPr>
        <w:spacing w:after="0" w:line="131" w:lineRule="exact"/>
        <w:rPr>
          <w:rFonts w:ascii="Arial" w:cs="Arial" w:eastAsia="Arial" w:hAnsi="Arial"/>
          <w:sz w:val="22"/>
          <w:szCs w:val="22"/>
          <w:color w:val="010000"/>
        </w:rPr>
      </w:pPr>
    </w:p>
    <w:p>
      <w:pPr>
        <w:jc w:val="both"/>
        <w:ind w:firstLine="656"/>
        <w:spacing w:after="0" w:line="297" w:lineRule="auto"/>
        <w:tabs>
          <w:tab w:leader="none" w:pos="1171" w:val="left"/>
        </w:tabs>
        <w:numPr>
          <w:ilvl w:val="0"/>
          <w:numId w:val="17"/>
        </w:numPr>
        <w:rPr>
          <w:rFonts w:ascii="Arial" w:cs="Arial" w:eastAsia="Arial" w:hAnsi="Arial"/>
          <w:sz w:val="19"/>
          <w:szCs w:val="19"/>
          <w:color w:val="010000"/>
        </w:rPr>
      </w:pPr>
      <w:r>
        <w:rPr>
          <w:rFonts w:ascii="Arial" w:cs="Arial" w:eastAsia="Arial" w:hAnsi="Arial"/>
          <w:sz w:val="19"/>
          <w:szCs w:val="19"/>
          <w:u w:val="single" w:color="auto"/>
          <w:color w:val="auto"/>
        </w:rPr>
        <w:t>Vesting</w:t>
      </w:r>
      <w:r>
        <w:rPr>
          <w:rFonts w:ascii="Arial" w:cs="Arial" w:eastAsia="Arial" w:hAnsi="Arial"/>
          <w:sz w:val="19"/>
          <w:szCs w:val="19"/>
          <w:color w:val="auto"/>
        </w:rPr>
        <w:t>. Each Award of Restricted Shares may or may not be subject to vesting. Vesting shall occur, in full or in installments, upon satisfaction of the conditions specified in the Restricted Share Award Agreement. A Restricted Share Award Agreement may provide for accelerated vesting in the event of the Participant’s death, disability or retirement or other events. The Committee may determine, at the time of granting Restricted Shares or thereafter, that all or part of such Restricted Shares shall become vested in the event that a Change in Control occurs with respect to the Company.</w:t>
      </w:r>
    </w:p>
    <w:p>
      <w:pPr>
        <w:spacing w:after="0" w:line="92" w:lineRule="exact"/>
        <w:rPr>
          <w:rFonts w:ascii="Arial" w:cs="Arial" w:eastAsia="Arial" w:hAnsi="Arial"/>
          <w:sz w:val="19"/>
          <w:szCs w:val="19"/>
          <w:color w:val="010000"/>
        </w:rPr>
      </w:pPr>
    </w:p>
    <w:p>
      <w:pPr>
        <w:jc w:val="both"/>
        <w:ind w:firstLine="656"/>
        <w:spacing w:after="0" w:line="302" w:lineRule="auto"/>
        <w:tabs>
          <w:tab w:leader="none" w:pos="1170" w:val="left"/>
        </w:tabs>
        <w:numPr>
          <w:ilvl w:val="0"/>
          <w:numId w:val="17"/>
        </w:numPr>
        <w:rPr>
          <w:rFonts w:ascii="Arial" w:cs="Arial" w:eastAsia="Arial" w:hAnsi="Arial"/>
          <w:sz w:val="19"/>
          <w:szCs w:val="19"/>
          <w:color w:val="010000"/>
        </w:rPr>
      </w:pPr>
      <w:r>
        <w:rPr>
          <w:rFonts w:ascii="Arial" w:cs="Arial" w:eastAsia="Arial" w:hAnsi="Arial"/>
          <w:sz w:val="19"/>
          <w:szCs w:val="19"/>
          <w:u w:val="single" w:color="auto"/>
          <w:color w:val="auto"/>
        </w:rPr>
        <w:t>Voting and Dividend Rights</w:t>
      </w:r>
      <w:r>
        <w:rPr>
          <w:rFonts w:ascii="Arial" w:cs="Arial" w:eastAsia="Arial" w:hAnsi="Arial"/>
          <w:sz w:val="19"/>
          <w:szCs w:val="19"/>
          <w:color w:val="auto"/>
        </w:rPr>
        <w:t>. The holders of Restricted Shares awarded under the Plan shall have the same voting, dividend and other rights as the Company’s other stockholders. A Restricted Share Award Agreement, however, may require that the holders of Restricted Shares invest any cash dividends received in additional Restricted Shares. Such additional Restricted Shares shall be subject to the same conditions and restrictions as the Award with respect to which the dividends were paid.</w:t>
      </w:r>
    </w:p>
    <w:p>
      <w:pPr>
        <w:spacing w:after="0" w:line="88" w:lineRule="exact"/>
        <w:rPr>
          <w:rFonts w:ascii="Arial" w:cs="Arial" w:eastAsia="Arial" w:hAnsi="Arial"/>
          <w:sz w:val="19"/>
          <w:szCs w:val="19"/>
          <w:color w:val="010000"/>
        </w:rPr>
      </w:pPr>
    </w:p>
    <w:p>
      <w:pPr>
        <w:jc w:val="both"/>
        <w:ind w:firstLine="656"/>
        <w:spacing w:after="0" w:line="312" w:lineRule="auto"/>
        <w:tabs>
          <w:tab w:leader="none" w:pos="1198" w:val="left"/>
        </w:tabs>
        <w:numPr>
          <w:ilvl w:val="0"/>
          <w:numId w:val="17"/>
        </w:numPr>
        <w:rPr>
          <w:rFonts w:ascii="Arial" w:cs="Arial" w:eastAsia="Arial" w:hAnsi="Arial"/>
          <w:sz w:val="19"/>
          <w:szCs w:val="19"/>
          <w:color w:val="010000"/>
        </w:rPr>
      </w:pPr>
      <w:r>
        <w:rPr>
          <w:rFonts w:ascii="Arial" w:cs="Arial" w:eastAsia="Arial" w:hAnsi="Arial"/>
          <w:sz w:val="19"/>
          <w:szCs w:val="19"/>
          <w:u w:val="single" w:color="auto"/>
          <w:color w:val="auto"/>
        </w:rPr>
        <w:t>Restrictions on Transfer of Shares</w:t>
      </w:r>
      <w:r>
        <w:rPr>
          <w:rFonts w:ascii="Arial" w:cs="Arial" w:eastAsia="Arial" w:hAnsi="Arial"/>
          <w:sz w:val="19"/>
          <w:szCs w:val="19"/>
          <w:color w:val="auto"/>
        </w:rPr>
        <w:t xml:space="preserve">. Restricted Shares shall be subject to such rights of repurchase, rights of first refusal or other </w:t>
      </w:r>
      <w:r>
        <w:rPr>
          <w:rFonts w:ascii="Arial" w:cs="Arial" w:eastAsia="Arial" w:hAnsi="Arial"/>
          <w:sz w:val="19"/>
          <w:szCs w:val="19"/>
          <w:i w:val="1"/>
          <w:iCs w:val="1"/>
          <w:color w:val="auto"/>
        </w:rPr>
        <w:t>restrictions</w:t>
      </w:r>
      <w:r>
        <w:rPr>
          <w:rFonts w:ascii="Arial" w:cs="Arial" w:eastAsia="Arial" w:hAnsi="Arial"/>
          <w:sz w:val="19"/>
          <w:szCs w:val="19"/>
          <w:color w:val="auto"/>
        </w:rPr>
        <w:t xml:space="preserve"> as the Committee may determine. Such restrictions shall be set forth in the applicable Restricted Share Award Agreement and shall apply in addition to any general restrictions that may apply to all holders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b w:val="1"/>
          <w:bCs w:val="1"/>
          <w:color w:val="010000"/>
        </w:rPr>
        <w:t xml:space="preserve">Section 7. </w:t>
      </w:r>
      <w:r>
        <w:rPr>
          <w:rFonts w:ascii="Arial" w:cs="Arial" w:eastAsia="Arial" w:hAnsi="Arial"/>
          <w:sz w:val="22"/>
          <w:szCs w:val="22"/>
          <w:b w:val="1"/>
          <w:bCs w:val="1"/>
          <w:color w:val="000000"/>
        </w:rPr>
        <w:t>TERMS AND CONDITIONS OF OPTIONS.</w:t>
      </w:r>
    </w:p>
    <w:p>
      <w:pPr>
        <w:spacing w:after="0" w:line="226" w:lineRule="exact"/>
        <w:rPr>
          <w:sz w:val="20"/>
          <w:szCs w:val="20"/>
          <w:color w:val="auto"/>
        </w:rPr>
      </w:pPr>
    </w:p>
    <w:p>
      <w:pPr>
        <w:jc w:val="both"/>
        <w:ind w:firstLine="656"/>
        <w:spacing w:after="0" w:line="247" w:lineRule="auto"/>
        <w:tabs>
          <w:tab w:leader="none" w:pos="1198" w:val="left"/>
        </w:tabs>
        <w:numPr>
          <w:ilvl w:val="0"/>
          <w:numId w:val="18"/>
        </w:numPr>
        <w:rPr>
          <w:rFonts w:ascii="Arial" w:cs="Arial" w:eastAsia="Arial" w:hAnsi="Arial"/>
          <w:sz w:val="22"/>
          <w:szCs w:val="22"/>
          <w:color w:val="010000"/>
        </w:rPr>
      </w:pPr>
      <w:r>
        <w:rPr>
          <w:rFonts w:ascii="Arial" w:cs="Arial" w:eastAsia="Arial" w:hAnsi="Arial"/>
          <w:sz w:val="22"/>
          <w:szCs w:val="22"/>
          <w:u w:val="single" w:color="auto"/>
          <w:color w:val="auto"/>
        </w:rPr>
        <w:t>Stock Option Award Agreement</w:t>
      </w:r>
      <w:r>
        <w:rPr>
          <w:rFonts w:ascii="Arial" w:cs="Arial" w:eastAsia="Arial" w:hAnsi="Arial"/>
          <w:sz w:val="22"/>
          <w:szCs w:val="22"/>
          <w:color w:val="auto"/>
        </w:rPr>
        <w:t xml:space="preserve">. Each grant of an Option under the Plan shall be evidenced by a Stock Option Award Agreement </w:t>
      </w:r>
      <w:r>
        <w:rPr>
          <w:rFonts w:ascii="Arial" w:cs="Arial" w:eastAsia="Arial" w:hAnsi="Arial"/>
          <w:sz w:val="22"/>
          <w:szCs w:val="22"/>
          <w:i w:val="1"/>
          <w:iCs w:val="1"/>
          <w:color w:val="auto"/>
        </w:rPr>
        <w:t>between</w:t>
      </w:r>
      <w:r>
        <w:rPr>
          <w:rFonts w:ascii="Arial" w:cs="Arial" w:eastAsia="Arial" w:hAnsi="Arial"/>
          <w:sz w:val="22"/>
          <w:szCs w:val="22"/>
          <w:color w:val="auto"/>
        </w:rPr>
        <w:t xml:space="preserve"> the Participant and the Company. Such Option shall be subject to all applicable terms and conditions of the Plan and may be subject to any other terms and conditions which are not inconsistent with the Plan and which the Committee deems appropriate for inclusion in a Stock Option Award Agreement. The Stock Option Award Agreement shall specify whether the Option is an ISO or an NSO. The provisions of the various Stock Option Award Agreements entered into under the Plan need not be identical.</w:t>
      </w:r>
    </w:p>
    <w:p>
      <w:pPr>
        <w:spacing w:after="0" w:line="125" w:lineRule="exact"/>
        <w:rPr>
          <w:rFonts w:ascii="Arial" w:cs="Arial" w:eastAsia="Arial" w:hAnsi="Arial"/>
          <w:sz w:val="22"/>
          <w:szCs w:val="22"/>
          <w:color w:val="010000"/>
        </w:rPr>
      </w:pPr>
    </w:p>
    <w:p>
      <w:pPr>
        <w:ind w:firstLine="656"/>
        <w:spacing w:after="0" w:line="263" w:lineRule="auto"/>
        <w:tabs>
          <w:tab w:leader="none" w:pos="1156" w:val="left"/>
        </w:tabs>
        <w:numPr>
          <w:ilvl w:val="0"/>
          <w:numId w:val="18"/>
        </w:numPr>
        <w:rPr>
          <w:rFonts w:ascii="Arial" w:cs="Arial" w:eastAsia="Arial" w:hAnsi="Arial"/>
          <w:sz w:val="22"/>
          <w:szCs w:val="22"/>
          <w:color w:val="010000"/>
        </w:rPr>
      </w:pPr>
      <w:r>
        <w:rPr>
          <w:rFonts w:ascii="Arial" w:cs="Arial" w:eastAsia="Arial" w:hAnsi="Arial"/>
          <w:sz w:val="22"/>
          <w:szCs w:val="22"/>
          <w:u w:val="single" w:color="auto"/>
          <w:color w:val="auto"/>
        </w:rPr>
        <w:t>Number of Shares</w:t>
      </w:r>
      <w:r>
        <w:rPr>
          <w:rFonts w:ascii="Arial" w:cs="Arial" w:eastAsia="Arial" w:hAnsi="Arial"/>
          <w:sz w:val="22"/>
          <w:szCs w:val="22"/>
          <w:color w:val="auto"/>
        </w:rPr>
        <w:t xml:space="preserve">. Each Stock Option Award Agreement shall specify the number of Shares that are subject to the Option and shall </w:t>
      </w:r>
      <w:r>
        <w:rPr>
          <w:rFonts w:ascii="Arial" w:cs="Arial" w:eastAsia="Arial" w:hAnsi="Arial"/>
          <w:sz w:val="22"/>
          <w:szCs w:val="22"/>
          <w:i w:val="1"/>
          <w:iCs w:val="1"/>
          <w:color w:val="auto"/>
        </w:rPr>
        <w:t>provide</w:t>
      </w:r>
      <w:r>
        <w:rPr>
          <w:rFonts w:ascii="Arial" w:cs="Arial" w:eastAsia="Arial" w:hAnsi="Arial"/>
          <w:sz w:val="22"/>
          <w:szCs w:val="22"/>
          <w:color w:val="auto"/>
        </w:rPr>
        <w:t xml:space="preserve"> for the adjustment of such number in accordance with Section 12.</w:t>
      </w:r>
    </w:p>
    <w:p>
      <w:pPr>
        <w:spacing w:after="0" w:line="93" w:lineRule="exact"/>
        <w:rPr>
          <w:rFonts w:ascii="Arial" w:cs="Arial" w:eastAsia="Arial" w:hAnsi="Arial"/>
          <w:sz w:val="22"/>
          <w:szCs w:val="22"/>
          <w:color w:val="010000"/>
        </w:rPr>
      </w:pPr>
    </w:p>
    <w:p>
      <w:pPr>
        <w:jc w:val="both"/>
        <w:ind w:firstLine="656"/>
        <w:spacing w:after="0" w:line="292" w:lineRule="auto"/>
        <w:tabs>
          <w:tab w:leader="none" w:pos="1117" w:val="left"/>
        </w:tabs>
        <w:numPr>
          <w:ilvl w:val="0"/>
          <w:numId w:val="18"/>
        </w:numPr>
        <w:rPr>
          <w:rFonts w:ascii="Arial" w:cs="Arial" w:eastAsia="Arial" w:hAnsi="Arial"/>
          <w:sz w:val="19"/>
          <w:szCs w:val="19"/>
          <w:color w:val="010000"/>
        </w:rPr>
      </w:pPr>
      <w:r>
        <w:rPr>
          <w:rFonts w:ascii="Arial" w:cs="Arial" w:eastAsia="Arial" w:hAnsi="Arial"/>
          <w:sz w:val="19"/>
          <w:szCs w:val="19"/>
          <w:u w:val="single" w:color="auto"/>
          <w:color w:val="auto"/>
        </w:rPr>
        <w:t>Exercise Price</w:t>
      </w:r>
      <w:r>
        <w:rPr>
          <w:rFonts w:ascii="Arial" w:cs="Arial" w:eastAsia="Arial" w:hAnsi="Arial"/>
          <w:sz w:val="19"/>
          <w:szCs w:val="19"/>
          <w:color w:val="auto"/>
        </w:rPr>
        <w:t xml:space="preserve">. Each Stock Option Award Agreement shall specify the Exercise Price. The Exercise Price of an ISO shall not be less than 100% of the Fair Market Value of a Share on the date of grant, except as otherwise provided in 4(c), and the </w:t>
      </w:r>
      <w:r>
        <w:rPr>
          <w:rFonts w:ascii="Arial" w:cs="Arial" w:eastAsia="Arial" w:hAnsi="Arial"/>
          <w:sz w:val="19"/>
          <w:szCs w:val="19"/>
          <w:i w:val="1"/>
          <w:iCs w:val="1"/>
          <w:color w:val="auto"/>
        </w:rPr>
        <w:t xml:space="preserve">Exercise </w:t>
      </w:r>
      <w:r>
        <w:rPr>
          <w:rFonts w:ascii="Arial" w:cs="Arial" w:eastAsia="Arial" w:hAnsi="Arial"/>
          <w:sz w:val="19"/>
          <w:szCs w:val="19"/>
          <w:color w:val="auto"/>
        </w:rPr>
        <w:t>Price of an NSO shall not be less 100% of the Fair Market Value of a Share on the date of grant. Notwithstanding the</w:t>
      </w:r>
      <w:r>
        <w:rPr>
          <w:rFonts w:ascii="Arial" w:cs="Arial" w:eastAsia="Arial" w:hAnsi="Arial"/>
          <w:sz w:val="19"/>
          <w:szCs w:val="19"/>
          <w:i w:val="1"/>
          <w:iCs w:val="1"/>
          <w:color w:val="auto"/>
        </w:rPr>
        <w:t xml:space="preserve"> </w:t>
      </w:r>
      <w:r>
        <w:rPr>
          <w:rFonts w:ascii="Arial" w:cs="Arial" w:eastAsia="Arial" w:hAnsi="Arial"/>
          <w:sz w:val="19"/>
          <w:szCs w:val="19"/>
          <w:color w:val="auto"/>
        </w:rPr>
        <w:t>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p>
    <w:p>
      <w:pPr>
        <w:spacing w:after="0" w:line="83" w:lineRule="exact"/>
        <w:rPr>
          <w:rFonts w:ascii="Arial" w:cs="Arial" w:eastAsia="Arial" w:hAnsi="Arial"/>
          <w:sz w:val="19"/>
          <w:szCs w:val="19"/>
          <w:color w:val="010000"/>
        </w:rPr>
      </w:pPr>
    </w:p>
    <w:p>
      <w:pPr>
        <w:jc w:val="both"/>
        <w:ind w:firstLine="656"/>
        <w:spacing w:after="0" w:line="248" w:lineRule="auto"/>
        <w:tabs>
          <w:tab w:leader="none" w:pos="1129" w:val="left"/>
        </w:tabs>
        <w:numPr>
          <w:ilvl w:val="0"/>
          <w:numId w:val="18"/>
        </w:numPr>
        <w:rPr>
          <w:rFonts w:ascii="Arial" w:cs="Arial" w:eastAsia="Arial" w:hAnsi="Arial"/>
          <w:sz w:val="22"/>
          <w:szCs w:val="22"/>
          <w:color w:val="010000"/>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xml:space="preserve">. As a condition to the exercise of an Option, the Participant shall make such arrangements as the Committee may </w:t>
      </w:r>
      <w:r>
        <w:rPr>
          <w:rFonts w:ascii="Arial" w:cs="Arial" w:eastAsia="Arial" w:hAnsi="Arial"/>
          <w:sz w:val="22"/>
          <w:szCs w:val="22"/>
          <w:i w:val="1"/>
          <w:iCs w:val="1"/>
          <w:color w:val="auto"/>
        </w:rPr>
        <w:t>require</w:t>
      </w:r>
      <w:r>
        <w:rPr>
          <w:rFonts w:ascii="Arial" w:cs="Arial" w:eastAsia="Arial" w:hAnsi="Arial"/>
          <w:sz w:val="22"/>
          <w:szCs w:val="22"/>
          <w:color w:val="auto"/>
        </w:rPr>
        <w:t xml:space="preserv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pacing w:after="0" w:line="124" w:lineRule="exact"/>
        <w:rPr>
          <w:rFonts w:ascii="Arial" w:cs="Arial" w:eastAsia="Arial" w:hAnsi="Arial"/>
          <w:sz w:val="22"/>
          <w:szCs w:val="22"/>
          <w:color w:val="010000"/>
        </w:rPr>
      </w:pPr>
    </w:p>
    <w:p>
      <w:pPr>
        <w:jc w:val="both"/>
        <w:ind w:firstLine="656"/>
        <w:spacing w:after="0" w:line="259" w:lineRule="auto"/>
        <w:tabs>
          <w:tab w:leader="none" w:pos="1131" w:val="left"/>
        </w:tabs>
        <w:numPr>
          <w:ilvl w:val="0"/>
          <w:numId w:val="18"/>
        </w:numPr>
        <w:rPr>
          <w:rFonts w:ascii="Arial" w:cs="Arial" w:eastAsia="Arial" w:hAnsi="Arial"/>
          <w:sz w:val="21"/>
          <w:szCs w:val="21"/>
          <w:color w:val="010000"/>
        </w:rPr>
      </w:pPr>
      <w:r>
        <w:rPr>
          <w:rFonts w:ascii="Arial" w:cs="Arial" w:eastAsia="Arial" w:hAnsi="Arial"/>
          <w:sz w:val="21"/>
          <w:szCs w:val="21"/>
          <w:u w:val="single" w:color="auto"/>
          <w:color w:val="auto"/>
        </w:rPr>
        <w:t>Exercisability and Term</w:t>
      </w:r>
      <w:r>
        <w:rPr>
          <w:rFonts w:ascii="Arial" w:cs="Arial" w:eastAsia="Arial" w:hAnsi="Arial"/>
          <w:sz w:val="21"/>
          <w:szCs w:val="21"/>
          <w:color w:val="auto"/>
        </w:rPr>
        <w:t xml:space="preserve">. Each Stock Option Award Agreement shall specify the date when all or any installment of the Option is to become exercisable. The Stock Option Award Agreement shall also specify the term of the Option; provided that the </w:t>
      </w:r>
      <w:r>
        <w:rPr>
          <w:rFonts w:ascii="Arial" w:cs="Arial" w:eastAsia="Arial" w:hAnsi="Arial"/>
          <w:sz w:val="21"/>
          <w:szCs w:val="21"/>
          <w:i w:val="1"/>
          <w:iCs w:val="1"/>
          <w:color w:val="auto"/>
        </w:rPr>
        <w:t>term</w:t>
      </w:r>
      <w:r>
        <w:rPr>
          <w:rFonts w:ascii="Arial" w:cs="Arial" w:eastAsia="Arial" w:hAnsi="Arial"/>
          <w:sz w:val="21"/>
          <w:szCs w:val="21"/>
          <w:color w:val="auto"/>
        </w:rPr>
        <w:t xml:space="preserve"> of an ISO shall in no event exceed 10 years from the date of grant (five years for ISOs granted to Employees described in Section 4(c)). A Stock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at its sole discretion shall determine when all or any installment of an Option is to become exercisable and when an Option is to expire.</w:t>
      </w:r>
    </w:p>
    <w:p>
      <w:pPr>
        <w:spacing w:after="0" w:line="98" w:lineRule="exact"/>
        <w:rPr>
          <w:rFonts w:ascii="Arial" w:cs="Arial" w:eastAsia="Arial" w:hAnsi="Arial"/>
          <w:sz w:val="21"/>
          <w:szCs w:val="21"/>
          <w:color w:val="010000"/>
        </w:rPr>
      </w:pPr>
    </w:p>
    <w:p>
      <w:pPr>
        <w:jc w:val="both"/>
        <w:ind w:firstLine="656"/>
        <w:spacing w:after="0" w:line="253" w:lineRule="auto"/>
        <w:tabs>
          <w:tab w:leader="none" w:pos="1147" w:val="left"/>
        </w:tabs>
        <w:numPr>
          <w:ilvl w:val="0"/>
          <w:numId w:val="18"/>
        </w:numPr>
        <w:rPr>
          <w:rFonts w:ascii="Arial" w:cs="Arial" w:eastAsia="Arial" w:hAnsi="Arial"/>
          <w:sz w:val="22"/>
          <w:szCs w:val="22"/>
          <w:color w:val="010000"/>
        </w:rPr>
      </w:pPr>
      <w:r>
        <w:rPr>
          <w:rFonts w:ascii="Arial" w:cs="Arial" w:eastAsia="Arial" w:hAnsi="Arial"/>
          <w:sz w:val="22"/>
          <w:szCs w:val="22"/>
          <w:u w:val="single" w:color="auto"/>
          <w:color w:val="auto"/>
        </w:rPr>
        <w:t>Exercise of Options</w:t>
      </w:r>
      <w:r>
        <w:rPr>
          <w:rFonts w:ascii="Arial" w:cs="Arial" w:eastAsia="Arial" w:hAnsi="Arial"/>
          <w:sz w:val="22"/>
          <w:szCs w:val="22"/>
          <w:color w:val="auto"/>
        </w:rPr>
        <w:t>. Each Stock Option Award Agreement shall set forth the extent to which the Participant shall have the right to exercise the Option following termination of the Participant’s Service with the Company and its Subsidiaries, and the right to exercise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2" w:right="339" w:bottom="1440" w:gutter="0" w:footer="0" w:header="0"/>
        </w:sectPr>
      </w:pPr>
    </w:p>
    <w:bookmarkStart w:id="16" w:name="page17"/>
    <w:bookmarkEnd w:id="16"/>
    <w:p>
      <w:pPr>
        <w:jc w:val="both"/>
        <w:spacing w:after="0" w:line="250" w:lineRule="auto"/>
        <w:rPr>
          <w:sz w:val="20"/>
          <w:szCs w:val="20"/>
          <w:color w:val="auto"/>
        </w:rPr>
      </w:pPr>
      <w:r>
        <w:rPr>
          <w:rFonts w:ascii="Arial" w:cs="Arial" w:eastAsia="Arial" w:hAnsi="Arial"/>
          <w:sz w:val="22"/>
          <w:szCs w:val="22"/>
          <w:color w:val="auto"/>
        </w:rPr>
        <w:t>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93" w:lineRule="exact"/>
        <w:rPr>
          <w:sz w:val="20"/>
          <w:szCs w:val="20"/>
          <w:color w:val="auto"/>
        </w:rPr>
      </w:pPr>
    </w:p>
    <w:p>
      <w:pPr>
        <w:jc w:val="both"/>
        <w:ind w:firstLine="656"/>
        <w:spacing w:after="0" w:line="253" w:lineRule="auto"/>
        <w:tabs>
          <w:tab w:leader="none" w:pos="1183" w:val="left"/>
        </w:tabs>
        <w:numPr>
          <w:ilvl w:val="0"/>
          <w:numId w:val="19"/>
        </w:numPr>
        <w:rPr>
          <w:rFonts w:ascii="Arial" w:cs="Arial" w:eastAsia="Arial" w:hAnsi="Arial"/>
          <w:sz w:val="22"/>
          <w:szCs w:val="22"/>
          <w:color w:val="010000"/>
        </w:rPr>
      </w:pPr>
      <w:r>
        <w:rPr>
          <w:rFonts w:ascii="Arial" w:cs="Arial" w:eastAsia="Arial" w:hAnsi="Arial"/>
          <w:sz w:val="22"/>
          <w:szCs w:val="22"/>
          <w:u w:val="single" w:color="auto"/>
          <w:color w:val="auto"/>
        </w:rPr>
        <w:t>Effect of Change in Control</w:t>
      </w:r>
      <w:r>
        <w:rPr>
          <w:rFonts w:ascii="Arial" w:cs="Arial" w:eastAsia="Arial" w:hAnsi="Arial"/>
          <w:sz w:val="22"/>
          <w:szCs w:val="22"/>
          <w:color w:val="auto"/>
        </w:rPr>
        <w:t xml:space="preserve">. The Committee may determine, at the time of granting an Option or thereafter, that such Option </w:t>
      </w:r>
      <w:r>
        <w:rPr>
          <w:rFonts w:ascii="Arial" w:cs="Arial" w:eastAsia="Arial" w:hAnsi="Arial"/>
          <w:sz w:val="22"/>
          <w:szCs w:val="22"/>
          <w:i w:val="1"/>
          <w:iCs w:val="1"/>
          <w:color w:val="auto"/>
        </w:rPr>
        <w:t>shall</w:t>
      </w:r>
      <w:r>
        <w:rPr>
          <w:rFonts w:ascii="Arial" w:cs="Arial" w:eastAsia="Arial" w:hAnsi="Arial"/>
          <w:sz w:val="22"/>
          <w:szCs w:val="22"/>
          <w:color w:val="auto"/>
        </w:rPr>
        <w:t xml:space="preserve"> become exercisable as to all or part of the Shares subject to such Option in the event that a Change in Control occurs with respect to the Company.</w:t>
      </w:r>
    </w:p>
    <w:p>
      <w:pPr>
        <w:spacing w:after="0" w:line="104" w:lineRule="exact"/>
        <w:rPr>
          <w:rFonts w:ascii="Arial" w:cs="Arial" w:eastAsia="Arial" w:hAnsi="Arial"/>
          <w:sz w:val="22"/>
          <w:szCs w:val="22"/>
          <w:color w:val="010000"/>
        </w:rPr>
      </w:pPr>
    </w:p>
    <w:p>
      <w:pPr>
        <w:jc w:val="both"/>
        <w:ind w:firstLine="656"/>
        <w:spacing w:after="0" w:line="253" w:lineRule="auto"/>
        <w:tabs>
          <w:tab w:leader="none" w:pos="1156" w:val="left"/>
        </w:tabs>
        <w:numPr>
          <w:ilvl w:val="0"/>
          <w:numId w:val="19"/>
        </w:numPr>
        <w:rPr>
          <w:rFonts w:ascii="Arial" w:cs="Arial" w:eastAsia="Arial" w:hAnsi="Arial"/>
          <w:sz w:val="22"/>
          <w:szCs w:val="22"/>
          <w:color w:val="010000"/>
        </w:rPr>
      </w:pPr>
      <w:r>
        <w:rPr>
          <w:rFonts w:ascii="Arial" w:cs="Arial" w:eastAsia="Arial" w:hAnsi="Arial"/>
          <w:sz w:val="22"/>
          <w:szCs w:val="22"/>
          <w:u w:val="single" w:color="auto"/>
          <w:color w:val="auto"/>
        </w:rPr>
        <w:t>No Rights as a Stockholder</w:t>
      </w:r>
      <w:r>
        <w:rPr>
          <w:rFonts w:ascii="Arial" w:cs="Arial" w:eastAsia="Arial" w:hAnsi="Arial"/>
          <w:sz w:val="22"/>
          <w:szCs w:val="22"/>
          <w:color w:val="auto"/>
        </w:rPr>
        <w:t>. A Participant shall have no rights as a stockholder with respect to any Shares covered by his Option until the date of the issuance of a stock certificate for such Shares. No adjustments shall be made, except as provided in Section 12.</w:t>
      </w:r>
    </w:p>
    <w:p>
      <w:pPr>
        <w:spacing w:after="0" w:line="90" w:lineRule="exact"/>
        <w:rPr>
          <w:rFonts w:ascii="Arial" w:cs="Arial" w:eastAsia="Arial" w:hAnsi="Arial"/>
          <w:sz w:val="22"/>
          <w:szCs w:val="22"/>
          <w:color w:val="010000"/>
        </w:rPr>
      </w:pPr>
    </w:p>
    <w:p>
      <w:pPr>
        <w:jc w:val="both"/>
        <w:ind w:firstLine="656"/>
        <w:spacing w:after="0" w:line="294" w:lineRule="auto"/>
        <w:tabs>
          <w:tab w:leader="none" w:pos="1149" w:val="left"/>
        </w:tabs>
        <w:numPr>
          <w:ilvl w:val="0"/>
          <w:numId w:val="19"/>
        </w:numPr>
        <w:rPr>
          <w:rFonts w:ascii="Arial" w:cs="Arial" w:eastAsia="Arial" w:hAnsi="Arial"/>
          <w:sz w:val="19"/>
          <w:szCs w:val="19"/>
          <w:color w:val="010000"/>
        </w:rPr>
      </w:pPr>
      <w:r>
        <w:rPr>
          <w:rFonts w:ascii="Arial" w:cs="Arial" w:eastAsia="Arial" w:hAnsi="Arial"/>
          <w:sz w:val="19"/>
          <w:szCs w:val="19"/>
          <w:u w:val="single" w:color="auto"/>
          <w:color w:val="auto"/>
        </w:rPr>
        <w:t>Modification, Extension and Renewal of Options</w:t>
      </w:r>
      <w:r>
        <w:rPr>
          <w:rFonts w:ascii="Arial" w:cs="Arial" w:eastAsia="Arial" w:hAnsi="Arial"/>
          <w:sz w:val="19"/>
          <w:szCs w:val="19"/>
          <w:color w:val="auto"/>
        </w:rPr>
        <w:t>. Within the limitations of the Plan, the Committee may modify, 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without stockholder approval. The foregoing notwithstanding, no modification of an Option shall, without the consent of the Participant, materially impair his or her rights or obligations under such Option.</w:t>
      </w:r>
    </w:p>
    <w:p>
      <w:pPr>
        <w:spacing w:after="0" w:line="54" w:lineRule="exact"/>
        <w:rPr>
          <w:rFonts w:ascii="Arial" w:cs="Arial" w:eastAsia="Arial" w:hAnsi="Arial"/>
          <w:sz w:val="19"/>
          <w:szCs w:val="19"/>
          <w:color w:val="010000"/>
        </w:rPr>
      </w:pPr>
    </w:p>
    <w:p>
      <w:pPr>
        <w:jc w:val="both"/>
        <w:ind w:firstLine="656"/>
        <w:spacing w:after="0" w:line="250" w:lineRule="auto"/>
        <w:tabs>
          <w:tab w:leader="none" w:pos="1135" w:val="left"/>
        </w:tabs>
        <w:numPr>
          <w:ilvl w:val="0"/>
          <w:numId w:val="19"/>
        </w:numPr>
        <w:rPr>
          <w:rFonts w:ascii="Arial" w:cs="Arial" w:eastAsia="Arial" w:hAnsi="Arial"/>
          <w:sz w:val="22"/>
          <w:szCs w:val="22"/>
          <w:color w:val="010000"/>
        </w:rPr>
      </w:pPr>
      <w:r>
        <w:rPr>
          <w:rFonts w:ascii="Arial" w:cs="Arial" w:eastAsia="Arial" w:hAnsi="Arial"/>
          <w:sz w:val="22"/>
          <w:szCs w:val="22"/>
          <w:u w:val="single" w:color="auto"/>
          <w:color w:val="auto"/>
        </w:rPr>
        <w:t>Restrictions on Transfer of Shares</w:t>
      </w:r>
      <w:r>
        <w:rPr>
          <w:rFonts w:ascii="Arial" w:cs="Arial" w:eastAsia="Arial" w:hAnsi="Arial"/>
          <w:sz w:val="22"/>
          <w:szCs w:val="22"/>
          <w:color w:val="auto"/>
        </w:rPr>
        <w:t>. Any Shares issued upon exercise of an Option shall be subject to such special forfeiture conditions, rights of repurchase, rights of first refusal and other transfer restrictions as the Committee may determine. Such restrictions shall be set forth in the applicable Stock Option Award Agreement and shall apply in addition to any general restrictions that may apply to all holders of Shares.</w:t>
      </w:r>
    </w:p>
    <w:p>
      <w:pPr>
        <w:spacing w:after="0" w:line="106" w:lineRule="exact"/>
        <w:rPr>
          <w:rFonts w:ascii="Arial" w:cs="Arial" w:eastAsia="Arial" w:hAnsi="Arial"/>
          <w:sz w:val="22"/>
          <w:szCs w:val="22"/>
          <w:color w:val="010000"/>
        </w:rPr>
      </w:pPr>
    </w:p>
    <w:p>
      <w:pPr>
        <w:jc w:val="both"/>
        <w:ind w:firstLine="656"/>
        <w:spacing w:after="0" w:line="253" w:lineRule="auto"/>
        <w:tabs>
          <w:tab w:leader="none" w:pos="1116" w:val="left"/>
        </w:tabs>
        <w:numPr>
          <w:ilvl w:val="0"/>
          <w:numId w:val="19"/>
        </w:numPr>
        <w:rPr>
          <w:rFonts w:ascii="Arial" w:cs="Arial" w:eastAsia="Arial" w:hAnsi="Arial"/>
          <w:sz w:val="22"/>
          <w:szCs w:val="22"/>
          <w:color w:val="010000"/>
        </w:rPr>
      </w:pPr>
      <w:r>
        <w:rPr>
          <w:rFonts w:ascii="Arial" w:cs="Arial" w:eastAsia="Arial" w:hAnsi="Arial"/>
          <w:sz w:val="22"/>
          <w:szCs w:val="22"/>
          <w:u w:val="single" w:color="auto"/>
          <w:color w:val="auto"/>
        </w:rPr>
        <w:t>Buyout Provisions</w:t>
      </w:r>
      <w:r>
        <w:rPr>
          <w:rFonts w:ascii="Arial" w:cs="Arial" w:eastAsia="Arial" w:hAnsi="Arial"/>
          <w:sz w:val="22"/>
          <w:szCs w:val="22"/>
          <w:color w:val="auto"/>
        </w:rPr>
        <w:t xml:space="preserve">. The Committee may at any time (a) offer to buy out for a payment in cash or cash equivalents an Option previously granted or (b) authorize a Participant to elect to cash out an Option previously granted, in either case at </w:t>
      </w:r>
      <w:r>
        <w:rPr>
          <w:rFonts w:ascii="Arial" w:cs="Arial" w:eastAsia="Arial" w:hAnsi="Arial"/>
          <w:sz w:val="22"/>
          <w:szCs w:val="22"/>
          <w:i w:val="1"/>
          <w:iCs w:val="1"/>
          <w:color w:val="auto"/>
        </w:rPr>
        <w:t>such</w:t>
      </w:r>
      <w:r>
        <w:rPr>
          <w:rFonts w:ascii="Arial" w:cs="Arial" w:eastAsia="Arial" w:hAnsi="Arial"/>
          <w:sz w:val="22"/>
          <w:szCs w:val="22"/>
          <w:color w:val="auto"/>
        </w:rPr>
        <w:t xml:space="preserve"> time and based upon such terms and conditions as the Committee shall establish.</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8. </w:t>
      </w:r>
      <w:r>
        <w:rPr>
          <w:rFonts w:ascii="Arial" w:cs="Arial" w:eastAsia="Arial" w:hAnsi="Arial"/>
          <w:sz w:val="22"/>
          <w:szCs w:val="22"/>
          <w:b w:val="1"/>
          <w:bCs w:val="1"/>
          <w:color w:val="000000"/>
        </w:rPr>
        <w:t>PAYMENT FOR SHARES.</w:t>
      </w:r>
    </w:p>
    <w:p>
      <w:pPr>
        <w:spacing w:after="0" w:line="172" w:lineRule="exact"/>
        <w:rPr>
          <w:sz w:val="20"/>
          <w:szCs w:val="20"/>
          <w:color w:val="auto"/>
        </w:rPr>
      </w:pPr>
    </w:p>
    <w:p>
      <w:pPr>
        <w:jc w:val="both"/>
        <w:ind w:firstLine="656"/>
        <w:spacing w:after="0" w:line="253" w:lineRule="auto"/>
        <w:tabs>
          <w:tab w:leader="none" w:pos="1117" w:val="left"/>
        </w:tabs>
        <w:numPr>
          <w:ilvl w:val="0"/>
          <w:numId w:val="20"/>
        </w:numPr>
        <w:rPr>
          <w:rFonts w:ascii="Arial" w:cs="Arial" w:eastAsia="Arial" w:hAnsi="Arial"/>
          <w:sz w:val="22"/>
          <w:szCs w:val="22"/>
          <w:color w:val="010000"/>
        </w:rPr>
      </w:pPr>
      <w:r>
        <w:rPr>
          <w:rFonts w:ascii="Arial" w:cs="Arial" w:eastAsia="Arial" w:hAnsi="Arial"/>
          <w:sz w:val="22"/>
          <w:szCs w:val="22"/>
          <w:u w:val="single" w:color="auto"/>
          <w:color w:val="auto"/>
        </w:rPr>
        <w:t>General Rule</w:t>
      </w:r>
      <w:r>
        <w:rPr>
          <w:rFonts w:ascii="Arial" w:cs="Arial" w:eastAsia="Arial" w:hAnsi="Arial"/>
          <w:sz w:val="22"/>
          <w:szCs w:val="22"/>
          <w:color w:val="auto"/>
        </w:rPr>
        <w:t xml:space="preserve">. The entire Exercise Price or Purchase Price of Shares issued under the Plan shall be payable in lawful money of the </w:t>
      </w:r>
      <w:r>
        <w:rPr>
          <w:rFonts w:ascii="Arial" w:cs="Arial" w:eastAsia="Arial" w:hAnsi="Arial"/>
          <w:sz w:val="22"/>
          <w:szCs w:val="22"/>
          <w:i w:val="1"/>
          <w:iCs w:val="1"/>
          <w:color w:val="auto"/>
        </w:rPr>
        <w:t>United</w:t>
      </w:r>
      <w:r>
        <w:rPr>
          <w:rFonts w:ascii="Arial" w:cs="Arial" w:eastAsia="Arial" w:hAnsi="Arial"/>
          <w:sz w:val="22"/>
          <w:szCs w:val="22"/>
          <w:color w:val="auto"/>
        </w:rPr>
        <w:t xml:space="preserve"> States of America at the time when such Shares are purchased, except as provided in Section 8(b) through Section 8(h) below.</w:t>
      </w:r>
    </w:p>
    <w:p>
      <w:pPr>
        <w:spacing w:after="0" w:line="90" w:lineRule="exact"/>
        <w:rPr>
          <w:rFonts w:ascii="Arial" w:cs="Arial" w:eastAsia="Arial" w:hAnsi="Arial"/>
          <w:sz w:val="22"/>
          <w:szCs w:val="22"/>
          <w:color w:val="010000"/>
        </w:rPr>
      </w:pPr>
    </w:p>
    <w:p>
      <w:pPr>
        <w:jc w:val="both"/>
        <w:ind w:firstLine="656"/>
        <w:spacing w:after="0" w:line="247" w:lineRule="auto"/>
        <w:tabs>
          <w:tab w:leader="none" w:pos="1116" w:val="left"/>
        </w:tabs>
        <w:numPr>
          <w:ilvl w:val="0"/>
          <w:numId w:val="20"/>
        </w:numPr>
        <w:rPr>
          <w:rFonts w:ascii="Arial" w:cs="Arial" w:eastAsia="Arial" w:hAnsi="Arial"/>
          <w:sz w:val="22"/>
          <w:szCs w:val="22"/>
          <w:color w:val="010000"/>
        </w:rPr>
      </w:pPr>
      <w:r>
        <w:rPr>
          <w:rFonts w:ascii="Arial" w:cs="Arial" w:eastAsia="Arial" w:hAnsi="Arial"/>
          <w:sz w:val="22"/>
          <w:szCs w:val="22"/>
          <w:u w:val="single" w:color="auto"/>
          <w:color w:val="auto"/>
        </w:rPr>
        <w:t>Surrender of Stock</w:t>
      </w:r>
      <w:r>
        <w:rPr>
          <w:rFonts w:ascii="Arial" w:cs="Arial" w:eastAsia="Arial" w:hAnsi="Arial"/>
          <w:sz w:val="22"/>
          <w:szCs w:val="22"/>
          <w:color w:val="auto"/>
        </w:rPr>
        <w:t>. To the extent that a Stock Option Award Agreement so provides, payment may be made all or in part by surrendering, or attesting to the ownership of, Shares which have already been owned by the Participant or his representative. Such Shares shall be valued at their Fair Market Value on the date when the new Shares are purchased under the Plan. The Participant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28" w:right="339" w:bottom="1440" w:gutter="0" w:footer="0" w:header="0"/>
        </w:sectPr>
      </w:pPr>
    </w:p>
    <w:bookmarkStart w:id="17" w:name="page18"/>
    <w:bookmarkEnd w:id="17"/>
    <w:p>
      <w:pPr>
        <w:jc w:val="both"/>
        <w:ind w:firstLine="656"/>
        <w:spacing w:after="0" w:line="265" w:lineRule="auto"/>
        <w:tabs>
          <w:tab w:leader="none" w:pos="1144" w:val="left"/>
        </w:tabs>
        <w:numPr>
          <w:ilvl w:val="0"/>
          <w:numId w:val="21"/>
        </w:numPr>
        <w:rPr>
          <w:rFonts w:ascii="Arial" w:cs="Arial" w:eastAsia="Arial" w:hAnsi="Arial"/>
          <w:sz w:val="21"/>
          <w:szCs w:val="21"/>
          <w:color w:val="010000"/>
        </w:rPr>
      </w:pPr>
      <w:r>
        <w:rPr>
          <w:rFonts w:ascii="Arial" w:cs="Arial" w:eastAsia="Arial" w:hAnsi="Arial"/>
          <w:sz w:val="21"/>
          <w:szCs w:val="21"/>
          <w:u w:val="single" w:color="auto"/>
          <w:color w:val="auto"/>
        </w:rPr>
        <w:t>Services Rendered</w:t>
      </w:r>
      <w:r>
        <w:rPr>
          <w:rFonts w:ascii="Arial" w:cs="Arial" w:eastAsia="Arial" w:hAnsi="Arial"/>
          <w:sz w:val="21"/>
          <w:szCs w:val="21"/>
          <w:color w:val="auto"/>
        </w:rPr>
        <w:t>. At the discretion of the Committee, Shares may be awarded under the Plan in consideration of services rendered to 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spacing w:after="0" w:line="67" w:lineRule="exact"/>
        <w:rPr>
          <w:rFonts w:ascii="Arial" w:cs="Arial" w:eastAsia="Arial" w:hAnsi="Arial"/>
          <w:sz w:val="21"/>
          <w:szCs w:val="21"/>
          <w:color w:val="010000"/>
        </w:rPr>
      </w:pPr>
    </w:p>
    <w:p>
      <w:pPr>
        <w:jc w:val="both"/>
        <w:ind w:firstLine="656"/>
        <w:spacing w:after="0" w:line="271" w:lineRule="auto"/>
        <w:tabs>
          <w:tab w:leader="none" w:pos="1129" w:val="left"/>
        </w:tabs>
        <w:numPr>
          <w:ilvl w:val="0"/>
          <w:numId w:val="21"/>
        </w:numPr>
        <w:rPr>
          <w:rFonts w:ascii="Arial" w:cs="Arial" w:eastAsia="Arial" w:hAnsi="Arial"/>
          <w:sz w:val="21"/>
          <w:szCs w:val="21"/>
          <w:color w:val="010000"/>
        </w:rPr>
      </w:pPr>
      <w:r>
        <w:rPr>
          <w:rFonts w:ascii="Arial" w:cs="Arial" w:eastAsia="Arial" w:hAnsi="Arial"/>
          <w:sz w:val="21"/>
          <w:szCs w:val="21"/>
          <w:u w:val="single" w:color="auto"/>
          <w:color w:val="auto"/>
        </w:rPr>
        <w:t>Cashless Exercise</w:t>
      </w:r>
      <w:r>
        <w:rPr>
          <w:rFonts w:ascii="Arial" w:cs="Arial" w:eastAsia="Arial" w:hAnsi="Arial"/>
          <w:sz w:val="21"/>
          <w:szCs w:val="21"/>
          <w:color w:val="auto"/>
        </w:rPr>
        <w:t>. To the extent that a Stock Option Award Agreement so provides, payment may be made all or in part by delivery (on a form prescribed by the Committee) of an irrevocable direction to a securities broker to sell Shares and to deliver all or part of the sale proceeds to the Company in payment of the aggregate Exercise Price.</w:t>
      </w:r>
    </w:p>
    <w:p>
      <w:pPr>
        <w:spacing w:after="0" w:line="59" w:lineRule="exact"/>
        <w:rPr>
          <w:rFonts w:ascii="Arial" w:cs="Arial" w:eastAsia="Arial" w:hAnsi="Arial"/>
          <w:sz w:val="21"/>
          <w:szCs w:val="21"/>
          <w:color w:val="010000"/>
        </w:rPr>
      </w:pPr>
    </w:p>
    <w:p>
      <w:pPr>
        <w:jc w:val="both"/>
        <w:ind w:firstLine="656"/>
        <w:spacing w:after="0" w:line="250" w:lineRule="auto"/>
        <w:tabs>
          <w:tab w:leader="none" w:pos="1158" w:val="left"/>
        </w:tabs>
        <w:numPr>
          <w:ilvl w:val="0"/>
          <w:numId w:val="21"/>
        </w:numPr>
        <w:rPr>
          <w:rFonts w:ascii="Arial" w:cs="Arial" w:eastAsia="Arial" w:hAnsi="Arial"/>
          <w:sz w:val="22"/>
          <w:szCs w:val="22"/>
          <w:color w:val="010000"/>
        </w:rPr>
      </w:pPr>
      <w:r>
        <w:rPr>
          <w:rFonts w:ascii="Arial" w:cs="Arial" w:eastAsia="Arial" w:hAnsi="Arial"/>
          <w:sz w:val="22"/>
          <w:szCs w:val="22"/>
          <w:u w:val="single" w:color="auto"/>
          <w:color w:val="auto"/>
        </w:rPr>
        <w:t>Exercise/Pledge</w:t>
      </w:r>
      <w:r>
        <w:rPr>
          <w:rFonts w:ascii="Arial" w:cs="Arial" w:eastAsia="Arial" w:hAnsi="Arial"/>
          <w:sz w:val="22"/>
          <w:szCs w:val="22"/>
          <w:color w:val="auto"/>
        </w:rPr>
        <w:t xml:space="preserve">. To the extent that a Stock Option Award Agreement so provides, payment may be made all or in part by delivery (on a form prescribed by the Committee) of an irrevocable direction to a securities broker or lender to pledge </w:t>
      </w:r>
      <w:r>
        <w:rPr>
          <w:rFonts w:ascii="Arial" w:cs="Arial" w:eastAsia="Arial" w:hAnsi="Arial"/>
          <w:sz w:val="22"/>
          <w:szCs w:val="22"/>
          <w:i w:val="1"/>
          <w:iCs w:val="1"/>
          <w:color w:val="auto"/>
        </w:rPr>
        <w:t>Shares</w:t>
      </w:r>
      <w:r>
        <w:rPr>
          <w:rFonts w:ascii="Arial" w:cs="Arial" w:eastAsia="Arial" w:hAnsi="Arial"/>
          <w:sz w:val="22"/>
          <w:szCs w:val="22"/>
          <w:color w:val="auto"/>
        </w:rPr>
        <w:t>, as security for a loan, and to deliver all or part of the loan proceeds to the Company in payment of the aggregate Exercise</w:t>
      </w:r>
      <w:r>
        <w:rPr>
          <w:rFonts w:ascii="Arial" w:cs="Arial" w:eastAsia="Arial" w:hAnsi="Arial"/>
          <w:sz w:val="22"/>
          <w:szCs w:val="22"/>
          <w:i w:val="1"/>
          <w:iCs w:val="1"/>
          <w:color w:val="auto"/>
        </w:rPr>
        <w:t xml:space="preserve"> </w:t>
      </w:r>
      <w:r>
        <w:rPr>
          <w:rFonts w:ascii="Arial" w:cs="Arial" w:eastAsia="Arial" w:hAnsi="Arial"/>
          <w:sz w:val="22"/>
          <w:szCs w:val="22"/>
          <w:color w:val="auto"/>
        </w:rPr>
        <w:t>Price.</w:t>
      </w:r>
    </w:p>
    <w:p>
      <w:pPr>
        <w:spacing w:after="0" w:line="79" w:lineRule="exact"/>
        <w:rPr>
          <w:rFonts w:ascii="Arial" w:cs="Arial" w:eastAsia="Arial" w:hAnsi="Arial"/>
          <w:sz w:val="22"/>
          <w:szCs w:val="22"/>
          <w:color w:val="010000"/>
        </w:rPr>
      </w:pPr>
    </w:p>
    <w:p>
      <w:pPr>
        <w:jc w:val="both"/>
        <w:ind w:firstLine="656"/>
        <w:spacing w:after="0" w:line="247" w:lineRule="auto"/>
        <w:tabs>
          <w:tab w:leader="none" w:pos="1174" w:val="left"/>
        </w:tabs>
        <w:numPr>
          <w:ilvl w:val="0"/>
          <w:numId w:val="21"/>
        </w:numPr>
        <w:rPr>
          <w:rFonts w:ascii="Arial" w:cs="Arial" w:eastAsia="Arial" w:hAnsi="Arial"/>
          <w:sz w:val="22"/>
          <w:szCs w:val="22"/>
          <w:color w:val="010000"/>
        </w:rPr>
      </w:pPr>
      <w:r>
        <w:rPr>
          <w:rFonts w:ascii="Arial" w:cs="Arial" w:eastAsia="Arial" w:hAnsi="Arial"/>
          <w:sz w:val="22"/>
          <w:szCs w:val="22"/>
          <w:u w:val="single" w:color="auto"/>
          <w:color w:val="auto"/>
        </w:rPr>
        <w:t>Net Exercise</w:t>
      </w:r>
      <w:r>
        <w:rPr>
          <w:rFonts w:ascii="Arial" w:cs="Arial" w:eastAsia="Arial" w:hAnsi="Arial"/>
          <w:sz w:val="22"/>
          <w:szCs w:val="22"/>
          <w:color w:val="auto"/>
        </w:rPr>
        <w:t xml:space="preserve">. To the extent that a Stock Option Award Agreement so provides, by a “net exercise” arrangement pursuant to which </w:t>
      </w:r>
      <w:r>
        <w:rPr>
          <w:rFonts w:ascii="Arial" w:cs="Arial" w:eastAsia="Arial" w:hAnsi="Arial"/>
          <w:sz w:val="22"/>
          <w:szCs w:val="22"/>
          <w:i w:val="1"/>
          <w:iCs w:val="1"/>
          <w:color w:val="auto"/>
        </w:rPr>
        <w:t>the</w:t>
      </w:r>
      <w:r>
        <w:rPr>
          <w:rFonts w:ascii="Arial" w:cs="Arial" w:eastAsia="Arial" w:hAnsi="Arial"/>
          <w:sz w:val="22"/>
          <w:szCs w:val="22"/>
          <w:color w:val="auto"/>
        </w:rPr>
        <w:t xml:space="preserv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Optionee in cash other form of payment permitted under the Stock Option Agreement.</w:t>
      </w:r>
    </w:p>
    <w:p>
      <w:pPr>
        <w:spacing w:after="0" w:line="84" w:lineRule="exact"/>
        <w:rPr>
          <w:rFonts w:ascii="Arial" w:cs="Arial" w:eastAsia="Arial" w:hAnsi="Arial"/>
          <w:sz w:val="22"/>
          <w:szCs w:val="22"/>
          <w:color w:val="010000"/>
        </w:rPr>
      </w:pPr>
    </w:p>
    <w:p>
      <w:pPr>
        <w:jc w:val="both"/>
        <w:ind w:right="20" w:firstLine="656"/>
        <w:spacing w:after="0" w:line="253" w:lineRule="auto"/>
        <w:tabs>
          <w:tab w:leader="none" w:pos="1197" w:val="left"/>
        </w:tabs>
        <w:numPr>
          <w:ilvl w:val="0"/>
          <w:numId w:val="21"/>
        </w:numPr>
        <w:rPr>
          <w:rFonts w:ascii="Arial" w:cs="Arial" w:eastAsia="Arial" w:hAnsi="Arial"/>
          <w:sz w:val="22"/>
          <w:szCs w:val="22"/>
          <w:color w:val="010000"/>
        </w:rPr>
      </w:pPr>
      <w:r>
        <w:rPr>
          <w:rFonts w:ascii="Arial" w:cs="Arial" w:eastAsia="Arial" w:hAnsi="Arial"/>
          <w:sz w:val="22"/>
          <w:szCs w:val="22"/>
          <w:u w:val="single" w:color="auto"/>
          <w:color w:val="auto"/>
        </w:rPr>
        <w:t>Promissory Note</w:t>
      </w:r>
      <w:r>
        <w:rPr>
          <w:rFonts w:ascii="Arial" w:cs="Arial" w:eastAsia="Arial" w:hAnsi="Arial"/>
          <w:sz w:val="22"/>
          <w:szCs w:val="22"/>
          <w:color w:val="auto"/>
        </w:rPr>
        <w:t>. To the extent that a Stock Option Award Agreement or Restricted Share Award Agreement so provides, payment may be made all or in part by delivering (on a form prescribed by the Company) a full-recourse promissory note.</w:t>
      </w:r>
    </w:p>
    <w:p>
      <w:pPr>
        <w:spacing w:after="0" w:line="77" w:lineRule="exact"/>
        <w:rPr>
          <w:rFonts w:ascii="Arial" w:cs="Arial" w:eastAsia="Arial" w:hAnsi="Arial"/>
          <w:sz w:val="22"/>
          <w:szCs w:val="22"/>
          <w:color w:val="010000"/>
        </w:rPr>
      </w:pPr>
    </w:p>
    <w:p>
      <w:pPr>
        <w:ind w:firstLine="656"/>
        <w:spacing w:after="0" w:line="341" w:lineRule="auto"/>
        <w:tabs>
          <w:tab w:leader="none" w:pos="1116" w:val="left"/>
        </w:tabs>
        <w:numPr>
          <w:ilvl w:val="0"/>
          <w:numId w:val="21"/>
        </w:numPr>
        <w:rPr>
          <w:rFonts w:ascii="Arial" w:cs="Arial" w:eastAsia="Arial" w:hAnsi="Arial"/>
          <w:sz w:val="19"/>
          <w:szCs w:val="19"/>
          <w:color w:val="010000"/>
        </w:rPr>
      </w:pPr>
      <w:r>
        <w:rPr>
          <w:rFonts w:ascii="Arial" w:cs="Arial" w:eastAsia="Arial" w:hAnsi="Arial"/>
          <w:sz w:val="19"/>
          <w:szCs w:val="19"/>
          <w:u w:val="single" w:color="auto"/>
          <w:color w:val="auto"/>
        </w:rPr>
        <w:t>Other Forms of Payment</w:t>
      </w:r>
      <w:r>
        <w:rPr>
          <w:rFonts w:ascii="Arial" w:cs="Arial" w:eastAsia="Arial" w:hAnsi="Arial"/>
          <w:sz w:val="19"/>
          <w:szCs w:val="19"/>
          <w:color w:val="auto"/>
        </w:rPr>
        <w:t>. To the extent that a Stock Option Award Agreement or Restricted Share Award Agreement so provides, payment may be made in any other form that is consistent with applicable laws, regulations and rules.</w:t>
      </w:r>
    </w:p>
    <w:p>
      <w:pPr>
        <w:jc w:val="both"/>
        <w:ind w:firstLine="656"/>
        <w:spacing w:after="0" w:line="253" w:lineRule="auto"/>
        <w:tabs>
          <w:tab w:leader="none" w:pos="1189" w:val="left"/>
        </w:tabs>
        <w:numPr>
          <w:ilvl w:val="0"/>
          <w:numId w:val="21"/>
        </w:numPr>
        <w:rPr>
          <w:rFonts w:ascii="Arial" w:cs="Arial" w:eastAsia="Arial" w:hAnsi="Arial"/>
          <w:sz w:val="22"/>
          <w:szCs w:val="22"/>
          <w:color w:val="010000"/>
        </w:rPr>
      </w:pPr>
      <w:r>
        <w:rPr>
          <w:rFonts w:ascii="Arial" w:cs="Arial" w:eastAsia="Arial" w:hAnsi="Arial"/>
          <w:sz w:val="22"/>
          <w:szCs w:val="22"/>
          <w:u w:val="single" w:color="auto"/>
          <w:color w:val="auto"/>
        </w:rPr>
        <w:t>Limitations under Applicable Law</w:t>
      </w:r>
      <w:r>
        <w:rPr>
          <w:rFonts w:ascii="Arial" w:cs="Arial" w:eastAsia="Arial" w:hAnsi="Arial"/>
          <w:sz w:val="22"/>
          <w:szCs w:val="22"/>
          <w:color w:val="auto"/>
        </w:rPr>
        <w:t>. Notwithstanding anything herein or in a Stock Option Award Agreement or Restricted Share Award Agreement to the contrary, payment may not be made in any form that is unlawful, as determined by the Committee in its sole discretion.</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9. </w:t>
      </w:r>
      <w:r>
        <w:rPr>
          <w:rFonts w:ascii="Arial" w:cs="Arial" w:eastAsia="Arial" w:hAnsi="Arial"/>
          <w:sz w:val="22"/>
          <w:szCs w:val="22"/>
          <w:b w:val="1"/>
          <w:bCs w:val="1"/>
          <w:color w:val="000000"/>
        </w:rPr>
        <w:t>STOCK APPRECIATION RIGHTS.</w:t>
      </w:r>
    </w:p>
    <w:p>
      <w:pPr>
        <w:spacing w:after="0" w:line="226" w:lineRule="exact"/>
        <w:rPr>
          <w:sz w:val="20"/>
          <w:szCs w:val="20"/>
          <w:color w:val="auto"/>
        </w:rPr>
      </w:pPr>
    </w:p>
    <w:p>
      <w:pPr>
        <w:jc w:val="both"/>
        <w:ind w:firstLine="656"/>
        <w:spacing w:after="0" w:line="250" w:lineRule="auto"/>
        <w:tabs>
          <w:tab w:leader="none" w:pos="1225" w:val="left"/>
        </w:tabs>
        <w:numPr>
          <w:ilvl w:val="0"/>
          <w:numId w:val="22"/>
        </w:numPr>
        <w:rPr>
          <w:rFonts w:ascii="Arial" w:cs="Arial" w:eastAsia="Arial" w:hAnsi="Arial"/>
          <w:sz w:val="22"/>
          <w:szCs w:val="22"/>
          <w:color w:val="010000"/>
        </w:rPr>
      </w:pPr>
      <w:r>
        <w:rPr>
          <w:rFonts w:ascii="Arial" w:cs="Arial" w:eastAsia="Arial" w:hAnsi="Arial"/>
          <w:sz w:val="22"/>
          <w:szCs w:val="22"/>
          <w:u w:val="single" w:color="auto"/>
          <w:color w:val="auto"/>
        </w:rPr>
        <w:t>SAR Award Agreement</w:t>
      </w:r>
      <w:r>
        <w:rPr>
          <w:rFonts w:ascii="Arial" w:cs="Arial" w:eastAsia="Arial" w:hAnsi="Arial"/>
          <w:sz w:val="22"/>
          <w:szCs w:val="22"/>
          <w:color w:val="auto"/>
        </w:rPr>
        <w:t>. Each grant of a SAR under the Plan shall be evidenced by a SAR Award Agreement between the 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79" w:lineRule="exact"/>
        <w:rPr>
          <w:rFonts w:ascii="Arial" w:cs="Arial" w:eastAsia="Arial" w:hAnsi="Arial"/>
          <w:sz w:val="22"/>
          <w:szCs w:val="22"/>
          <w:color w:val="010000"/>
        </w:rPr>
      </w:pPr>
    </w:p>
    <w:p>
      <w:pPr>
        <w:ind w:right="20" w:firstLine="656"/>
        <w:spacing w:after="0" w:line="263" w:lineRule="auto"/>
        <w:tabs>
          <w:tab w:leader="none" w:pos="1143" w:val="left"/>
        </w:tabs>
        <w:numPr>
          <w:ilvl w:val="0"/>
          <w:numId w:val="22"/>
        </w:numPr>
        <w:rPr>
          <w:rFonts w:ascii="Arial" w:cs="Arial" w:eastAsia="Arial" w:hAnsi="Arial"/>
          <w:sz w:val="22"/>
          <w:szCs w:val="22"/>
          <w:color w:val="010000"/>
        </w:rPr>
      </w:pPr>
      <w:r>
        <w:rPr>
          <w:rFonts w:ascii="Arial" w:cs="Arial" w:eastAsia="Arial" w:hAnsi="Arial"/>
          <w:sz w:val="22"/>
          <w:szCs w:val="22"/>
          <w:u w:val="single" w:color="auto"/>
          <w:color w:val="auto"/>
        </w:rPr>
        <w:t>Number of Shares</w:t>
      </w:r>
      <w:r>
        <w:rPr>
          <w:rFonts w:ascii="Arial" w:cs="Arial" w:eastAsia="Arial" w:hAnsi="Arial"/>
          <w:sz w:val="22"/>
          <w:szCs w:val="22"/>
          <w:color w:val="auto"/>
        </w:rPr>
        <w:t>. Each SAR Award Agreement shall specify the number of Shares to which the SAR pertains and shall provide for the adjustment of such number in accordance with Section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18" w:name="page19"/>
    <w:bookmarkEnd w:id="18"/>
    <w:p>
      <w:pPr>
        <w:jc w:val="both"/>
        <w:ind w:firstLine="656"/>
        <w:spacing w:after="0" w:line="297" w:lineRule="auto"/>
        <w:tabs>
          <w:tab w:leader="none" w:pos="1117" w:val="left"/>
        </w:tabs>
        <w:numPr>
          <w:ilvl w:val="0"/>
          <w:numId w:val="23"/>
        </w:numPr>
        <w:rPr>
          <w:rFonts w:ascii="Arial" w:cs="Arial" w:eastAsia="Arial" w:hAnsi="Arial"/>
          <w:sz w:val="19"/>
          <w:szCs w:val="19"/>
          <w:color w:val="010000"/>
        </w:rPr>
      </w:pPr>
      <w:r>
        <w:rPr>
          <w:rFonts w:ascii="Arial" w:cs="Arial" w:eastAsia="Arial" w:hAnsi="Arial"/>
          <w:sz w:val="19"/>
          <w:szCs w:val="19"/>
          <w:u w:val="single" w:color="auto"/>
          <w:color w:val="auto"/>
        </w:rPr>
        <w:t>Exercise Price</w:t>
      </w:r>
      <w:r>
        <w:rPr>
          <w:rFonts w:ascii="Arial" w:cs="Arial" w:eastAsia="Arial" w:hAnsi="Arial"/>
          <w:sz w:val="19"/>
          <w:szCs w:val="19"/>
          <w:color w:val="auto"/>
        </w:rPr>
        <w:t xml:space="preserve">. Each SAR Award Agreement shall specify the Exercise Price. The Exercise Price of a SAR shall not be less </w:t>
      </w:r>
      <w:r>
        <w:rPr>
          <w:rFonts w:ascii="Arial" w:cs="Arial" w:eastAsia="Arial" w:hAnsi="Arial"/>
          <w:sz w:val="19"/>
          <w:szCs w:val="19"/>
          <w:i w:val="1"/>
          <w:iCs w:val="1"/>
          <w:color w:val="auto"/>
        </w:rPr>
        <w:t>than</w:t>
      </w:r>
      <w:r>
        <w:rPr>
          <w:rFonts w:ascii="Arial" w:cs="Arial" w:eastAsia="Arial" w:hAnsi="Arial"/>
          <w:sz w:val="19"/>
          <w:szCs w:val="19"/>
          <w:color w:val="auto"/>
        </w:rPr>
        <w:t xml:space="preserve"> 100% 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146" w:lineRule="exact"/>
        <w:rPr>
          <w:rFonts w:ascii="Arial" w:cs="Arial" w:eastAsia="Arial" w:hAnsi="Arial"/>
          <w:sz w:val="19"/>
          <w:szCs w:val="19"/>
          <w:color w:val="010000"/>
        </w:rPr>
      </w:pPr>
    </w:p>
    <w:p>
      <w:pPr>
        <w:jc w:val="both"/>
        <w:ind w:firstLine="656"/>
        <w:spacing w:after="0" w:line="246" w:lineRule="auto"/>
        <w:tabs>
          <w:tab w:leader="none" w:pos="1129" w:val="left"/>
        </w:tabs>
        <w:numPr>
          <w:ilvl w:val="0"/>
          <w:numId w:val="23"/>
        </w:numPr>
        <w:rPr>
          <w:rFonts w:ascii="Arial" w:cs="Arial" w:eastAsia="Arial" w:hAnsi="Arial"/>
          <w:sz w:val="22"/>
          <w:szCs w:val="22"/>
          <w:color w:val="010000"/>
        </w:rPr>
      </w:pPr>
      <w:r>
        <w:rPr>
          <w:rFonts w:ascii="Arial" w:cs="Arial" w:eastAsia="Arial" w:hAnsi="Arial"/>
          <w:sz w:val="22"/>
          <w:szCs w:val="22"/>
          <w:u w:val="single" w:color="auto"/>
          <w:color w:val="auto"/>
        </w:rPr>
        <w:t>Exercisability and Term</w:t>
      </w:r>
      <w:r>
        <w:rPr>
          <w:rFonts w:ascii="Arial" w:cs="Arial" w:eastAsia="Arial" w:hAnsi="Arial"/>
          <w:sz w:val="22"/>
          <w:szCs w:val="22"/>
          <w:color w:val="auto"/>
        </w:rPr>
        <w:t xml:space="preserve">. Each SAR Award Agreement shall specify the date when all or any installment of the SAR is to </w:t>
      </w:r>
      <w:r>
        <w:rPr>
          <w:rFonts w:ascii="Arial" w:cs="Arial" w:eastAsia="Arial" w:hAnsi="Arial"/>
          <w:sz w:val="22"/>
          <w:szCs w:val="22"/>
          <w:i w:val="1"/>
          <w:iCs w:val="1"/>
          <w:color w:val="auto"/>
        </w:rPr>
        <w:t>become</w:t>
      </w:r>
      <w:r>
        <w:rPr>
          <w:rFonts w:ascii="Arial" w:cs="Arial" w:eastAsia="Arial" w:hAnsi="Arial"/>
          <w:sz w:val="22"/>
          <w:szCs w:val="22"/>
          <w:color w:val="auto"/>
        </w:rPr>
        <w:t xml:space="preserve"> exercisable. The SAR Award Agreement shall also specify the term of the SAR. A SAR Award Agreement may provide for accelerated exercisability in the event of the Participant’s death, disability or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193" w:lineRule="exact"/>
        <w:rPr>
          <w:rFonts w:ascii="Arial" w:cs="Arial" w:eastAsia="Arial" w:hAnsi="Arial"/>
          <w:sz w:val="22"/>
          <w:szCs w:val="22"/>
          <w:color w:val="010000"/>
        </w:rPr>
      </w:pPr>
    </w:p>
    <w:p>
      <w:pPr>
        <w:jc w:val="both"/>
        <w:ind w:firstLine="656"/>
        <w:spacing w:after="0" w:line="253" w:lineRule="auto"/>
        <w:tabs>
          <w:tab w:leader="none" w:pos="1144" w:val="left"/>
        </w:tabs>
        <w:numPr>
          <w:ilvl w:val="0"/>
          <w:numId w:val="23"/>
        </w:numPr>
        <w:rPr>
          <w:rFonts w:ascii="Arial" w:cs="Arial" w:eastAsia="Arial" w:hAnsi="Arial"/>
          <w:sz w:val="22"/>
          <w:szCs w:val="22"/>
          <w:color w:val="010000"/>
        </w:rPr>
      </w:pPr>
      <w:r>
        <w:rPr>
          <w:rFonts w:ascii="Arial" w:cs="Arial" w:eastAsia="Arial" w:hAnsi="Arial"/>
          <w:sz w:val="22"/>
          <w:szCs w:val="22"/>
          <w:u w:val="single" w:color="auto"/>
          <w:color w:val="auto"/>
        </w:rPr>
        <w:t>Effect of Change in Control</w:t>
      </w:r>
      <w:r>
        <w:rPr>
          <w:rFonts w:ascii="Arial" w:cs="Arial" w:eastAsia="Arial" w:hAnsi="Arial"/>
          <w:sz w:val="22"/>
          <w:szCs w:val="22"/>
          <w:color w:val="auto"/>
        </w:rPr>
        <w:t>. The Committee may determine, at the time of granting a SAR or thereafter, that such SAR shall become fully exercisable as to all Common Shares subject to such SAR in the event that a Change in Control occurs with respect to the Company.</w:t>
      </w:r>
    </w:p>
    <w:p>
      <w:pPr>
        <w:spacing w:after="0" w:line="185" w:lineRule="exact"/>
        <w:rPr>
          <w:rFonts w:ascii="Arial" w:cs="Arial" w:eastAsia="Arial" w:hAnsi="Arial"/>
          <w:sz w:val="22"/>
          <w:szCs w:val="22"/>
          <w:color w:val="010000"/>
        </w:rPr>
      </w:pPr>
    </w:p>
    <w:p>
      <w:pPr>
        <w:jc w:val="both"/>
        <w:ind w:firstLine="656"/>
        <w:spacing w:after="0" w:line="248" w:lineRule="auto"/>
        <w:tabs>
          <w:tab w:leader="none" w:pos="1093" w:val="left"/>
        </w:tabs>
        <w:numPr>
          <w:ilvl w:val="0"/>
          <w:numId w:val="23"/>
        </w:numPr>
        <w:rPr>
          <w:rFonts w:ascii="Arial" w:cs="Arial" w:eastAsia="Arial" w:hAnsi="Arial"/>
          <w:sz w:val="22"/>
          <w:szCs w:val="22"/>
          <w:color w:val="010000"/>
        </w:rPr>
      </w:pPr>
      <w:r>
        <w:rPr>
          <w:rFonts w:ascii="Arial" w:cs="Arial" w:eastAsia="Arial" w:hAnsi="Arial"/>
          <w:sz w:val="22"/>
          <w:szCs w:val="22"/>
          <w:u w:val="single" w:color="auto"/>
          <w:color w:val="auto"/>
        </w:rPr>
        <w:t>Exercise of SARs</w:t>
      </w:r>
      <w:r>
        <w:rPr>
          <w:rFonts w:ascii="Arial" w:cs="Arial" w:eastAsia="Arial" w:hAnsi="Arial"/>
          <w:sz w:val="22"/>
          <w:szCs w:val="22"/>
          <w:color w:val="auto"/>
        </w:rPr>
        <w:t>. Upon exercise of a SAR, the Participant (or any person having the right to exercise the SAR after his or her death) shall receive from the Company (a) Shares, (b) cash or (c)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191" w:lineRule="exact"/>
        <w:rPr>
          <w:rFonts w:ascii="Arial" w:cs="Arial" w:eastAsia="Arial" w:hAnsi="Arial"/>
          <w:sz w:val="22"/>
          <w:szCs w:val="22"/>
          <w:color w:val="010000"/>
        </w:rPr>
      </w:pPr>
    </w:p>
    <w:p>
      <w:pPr>
        <w:jc w:val="both"/>
        <w:ind w:firstLine="656"/>
        <w:spacing w:after="0" w:line="247" w:lineRule="auto"/>
        <w:tabs>
          <w:tab w:leader="none" w:pos="1210" w:val="left"/>
        </w:tabs>
        <w:numPr>
          <w:ilvl w:val="0"/>
          <w:numId w:val="23"/>
        </w:numPr>
        <w:rPr>
          <w:rFonts w:ascii="Arial" w:cs="Arial" w:eastAsia="Arial" w:hAnsi="Arial"/>
          <w:sz w:val="22"/>
          <w:szCs w:val="22"/>
          <w:color w:val="010000"/>
        </w:rPr>
      </w:pPr>
      <w:r>
        <w:rPr>
          <w:rFonts w:ascii="Arial" w:cs="Arial" w:eastAsia="Arial" w:hAnsi="Arial"/>
          <w:sz w:val="22"/>
          <w:szCs w:val="22"/>
          <w:u w:val="single" w:color="auto"/>
          <w:color w:val="auto"/>
        </w:rPr>
        <w:t>Modification or Assumption of SARs</w:t>
      </w:r>
      <w:r>
        <w:rPr>
          <w:rFonts w:ascii="Arial" w:cs="Arial" w:eastAsia="Arial" w:hAnsi="Arial"/>
          <w:sz w:val="22"/>
          <w:szCs w:val="22"/>
          <w:color w:val="auto"/>
        </w:rPr>
        <w:t>. Within the limitations of the Plan, the Committee may 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without stockholder approval. The foregoing notwithstanding, no modification of a SAR shall, without the consent of the holder, materially impair his or her rights or obligations under such SAR.</w:t>
      </w:r>
    </w:p>
    <w:p>
      <w:pPr>
        <w:spacing w:after="0" w:line="192" w:lineRule="exact"/>
        <w:rPr>
          <w:rFonts w:ascii="Arial" w:cs="Arial" w:eastAsia="Arial" w:hAnsi="Arial"/>
          <w:sz w:val="22"/>
          <w:szCs w:val="22"/>
          <w:color w:val="010000"/>
        </w:rPr>
      </w:pPr>
    </w:p>
    <w:p>
      <w:pPr>
        <w:jc w:val="both"/>
        <w:ind w:firstLine="656"/>
        <w:spacing w:after="0" w:line="253" w:lineRule="auto"/>
        <w:tabs>
          <w:tab w:leader="none" w:pos="1129" w:val="left"/>
        </w:tabs>
        <w:numPr>
          <w:ilvl w:val="0"/>
          <w:numId w:val="23"/>
        </w:numPr>
        <w:rPr>
          <w:rFonts w:ascii="Arial" w:cs="Arial" w:eastAsia="Arial" w:hAnsi="Arial"/>
          <w:sz w:val="22"/>
          <w:szCs w:val="22"/>
          <w:color w:val="010000"/>
        </w:rPr>
      </w:pPr>
      <w:r>
        <w:rPr>
          <w:rFonts w:ascii="Arial" w:cs="Arial" w:eastAsia="Arial" w:hAnsi="Arial"/>
          <w:sz w:val="22"/>
          <w:szCs w:val="22"/>
          <w:u w:val="single" w:color="auto"/>
          <w:color w:val="auto"/>
        </w:rPr>
        <w:t>Buyout Provisions</w:t>
      </w:r>
      <w:r>
        <w:rPr>
          <w:rFonts w:ascii="Arial" w:cs="Arial" w:eastAsia="Arial" w:hAnsi="Arial"/>
          <w:sz w:val="22"/>
          <w:szCs w:val="22"/>
          <w:color w:val="auto"/>
        </w:rPr>
        <w:t>. The Committee may at any time (a) offer to buy out for a payment in cash or cash equivalents a SAR previously granted, or (b) authorize a Participant to elect to cash out a SAR previously granted, in either case at such time and based upon such terms and conditions as the Committee shall establish.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b w:val="1"/>
          <w:bCs w:val="1"/>
          <w:color w:val="010000"/>
        </w:rPr>
        <w:t xml:space="preserve">Section 10. </w:t>
      </w:r>
      <w:r>
        <w:rPr>
          <w:rFonts w:ascii="Arial" w:cs="Arial" w:eastAsia="Arial" w:hAnsi="Arial"/>
          <w:sz w:val="22"/>
          <w:szCs w:val="22"/>
          <w:b w:val="1"/>
          <w:bCs w:val="1"/>
          <w:color w:val="000000"/>
        </w:rPr>
        <w:t>STOCK UNITS.</w:t>
      </w:r>
    </w:p>
    <w:p>
      <w:pPr>
        <w:spacing w:after="0" w:line="226" w:lineRule="exact"/>
        <w:rPr>
          <w:sz w:val="20"/>
          <w:szCs w:val="20"/>
          <w:color w:val="auto"/>
        </w:rPr>
      </w:pPr>
    </w:p>
    <w:p>
      <w:pPr>
        <w:jc w:val="both"/>
        <w:ind w:firstLine="656"/>
        <w:spacing w:after="0" w:line="250" w:lineRule="auto"/>
        <w:tabs>
          <w:tab w:leader="none" w:pos="1144" w:val="left"/>
        </w:tabs>
        <w:numPr>
          <w:ilvl w:val="1"/>
          <w:numId w:val="24"/>
        </w:numPr>
        <w:rPr>
          <w:rFonts w:ascii="Arial" w:cs="Arial" w:eastAsia="Arial" w:hAnsi="Arial"/>
          <w:sz w:val="22"/>
          <w:szCs w:val="22"/>
          <w:color w:val="010000"/>
        </w:rPr>
      </w:pPr>
      <w:r>
        <w:rPr>
          <w:rFonts w:ascii="Arial" w:cs="Arial" w:eastAsia="Arial" w:hAnsi="Arial"/>
          <w:sz w:val="22"/>
          <w:szCs w:val="22"/>
          <w:u w:val="single" w:color="auto"/>
          <w:color w:val="auto"/>
        </w:rPr>
        <w:t>Stock Unit Award Agreement</w:t>
      </w:r>
      <w:r>
        <w:rPr>
          <w:rFonts w:ascii="Arial" w:cs="Arial" w:eastAsia="Arial" w:hAnsi="Arial"/>
          <w:sz w:val="22"/>
          <w:szCs w:val="22"/>
          <w:color w:val="auto"/>
        </w:rPr>
        <w:t>. Each grant of Stock Units under the Plan shall be evidenced by a Stock Unit Award Agreement between the Participant and the Company. Such Stock Units shall be subject to all applicable terms of the Plan and may be subject to any other terms that are not inconsistent with the Plan. The provisions of the various Stock Unit Award Agreements entered into under the Plan need not be identical.</w:t>
      </w:r>
    </w:p>
    <w:p>
      <w:pPr>
        <w:spacing w:after="0" w:line="187" w:lineRule="exact"/>
        <w:rPr>
          <w:rFonts w:ascii="Arial" w:cs="Arial" w:eastAsia="Arial" w:hAnsi="Arial"/>
          <w:sz w:val="22"/>
          <w:szCs w:val="22"/>
          <w:color w:val="010000"/>
        </w:rPr>
      </w:pPr>
    </w:p>
    <w:p>
      <w:pPr>
        <w:ind w:right="20" w:firstLine="656"/>
        <w:spacing w:after="0" w:line="263" w:lineRule="auto"/>
        <w:tabs>
          <w:tab w:leader="none" w:pos="1143" w:val="left"/>
        </w:tabs>
        <w:numPr>
          <w:ilvl w:val="1"/>
          <w:numId w:val="24"/>
        </w:numPr>
        <w:rPr>
          <w:rFonts w:ascii="Arial" w:cs="Arial" w:eastAsia="Arial" w:hAnsi="Arial"/>
          <w:sz w:val="22"/>
          <w:szCs w:val="22"/>
          <w:color w:val="010000"/>
        </w:rPr>
      </w:pPr>
      <w:r>
        <w:rPr>
          <w:rFonts w:ascii="Arial" w:cs="Arial" w:eastAsia="Arial" w:hAnsi="Arial"/>
          <w:sz w:val="22"/>
          <w:szCs w:val="22"/>
          <w:u w:val="single" w:color="auto"/>
          <w:color w:val="auto"/>
        </w:rPr>
        <w:t>Payment for Awards</w:t>
      </w:r>
      <w:r>
        <w:rPr>
          <w:rFonts w:ascii="Arial" w:cs="Arial" w:eastAsia="Arial" w:hAnsi="Arial"/>
          <w:sz w:val="22"/>
          <w:szCs w:val="22"/>
          <w:color w:val="auto"/>
        </w:rPr>
        <w:t>. To the extent that an Award is granted in the form of Stock Units, no cash consideration shall be required of the Award recipients.</w:t>
      </w:r>
    </w:p>
    <w:p>
      <w:pPr>
        <w:spacing w:after="0" w:line="174" w:lineRule="exact"/>
        <w:rPr>
          <w:rFonts w:ascii="Arial" w:cs="Arial" w:eastAsia="Arial" w:hAnsi="Arial"/>
          <w:sz w:val="22"/>
          <w:szCs w:val="22"/>
          <w:color w:val="010000"/>
        </w:rPr>
      </w:pPr>
    </w:p>
    <w:p>
      <w:pPr>
        <w:jc w:val="both"/>
        <w:ind w:firstLine="656"/>
        <w:spacing w:after="0" w:line="263" w:lineRule="auto"/>
        <w:tabs>
          <w:tab w:leader="none" w:pos="1131" w:val="left"/>
        </w:tabs>
        <w:numPr>
          <w:ilvl w:val="1"/>
          <w:numId w:val="24"/>
        </w:numPr>
        <w:rPr>
          <w:rFonts w:ascii="Arial" w:cs="Arial" w:eastAsia="Arial" w:hAnsi="Arial"/>
          <w:sz w:val="21"/>
          <w:szCs w:val="21"/>
          <w:color w:val="010000"/>
        </w:rPr>
      </w:pPr>
      <w:r>
        <w:rPr>
          <w:rFonts w:ascii="Arial" w:cs="Arial" w:eastAsia="Arial" w:hAnsi="Arial"/>
          <w:sz w:val="21"/>
          <w:szCs w:val="21"/>
          <w:u w:val="single" w:color="auto"/>
          <w:color w:val="auto"/>
        </w:rPr>
        <w:t>Vesting Conditions</w:t>
      </w:r>
      <w:r>
        <w:rPr>
          <w:rFonts w:ascii="Arial" w:cs="Arial" w:eastAsia="Arial" w:hAnsi="Arial"/>
          <w:sz w:val="21"/>
          <w:szCs w:val="21"/>
          <w:color w:val="auto"/>
        </w:rPr>
        <w:t>. Each Award of Stock Units may or may not be subject to vesting. Vesting shall occur, in full or in installments, upon satisfaction of the conditions specified in the Stock Unit Award Agreement. A Stock Unit Award Agreement may provide for accelerated vesting in the event of the Participant’s death, disability or retirement or other events. The Committee may determine, at the time of granting Stock Units or thereafter, that all or part of such Stock Units shall become vested in the event that a Change in Control occurs with respect to the Company.</w:t>
      </w:r>
    </w:p>
    <w:p>
      <w:pPr>
        <w:spacing w:after="0" w:line="175" w:lineRule="exact"/>
        <w:rPr>
          <w:rFonts w:ascii="Arial" w:cs="Arial" w:eastAsia="Arial" w:hAnsi="Arial"/>
          <w:sz w:val="21"/>
          <w:szCs w:val="21"/>
          <w:color w:val="010000"/>
        </w:rPr>
      </w:pPr>
    </w:p>
    <w:p>
      <w:pPr>
        <w:jc w:val="both"/>
        <w:ind w:firstLine="656"/>
        <w:spacing w:after="0" w:line="260" w:lineRule="auto"/>
        <w:tabs>
          <w:tab w:leader="none" w:pos="1116" w:val="left"/>
        </w:tabs>
        <w:numPr>
          <w:ilvl w:val="1"/>
          <w:numId w:val="24"/>
        </w:numPr>
        <w:rPr>
          <w:rFonts w:ascii="Arial" w:cs="Arial" w:eastAsia="Arial" w:hAnsi="Arial"/>
          <w:sz w:val="21"/>
          <w:szCs w:val="21"/>
          <w:color w:val="010000"/>
        </w:rPr>
      </w:pPr>
      <w:r>
        <w:rPr>
          <w:rFonts w:ascii="Arial" w:cs="Arial" w:eastAsia="Arial" w:hAnsi="Arial"/>
          <w:sz w:val="21"/>
          <w:szCs w:val="21"/>
          <w:u w:val="single" w:color="auto"/>
          <w:color w:val="auto"/>
        </w:rPr>
        <w:t>Voting and Dividend Rights</w:t>
      </w:r>
      <w:r>
        <w:rPr>
          <w:rFonts w:ascii="Arial" w:cs="Arial" w:eastAsia="Arial" w:hAnsi="Arial"/>
          <w:sz w:val="21"/>
          <w:szCs w:val="21"/>
          <w:color w:val="auto"/>
        </w:rPr>
        <w:t>. The holders of Stock Units shall have no voting rights. Prior to settlement or forfeiture, any Stock Unit awarded 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Prior to distribution, any dividend equivalents which are not paid shall be subject to the same conditions and restrictions (including without limitation, any forfeiture conditions) as the Stock Units to which they attach.</w:t>
      </w:r>
    </w:p>
    <w:p>
      <w:pPr>
        <w:spacing w:after="0" w:line="180" w:lineRule="exact"/>
        <w:rPr>
          <w:rFonts w:ascii="Arial" w:cs="Arial" w:eastAsia="Arial" w:hAnsi="Arial"/>
          <w:sz w:val="21"/>
          <w:szCs w:val="21"/>
          <w:color w:val="010000"/>
        </w:rPr>
      </w:pPr>
    </w:p>
    <w:p>
      <w:pPr>
        <w:ind w:left="1120" w:hanging="464"/>
        <w:spacing w:after="0"/>
        <w:tabs>
          <w:tab w:leader="none" w:pos="1120" w:val="left"/>
        </w:tabs>
        <w:numPr>
          <w:ilvl w:val="1"/>
          <w:numId w:val="24"/>
        </w:numPr>
        <w:rPr>
          <w:rFonts w:ascii="Arial" w:cs="Arial" w:eastAsia="Arial" w:hAnsi="Arial"/>
          <w:sz w:val="19"/>
          <w:szCs w:val="19"/>
          <w:color w:val="010000"/>
        </w:rPr>
      </w:pPr>
      <w:r>
        <w:rPr>
          <w:rFonts w:ascii="Arial" w:cs="Arial" w:eastAsia="Arial" w:hAnsi="Arial"/>
          <w:sz w:val="19"/>
          <w:szCs w:val="19"/>
          <w:u w:val="single" w:color="auto"/>
          <w:color w:val="auto"/>
        </w:rPr>
        <w:t>Form and Time of Settlement of Stock Units</w:t>
      </w:r>
      <w:r>
        <w:rPr>
          <w:rFonts w:ascii="Arial" w:cs="Arial" w:eastAsia="Arial" w:hAnsi="Arial"/>
          <w:sz w:val="19"/>
          <w:szCs w:val="19"/>
          <w:color w:val="auto"/>
        </w:rPr>
        <w:t>. Settlement of vested Stock Units may be made in the form of (a) cash,</w:t>
      </w:r>
    </w:p>
    <w:p>
      <w:pPr>
        <w:spacing w:after="0" w:line="55" w:lineRule="exact"/>
        <w:rPr>
          <w:rFonts w:ascii="Arial" w:cs="Arial" w:eastAsia="Arial" w:hAnsi="Arial"/>
          <w:sz w:val="19"/>
          <w:szCs w:val="19"/>
          <w:color w:val="010000"/>
        </w:rPr>
      </w:pPr>
    </w:p>
    <w:p>
      <w:pPr>
        <w:jc w:val="both"/>
        <w:ind w:firstLine="8"/>
        <w:spacing w:after="0" w:line="256" w:lineRule="auto"/>
        <w:tabs>
          <w:tab w:leader="none" w:pos="340" w:val="left"/>
        </w:tabs>
        <w:numPr>
          <w:ilvl w:val="0"/>
          <w:numId w:val="25"/>
        </w:numPr>
        <w:rPr>
          <w:rFonts w:ascii="Arial" w:cs="Arial" w:eastAsia="Arial" w:hAnsi="Arial"/>
          <w:sz w:val="21"/>
          <w:szCs w:val="21"/>
          <w:color w:val="auto"/>
        </w:rPr>
      </w:pPr>
      <w:r>
        <w:rPr>
          <w:rFonts w:ascii="Arial" w:cs="Arial" w:eastAsia="Arial" w:hAnsi="Arial"/>
          <w:sz w:val="21"/>
          <w:szCs w:val="21"/>
          <w:color w:val="auto"/>
        </w:rPr>
        <w:t>Shares or (c) any combination of both, as determined by the Committee.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Shares over a series of trading days. A Stock Unit Award Agreement may provide that vested Stock Units may be settled in a lump sum or in installments. A Stock Unit Award Agreement may provide that the distribution may occur or commence when all vesting conditions applicable to the Stock Units have been satisfied or have lapsed, or it may be deferred to any later date, subject to compliance with Section 409A of the Code. The amount of a deferred distribution may be increased by an interest factor or by dividend equivalents. Until an Award of Stock Units is settled, the number of such Stock Units shall be subject to adjustment pursuant to Section 12.</w:t>
      </w:r>
    </w:p>
    <w:p>
      <w:pPr>
        <w:spacing w:after="0" w:line="188" w:lineRule="exact"/>
        <w:rPr>
          <w:rFonts w:ascii="Arial" w:cs="Arial" w:eastAsia="Arial" w:hAnsi="Arial"/>
          <w:sz w:val="21"/>
          <w:szCs w:val="21"/>
          <w:color w:val="auto"/>
        </w:rPr>
      </w:pPr>
    </w:p>
    <w:p>
      <w:pPr>
        <w:jc w:val="both"/>
        <w:ind w:firstLine="656"/>
        <w:spacing w:after="0" w:line="253" w:lineRule="auto"/>
        <w:tabs>
          <w:tab w:leader="none" w:pos="1093" w:val="left"/>
        </w:tabs>
        <w:numPr>
          <w:ilvl w:val="1"/>
          <w:numId w:val="25"/>
        </w:numPr>
        <w:rPr>
          <w:rFonts w:ascii="Arial" w:cs="Arial" w:eastAsia="Arial" w:hAnsi="Arial"/>
          <w:sz w:val="22"/>
          <w:szCs w:val="22"/>
          <w:color w:val="010000"/>
        </w:rPr>
      </w:pPr>
      <w:r>
        <w:rPr>
          <w:rFonts w:ascii="Arial" w:cs="Arial" w:eastAsia="Arial" w:hAnsi="Arial"/>
          <w:sz w:val="22"/>
          <w:szCs w:val="22"/>
          <w:u w:val="single" w:color="auto"/>
          <w:color w:val="auto"/>
        </w:rPr>
        <w:t>Death of Participant</w:t>
      </w:r>
      <w:r>
        <w:rPr>
          <w:rFonts w:ascii="Arial" w:cs="Arial" w:eastAsia="Arial" w:hAnsi="Arial"/>
          <w:sz w:val="22"/>
          <w:szCs w:val="22"/>
          <w:color w:val="auto"/>
        </w:rPr>
        <w:t>. Any Stock Unit Award that becomes payable after the Participant’s death shall be distributed to the Participant’s beneficiary or beneficiaries. Each recipient of a Stock Unit Award under the Plan shall designate one or more beneficiaries for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22" w:right="339" w:bottom="1440" w:gutter="0" w:footer="0" w:header="0"/>
        </w:sectPr>
      </w:pPr>
    </w:p>
    <w:bookmarkStart w:id="20" w:name="page21"/>
    <w:bookmarkEnd w:id="20"/>
    <w:p>
      <w:pPr>
        <w:jc w:val="both"/>
        <w:spacing w:after="0" w:line="250" w:lineRule="auto"/>
        <w:rPr>
          <w:sz w:val="20"/>
          <w:szCs w:val="20"/>
          <w:color w:val="auto"/>
        </w:rPr>
      </w:pPr>
      <w:r>
        <w:rPr>
          <w:rFonts w:ascii="Arial" w:cs="Arial" w:eastAsia="Arial" w:hAnsi="Arial"/>
          <w:sz w:val="22"/>
          <w:szCs w:val="22"/>
          <w:color w:val="auto"/>
        </w:rPr>
        <w:t>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Stock Units Award that becomes payable after the Participant’s death shall be distributed to the Participant’s estate.</w:t>
      </w:r>
    </w:p>
    <w:p>
      <w:pPr>
        <w:spacing w:after="0" w:line="188" w:lineRule="exact"/>
        <w:rPr>
          <w:sz w:val="20"/>
          <w:szCs w:val="20"/>
          <w:color w:val="auto"/>
        </w:rPr>
      </w:pPr>
    </w:p>
    <w:p>
      <w:pPr>
        <w:jc w:val="both"/>
        <w:ind w:firstLine="656"/>
        <w:spacing w:after="0" w:line="253" w:lineRule="auto"/>
        <w:tabs>
          <w:tab w:leader="none" w:pos="1264" w:val="left"/>
        </w:tabs>
        <w:numPr>
          <w:ilvl w:val="0"/>
          <w:numId w:val="26"/>
        </w:numPr>
        <w:rPr>
          <w:rFonts w:ascii="Arial" w:cs="Arial" w:eastAsia="Arial" w:hAnsi="Arial"/>
          <w:sz w:val="22"/>
          <w:szCs w:val="22"/>
          <w:color w:val="010000"/>
        </w:rPr>
      </w:pPr>
      <w:r>
        <w:rPr>
          <w:rFonts w:ascii="Arial" w:cs="Arial" w:eastAsia="Arial" w:hAnsi="Arial"/>
          <w:sz w:val="22"/>
          <w:szCs w:val="22"/>
          <w:u w:val="single" w:color="auto"/>
          <w:color w:val="auto"/>
        </w:rPr>
        <w:t>Creditors’ Rights</w:t>
      </w:r>
      <w:r>
        <w:rPr>
          <w:rFonts w:ascii="Arial" w:cs="Arial" w:eastAsia="Arial" w:hAnsi="Arial"/>
          <w:sz w:val="22"/>
          <w:szCs w:val="22"/>
          <w:color w:val="auto"/>
        </w:rPr>
        <w:t>. A holder of Stock Units shall have no rights other than those of a general creditor of the Company. Stock Units represent an unfunded and unsecured obligation of the Company, subject to the terms and conditions of the applicable Stock Unit Award Agreement.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11. </w:t>
      </w:r>
      <w:r>
        <w:rPr>
          <w:rFonts w:ascii="Arial" w:cs="Arial" w:eastAsia="Arial" w:hAnsi="Arial"/>
          <w:sz w:val="22"/>
          <w:szCs w:val="22"/>
          <w:b w:val="1"/>
          <w:bCs w:val="1"/>
          <w:color w:val="000000"/>
        </w:rPr>
        <w:t>CASH-BASED AWARDS</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of Stock, as the Committee determines.</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12. </w:t>
      </w:r>
      <w:r>
        <w:rPr>
          <w:rFonts w:ascii="Arial" w:cs="Arial" w:eastAsia="Arial" w:hAnsi="Arial"/>
          <w:sz w:val="22"/>
          <w:szCs w:val="22"/>
          <w:b w:val="1"/>
          <w:bCs w:val="1"/>
          <w:color w:val="000000"/>
        </w:rPr>
        <w:t>ADJUSTMENT OF SHARES.</w:t>
      </w:r>
    </w:p>
    <w:p>
      <w:pPr>
        <w:spacing w:after="0" w:line="226" w:lineRule="exact"/>
        <w:rPr>
          <w:sz w:val="20"/>
          <w:szCs w:val="20"/>
          <w:color w:val="auto"/>
        </w:rPr>
      </w:pPr>
    </w:p>
    <w:p>
      <w:pPr>
        <w:jc w:val="both"/>
        <w:ind w:firstLine="656"/>
        <w:spacing w:after="0" w:line="302" w:lineRule="auto"/>
        <w:tabs>
          <w:tab w:leader="none" w:pos="1117" w:val="left"/>
        </w:tabs>
        <w:numPr>
          <w:ilvl w:val="0"/>
          <w:numId w:val="27"/>
        </w:numPr>
        <w:rPr>
          <w:rFonts w:ascii="Arial" w:cs="Arial" w:eastAsia="Arial" w:hAnsi="Arial"/>
          <w:sz w:val="19"/>
          <w:szCs w:val="19"/>
          <w:color w:val="010000"/>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of a subdivision of the outstanding Stock, a declaration of a dividend payable in Shares, 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142" w:lineRule="exact"/>
        <w:rPr>
          <w:rFonts w:ascii="Arial" w:cs="Arial" w:eastAsia="Arial" w:hAnsi="Arial"/>
          <w:sz w:val="19"/>
          <w:szCs w:val="19"/>
          <w:color w:val="010000"/>
        </w:rPr>
      </w:pPr>
    </w:p>
    <w:p>
      <w:pPr>
        <w:ind w:left="1720" w:hanging="416"/>
        <w:spacing w:after="0"/>
        <w:tabs>
          <w:tab w:leader="none" w:pos="1720" w:val="left"/>
        </w:tabs>
        <w:numPr>
          <w:ilvl w:val="1"/>
          <w:numId w:val="27"/>
        </w:numPr>
        <w:rPr>
          <w:rFonts w:ascii="Arial" w:cs="Arial" w:eastAsia="Arial" w:hAnsi="Arial"/>
          <w:sz w:val="22"/>
          <w:szCs w:val="22"/>
          <w:color w:val="010000"/>
        </w:rPr>
      </w:pPr>
      <w:r>
        <w:rPr>
          <w:rFonts w:ascii="Arial" w:cs="Arial" w:eastAsia="Arial" w:hAnsi="Arial"/>
          <w:sz w:val="22"/>
          <w:szCs w:val="22"/>
          <w:color w:val="auto"/>
        </w:rPr>
        <w:t>The number of Shares available for future Awards under Section 5;</w:t>
      </w:r>
    </w:p>
    <w:p>
      <w:pPr>
        <w:spacing w:after="0" w:line="219" w:lineRule="exact"/>
        <w:rPr>
          <w:rFonts w:ascii="Arial" w:cs="Arial" w:eastAsia="Arial" w:hAnsi="Arial"/>
          <w:sz w:val="22"/>
          <w:szCs w:val="22"/>
          <w:color w:val="010000"/>
        </w:rPr>
      </w:pPr>
    </w:p>
    <w:p>
      <w:pPr>
        <w:ind w:left="1780" w:hanging="476"/>
        <w:spacing w:after="0"/>
        <w:tabs>
          <w:tab w:leader="none" w:pos="1780" w:val="left"/>
        </w:tabs>
        <w:numPr>
          <w:ilvl w:val="1"/>
          <w:numId w:val="27"/>
        </w:numPr>
        <w:rPr>
          <w:rFonts w:ascii="Arial" w:cs="Arial" w:eastAsia="Arial" w:hAnsi="Arial"/>
          <w:sz w:val="22"/>
          <w:szCs w:val="22"/>
          <w:color w:val="010000"/>
        </w:rPr>
      </w:pPr>
      <w:r>
        <w:rPr>
          <w:rFonts w:ascii="Arial" w:cs="Arial" w:eastAsia="Arial" w:hAnsi="Arial"/>
          <w:sz w:val="22"/>
          <w:szCs w:val="22"/>
          <w:color w:val="auto"/>
        </w:rPr>
        <w:t>The limitations set forth in Sections 5(a) and (b) and Section 19;</w:t>
      </w:r>
    </w:p>
    <w:p>
      <w:pPr>
        <w:spacing w:after="0" w:line="219" w:lineRule="exact"/>
        <w:rPr>
          <w:rFonts w:ascii="Arial" w:cs="Arial" w:eastAsia="Arial" w:hAnsi="Arial"/>
          <w:sz w:val="22"/>
          <w:szCs w:val="22"/>
          <w:color w:val="010000"/>
        </w:rPr>
      </w:pPr>
    </w:p>
    <w:p>
      <w:pPr>
        <w:ind w:left="1840" w:hanging="536"/>
        <w:spacing w:after="0"/>
        <w:tabs>
          <w:tab w:leader="none" w:pos="1840" w:val="left"/>
        </w:tabs>
        <w:numPr>
          <w:ilvl w:val="1"/>
          <w:numId w:val="27"/>
        </w:numPr>
        <w:rPr>
          <w:rFonts w:ascii="Arial" w:cs="Arial" w:eastAsia="Arial" w:hAnsi="Arial"/>
          <w:sz w:val="22"/>
          <w:szCs w:val="22"/>
          <w:color w:val="010000"/>
        </w:rPr>
      </w:pPr>
      <w:r>
        <w:rPr>
          <w:rFonts w:ascii="Arial" w:cs="Arial" w:eastAsia="Arial" w:hAnsi="Arial"/>
          <w:sz w:val="22"/>
          <w:szCs w:val="22"/>
          <w:color w:val="auto"/>
        </w:rPr>
        <w:t>The number of Awards to be granted to Outside Directors under Section 4(b);</w:t>
      </w:r>
    </w:p>
    <w:p>
      <w:pPr>
        <w:spacing w:after="0" w:line="219" w:lineRule="exact"/>
        <w:rPr>
          <w:rFonts w:ascii="Arial" w:cs="Arial" w:eastAsia="Arial" w:hAnsi="Arial"/>
          <w:sz w:val="22"/>
          <w:szCs w:val="22"/>
          <w:color w:val="010000"/>
        </w:rPr>
      </w:pPr>
    </w:p>
    <w:p>
      <w:pPr>
        <w:ind w:left="1840" w:hanging="536"/>
        <w:spacing w:after="0"/>
        <w:tabs>
          <w:tab w:leader="none" w:pos="1840" w:val="left"/>
        </w:tabs>
        <w:numPr>
          <w:ilvl w:val="1"/>
          <w:numId w:val="27"/>
        </w:numPr>
        <w:rPr>
          <w:rFonts w:ascii="Arial" w:cs="Arial" w:eastAsia="Arial" w:hAnsi="Arial"/>
          <w:sz w:val="22"/>
          <w:szCs w:val="22"/>
          <w:color w:val="010000"/>
        </w:rPr>
      </w:pPr>
      <w:r>
        <w:rPr>
          <w:rFonts w:ascii="Arial" w:cs="Arial" w:eastAsia="Arial" w:hAnsi="Arial"/>
          <w:sz w:val="22"/>
          <w:szCs w:val="22"/>
          <w:color w:val="auto"/>
        </w:rPr>
        <w:t>The number of Shares covered by each outstanding Award; and</w:t>
      </w:r>
    </w:p>
    <w:p>
      <w:pPr>
        <w:spacing w:after="0" w:line="219" w:lineRule="exact"/>
        <w:rPr>
          <w:rFonts w:ascii="Arial" w:cs="Arial" w:eastAsia="Arial" w:hAnsi="Arial"/>
          <w:sz w:val="22"/>
          <w:szCs w:val="22"/>
          <w:color w:val="010000"/>
        </w:rPr>
      </w:pPr>
    </w:p>
    <w:p>
      <w:pPr>
        <w:ind w:left="1780" w:hanging="476"/>
        <w:spacing w:after="0"/>
        <w:tabs>
          <w:tab w:leader="none" w:pos="1780" w:val="left"/>
        </w:tabs>
        <w:numPr>
          <w:ilvl w:val="1"/>
          <w:numId w:val="27"/>
        </w:numPr>
        <w:rPr>
          <w:rFonts w:ascii="Arial" w:cs="Arial" w:eastAsia="Arial" w:hAnsi="Arial"/>
          <w:sz w:val="22"/>
          <w:szCs w:val="22"/>
          <w:color w:val="010000"/>
        </w:rPr>
      </w:pPr>
      <w:r>
        <w:rPr>
          <w:rFonts w:ascii="Arial" w:cs="Arial" w:eastAsia="Arial" w:hAnsi="Arial"/>
          <w:sz w:val="22"/>
          <w:szCs w:val="22"/>
          <w:color w:val="auto"/>
        </w:rPr>
        <w:t>The Exercise Price under each outstanding Option and SAR.</w:t>
      </w:r>
    </w:p>
    <w:p>
      <w:pPr>
        <w:spacing w:after="0" w:line="219" w:lineRule="exact"/>
        <w:rPr>
          <w:rFonts w:ascii="Arial" w:cs="Arial" w:eastAsia="Arial" w:hAnsi="Arial"/>
          <w:sz w:val="22"/>
          <w:szCs w:val="22"/>
          <w:color w:val="010000"/>
        </w:rPr>
      </w:pPr>
    </w:p>
    <w:p>
      <w:pPr>
        <w:ind w:firstLine="656"/>
        <w:spacing w:after="0" w:line="263" w:lineRule="auto"/>
        <w:tabs>
          <w:tab w:leader="none" w:pos="1170" w:val="left"/>
        </w:tabs>
        <w:numPr>
          <w:ilvl w:val="0"/>
          <w:numId w:val="27"/>
        </w:numPr>
        <w:rPr>
          <w:rFonts w:ascii="Arial" w:cs="Arial" w:eastAsia="Arial" w:hAnsi="Arial"/>
          <w:sz w:val="22"/>
          <w:szCs w:val="22"/>
          <w:color w:val="010000"/>
        </w:rPr>
      </w:pPr>
      <w:r>
        <w:rPr>
          <w:rFonts w:ascii="Arial" w:cs="Arial" w:eastAsia="Arial" w:hAnsi="Arial"/>
          <w:sz w:val="22"/>
          <w:szCs w:val="22"/>
          <w:u w:val="single" w:color="auto"/>
          <w:color w:val="auto"/>
        </w:rPr>
        <w:t>Dissolution or Liquidation</w:t>
      </w:r>
      <w:r>
        <w:rPr>
          <w:rFonts w:ascii="Arial" w:cs="Arial" w:eastAsia="Arial" w:hAnsi="Arial"/>
          <w:sz w:val="22"/>
          <w:szCs w:val="22"/>
          <w:color w:val="auto"/>
        </w:rPr>
        <w:t>. To the extent not previously exercised or settled, Options, SARs and Stock Units shall terminate immediately prior to the dissolution or liquidation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28" w:right="339" w:bottom="1440" w:gutter="0" w:footer="0" w:header="0"/>
        </w:sectPr>
      </w:pPr>
    </w:p>
    <w:bookmarkStart w:id="21" w:name="page22"/>
    <w:bookmarkEnd w:id="21"/>
    <w:p>
      <w:pPr>
        <w:jc w:val="both"/>
        <w:ind w:right="20" w:firstLine="656"/>
        <w:spacing w:after="0" w:line="253" w:lineRule="auto"/>
        <w:tabs>
          <w:tab w:leader="none" w:pos="1144" w:val="left"/>
        </w:tabs>
        <w:numPr>
          <w:ilvl w:val="0"/>
          <w:numId w:val="28"/>
        </w:numPr>
        <w:rPr>
          <w:rFonts w:ascii="Arial" w:cs="Arial" w:eastAsia="Arial" w:hAnsi="Arial"/>
          <w:sz w:val="22"/>
          <w:szCs w:val="22"/>
          <w:color w:val="010000"/>
        </w:rPr>
      </w:pPr>
      <w:r>
        <w:rPr>
          <w:rFonts w:ascii="Arial" w:cs="Arial" w:eastAsia="Arial" w:hAnsi="Arial"/>
          <w:sz w:val="22"/>
          <w:szCs w:val="22"/>
          <w:u w:val="single" w:color="auto"/>
          <w:color w:val="auto"/>
        </w:rPr>
        <w:t>Reorganizations</w:t>
      </w:r>
      <w:r>
        <w:rPr>
          <w:rFonts w:ascii="Arial" w:cs="Arial" w:eastAsia="Arial" w:hAnsi="Arial"/>
          <w:sz w:val="22"/>
          <w:szCs w:val="22"/>
          <w:color w:val="auto"/>
        </w:rPr>
        <w:t>. In the event that the Company is a party to a merger or other reorganization, outstanding Awards shall be subject to the agreement of merger or reorganization. Subject to compliance with Section 409A of the Code, such agreement shall provide for:</w:t>
      </w:r>
    </w:p>
    <w:p>
      <w:pPr>
        <w:spacing w:after="0" w:line="185" w:lineRule="exact"/>
        <w:rPr>
          <w:rFonts w:ascii="Arial" w:cs="Arial" w:eastAsia="Arial" w:hAnsi="Arial"/>
          <w:sz w:val="22"/>
          <w:szCs w:val="22"/>
          <w:color w:val="010000"/>
        </w:rPr>
      </w:pPr>
    </w:p>
    <w:p>
      <w:pPr>
        <w:ind w:left="1720" w:hanging="416"/>
        <w:spacing w:after="0"/>
        <w:tabs>
          <w:tab w:leader="none" w:pos="1720" w:val="left"/>
        </w:tabs>
        <w:numPr>
          <w:ilvl w:val="1"/>
          <w:numId w:val="28"/>
        </w:numPr>
        <w:rPr>
          <w:rFonts w:ascii="Arial" w:cs="Arial" w:eastAsia="Arial" w:hAnsi="Arial"/>
          <w:sz w:val="19"/>
          <w:szCs w:val="19"/>
          <w:color w:val="010000"/>
        </w:rPr>
      </w:pPr>
      <w:r>
        <w:rPr>
          <w:rFonts w:ascii="Arial" w:cs="Arial" w:eastAsia="Arial" w:hAnsi="Arial"/>
          <w:sz w:val="19"/>
          <w:szCs w:val="19"/>
          <w:color w:val="auto"/>
        </w:rPr>
        <w:t>The continuation of the outstanding Awards by the Company, if the Company is a surviving corporation;</w:t>
      </w:r>
    </w:p>
    <w:p>
      <w:pPr>
        <w:spacing w:after="0" w:line="254" w:lineRule="exact"/>
        <w:rPr>
          <w:rFonts w:ascii="Arial" w:cs="Arial" w:eastAsia="Arial" w:hAnsi="Arial"/>
          <w:sz w:val="19"/>
          <w:szCs w:val="19"/>
          <w:color w:val="010000"/>
        </w:rPr>
      </w:pPr>
    </w:p>
    <w:p>
      <w:pPr>
        <w:ind w:left="1780" w:hanging="476"/>
        <w:spacing w:after="0"/>
        <w:tabs>
          <w:tab w:leader="none" w:pos="1780" w:val="left"/>
        </w:tabs>
        <w:numPr>
          <w:ilvl w:val="1"/>
          <w:numId w:val="28"/>
        </w:numPr>
        <w:rPr>
          <w:rFonts w:ascii="Arial" w:cs="Arial" w:eastAsia="Arial" w:hAnsi="Arial"/>
          <w:sz w:val="21"/>
          <w:szCs w:val="21"/>
          <w:color w:val="010000"/>
        </w:rPr>
      </w:pPr>
      <w:r>
        <w:rPr>
          <w:rFonts w:ascii="Arial" w:cs="Arial" w:eastAsia="Arial" w:hAnsi="Arial"/>
          <w:sz w:val="21"/>
          <w:szCs w:val="21"/>
          <w:color w:val="auto"/>
        </w:rPr>
        <w:t>The assumption of the outstanding Awards by the surviving corporation or its parent or subsidiary;</w:t>
      </w:r>
    </w:p>
    <w:p>
      <w:pPr>
        <w:spacing w:after="0" w:line="231" w:lineRule="exact"/>
        <w:rPr>
          <w:rFonts w:ascii="Arial" w:cs="Arial" w:eastAsia="Arial" w:hAnsi="Arial"/>
          <w:sz w:val="21"/>
          <w:szCs w:val="21"/>
          <w:color w:val="010000"/>
        </w:rPr>
      </w:pPr>
    </w:p>
    <w:p>
      <w:pPr>
        <w:ind w:left="2040" w:hanging="736"/>
        <w:spacing w:after="0"/>
        <w:tabs>
          <w:tab w:leader="none" w:pos="2040" w:val="left"/>
        </w:tabs>
        <w:numPr>
          <w:ilvl w:val="1"/>
          <w:numId w:val="28"/>
        </w:numPr>
        <w:rPr>
          <w:rFonts w:ascii="Arial" w:cs="Arial" w:eastAsia="Arial" w:hAnsi="Arial"/>
          <w:sz w:val="21"/>
          <w:szCs w:val="21"/>
          <w:color w:val="010000"/>
        </w:rPr>
      </w:pPr>
      <w:r>
        <w:rPr>
          <w:rFonts w:ascii="Arial" w:cs="Arial" w:eastAsia="Arial" w:hAnsi="Arial"/>
          <w:sz w:val="21"/>
          <w:szCs w:val="21"/>
          <w:color w:val="auto"/>
        </w:rPr>
        <w:t>The substitution by the surviving corporation or its parent or subsidiary of its own awards for the</w:t>
      </w:r>
    </w:p>
    <w:p>
      <w:pPr>
        <w:spacing w:after="0" w:line="32"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2"/>
          <w:szCs w:val="22"/>
          <w:color w:val="auto"/>
        </w:rPr>
        <w:t>outstanding Awards;</w:t>
      </w:r>
    </w:p>
    <w:p>
      <w:pPr>
        <w:spacing w:after="0" w:line="201" w:lineRule="exact"/>
        <w:rPr>
          <w:rFonts w:ascii="Arial" w:cs="Arial" w:eastAsia="Arial" w:hAnsi="Arial"/>
          <w:sz w:val="21"/>
          <w:szCs w:val="21"/>
          <w:color w:val="010000"/>
        </w:rPr>
      </w:pPr>
    </w:p>
    <w:p>
      <w:pPr>
        <w:ind w:firstLine="1304"/>
        <w:spacing w:after="0" w:line="263" w:lineRule="auto"/>
        <w:tabs>
          <w:tab w:leader="none" w:pos="1824" w:val="left"/>
        </w:tabs>
        <w:numPr>
          <w:ilvl w:val="1"/>
          <w:numId w:val="28"/>
        </w:numPr>
        <w:rPr>
          <w:rFonts w:ascii="Arial" w:cs="Arial" w:eastAsia="Arial" w:hAnsi="Arial"/>
          <w:sz w:val="22"/>
          <w:szCs w:val="22"/>
          <w:color w:val="010000"/>
        </w:rPr>
      </w:pPr>
      <w:r>
        <w:rPr>
          <w:rFonts w:ascii="Arial" w:cs="Arial" w:eastAsia="Arial" w:hAnsi="Arial"/>
          <w:sz w:val="22"/>
          <w:szCs w:val="22"/>
          <w:color w:val="auto"/>
        </w:rPr>
        <w:t>Immediate vesting, exercisability and settlement of outstanding Awards followed by the cancellation of such Awards upon or immediately prior to the effectiveness of such transaction; or</w:t>
      </w:r>
    </w:p>
    <w:p>
      <w:pPr>
        <w:spacing w:after="0" w:line="174" w:lineRule="exact"/>
        <w:rPr>
          <w:rFonts w:ascii="Arial" w:cs="Arial" w:eastAsia="Arial" w:hAnsi="Arial"/>
          <w:sz w:val="22"/>
          <w:szCs w:val="22"/>
          <w:color w:val="010000"/>
        </w:rPr>
      </w:pPr>
    </w:p>
    <w:p>
      <w:pPr>
        <w:jc w:val="both"/>
        <w:ind w:firstLine="1304"/>
        <w:spacing w:after="0" w:line="290" w:lineRule="auto"/>
        <w:tabs>
          <w:tab w:leader="none" w:pos="1845" w:val="left"/>
        </w:tabs>
        <w:numPr>
          <w:ilvl w:val="1"/>
          <w:numId w:val="28"/>
        </w:numPr>
        <w:rPr>
          <w:rFonts w:ascii="Arial" w:cs="Arial" w:eastAsia="Arial" w:hAnsi="Arial"/>
          <w:sz w:val="19"/>
          <w:szCs w:val="19"/>
          <w:color w:val="010000"/>
        </w:rPr>
      </w:pPr>
      <w:r>
        <w:rPr>
          <w:rFonts w:ascii="Arial" w:cs="Arial" w:eastAsia="Arial" w:hAnsi="Arial"/>
          <w:sz w:val="19"/>
          <w:szCs w:val="19"/>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in each case without the Participant’s consent. Any acceleration of payment of an amount that is subject to section 409A of the Code will be delayed, if necessary, until the earliest time that such payment would be permissible under Section 409A without triggering any additional taxes applicable under Section 409A.</w:t>
      </w:r>
    </w:p>
    <w:p>
      <w:pPr>
        <w:spacing w:after="0" w:line="15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Company will have no obligation to treat all Awards, all Awards held by a Participant, or all Awards of the same type, similarly.</w:t>
      </w:r>
    </w:p>
    <w:p>
      <w:pPr>
        <w:spacing w:after="0" w:line="175" w:lineRule="exact"/>
        <w:rPr>
          <w:sz w:val="20"/>
          <w:szCs w:val="20"/>
          <w:color w:val="auto"/>
        </w:rPr>
      </w:pPr>
    </w:p>
    <w:p>
      <w:pPr>
        <w:jc w:val="both"/>
        <w:ind w:firstLine="656"/>
        <w:spacing w:after="0" w:line="288" w:lineRule="auto"/>
        <w:tabs>
          <w:tab w:leader="none" w:pos="1197" w:val="left"/>
        </w:tabs>
        <w:numPr>
          <w:ilvl w:val="0"/>
          <w:numId w:val="29"/>
        </w:numPr>
        <w:rPr>
          <w:rFonts w:ascii="Arial" w:cs="Arial" w:eastAsia="Arial" w:hAnsi="Arial"/>
          <w:sz w:val="19"/>
          <w:szCs w:val="19"/>
          <w:color w:val="010000"/>
        </w:rPr>
      </w:pPr>
      <w:r>
        <w:rPr>
          <w:rFonts w:ascii="Arial" w:cs="Arial" w:eastAsia="Arial" w:hAnsi="Arial"/>
          <w:sz w:val="19"/>
          <w:szCs w:val="19"/>
          <w:u w:val="single" w:color="auto"/>
          <w:color w:val="auto"/>
        </w:rPr>
        <w:t>Reservation of Rights</w:t>
      </w:r>
      <w:r>
        <w:rPr>
          <w:rFonts w:ascii="Arial" w:cs="Arial" w:eastAsia="Arial" w:hAnsi="Arial"/>
          <w:sz w:val="19"/>
          <w:szCs w:val="19"/>
          <w:color w:val="auto"/>
        </w:rPr>
        <w:t>. Except as provided in this Section 12, a Participant shall have no rights by reason of any 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of Shares subject to an Award, including a merger or other reorganization, for reasons of administrative convenience, the Company in its sole discretion may refuse to permit the exercise of any Award during a period of up to thirty (30) days prior to the occurrence of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28" w:right="339" w:bottom="1440" w:gutter="0" w:footer="0" w:header="0"/>
        </w:sectPr>
      </w:pPr>
    </w:p>
    <w:bookmarkStart w:id="22" w:name="page23"/>
    <w:bookmarkEnd w:id="22"/>
    <w:p>
      <w:pPr>
        <w:spacing w:after="0"/>
        <w:rPr>
          <w:sz w:val="20"/>
          <w:szCs w:val="20"/>
          <w:color w:val="auto"/>
        </w:rPr>
      </w:pPr>
      <w:r>
        <w:rPr>
          <w:rFonts w:ascii="Arial" w:cs="Arial" w:eastAsia="Arial" w:hAnsi="Arial"/>
          <w:sz w:val="22"/>
          <w:szCs w:val="22"/>
          <w:b w:val="1"/>
          <w:bCs w:val="1"/>
          <w:color w:val="010000"/>
        </w:rPr>
        <w:t xml:space="preserve">Section 13. </w:t>
      </w:r>
      <w:r>
        <w:rPr>
          <w:rFonts w:ascii="Arial" w:cs="Arial" w:eastAsia="Arial" w:hAnsi="Arial"/>
          <w:sz w:val="22"/>
          <w:szCs w:val="22"/>
          <w:b w:val="1"/>
          <w:bCs w:val="1"/>
          <w:color w:val="000000"/>
        </w:rPr>
        <w:t>DEFERRAL OF AWARDS.</w:t>
      </w:r>
    </w:p>
    <w:p>
      <w:pPr>
        <w:spacing w:after="0" w:line="226" w:lineRule="exact"/>
        <w:rPr>
          <w:sz w:val="20"/>
          <w:szCs w:val="20"/>
          <w:color w:val="auto"/>
        </w:rPr>
      </w:pPr>
    </w:p>
    <w:p>
      <w:pPr>
        <w:ind w:firstLine="656"/>
        <w:spacing w:after="0" w:line="263" w:lineRule="auto"/>
        <w:tabs>
          <w:tab w:leader="none" w:pos="1171" w:val="left"/>
        </w:tabs>
        <w:numPr>
          <w:ilvl w:val="0"/>
          <w:numId w:val="30"/>
        </w:numPr>
        <w:rPr>
          <w:rFonts w:ascii="Arial" w:cs="Arial" w:eastAsia="Arial" w:hAnsi="Arial"/>
          <w:sz w:val="22"/>
          <w:szCs w:val="22"/>
          <w:color w:val="010000"/>
        </w:rPr>
      </w:pPr>
      <w:r>
        <w:rPr>
          <w:rFonts w:ascii="Arial" w:cs="Arial" w:eastAsia="Arial" w:hAnsi="Arial"/>
          <w:sz w:val="22"/>
          <w:szCs w:val="22"/>
          <w:u w:val="single" w:color="auto"/>
          <w:color w:val="auto"/>
        </w:rPr>
        <w:t>Committee Powers</w:t>
      </w:r>
      <w:r>
        <w:rPr>
          <w:rFonts w:ascii="Arial" w:cs="Arial" w:eastAsia="Arial" w:hAnsi="Arial"/>
          <w:sz w:val="22"/>
          <w:szCs w:val="22"/>
          <w:color w:val="auto"/>
        </w:rPr>
        <w:t>. Subject to compliance with Section 409A of the Code, the Committee (in its sole discretion) may permit or require a Participant to:</w:t>
      </w:r>
    </w:p>
    <w:p>
      <w:pPr>
        <w:spacing w:after="0" w:line="120" w:lineRule="exact"/>
        <w:rPr>
          <w:rFonts w:ascii="Arial" w:cs="Arial" w:eastAsia="Arial" w:hAnsi="Arial"/>
          <w:sz w:val="22"/>
          <w:szCs w:val="22"/>
          <w:color w:val="010000"/>
        </w:rPr>
      </w:pPr>
    </w:p>
    <w:p>
      <w:pPr>
        <w:jc w:val="both"/>
        <w:ind w:firstLine="1304"/>
        <w:spacing w:after="0" w:line="253" w:lineRule="auto"/>
        <w:tabs>
          <w:tab w:leader="none" w:pos="1837" w:val="left"/>
        </w:tabs>
        <w:numPr>
          <w:ilvl w:val="1"/>
          <w:numId w:val="30"/>
        </w:numPr>
        <w:rPr>
          <w:rFonts w:ascii="Arial" w:cs="Arial" w:eastAsia="Arial" w:hAnsi="Arial"/>
          <w:sz w:val="22"/>
          <w:szCs w:val="22"/>
          <w:color w:val="010000"/>
        </w:rPr>
      </w:pPr>
      <w:r>
        <w:rPr>
          <w:rFonts w:ascii="Arial" w:cs="Arial" w:eastAsia="Arial" w:hAnsi="Arial"/>
          <w:sz w:val="22"/>
          <w:szCs w:val="22"/>
          <w:color w:val="auto"/>
        </w:rPr>
        <w:t>Have cash that otherwise would be paid to such Participant as a result of the exercise of a SAR or the settlement of Stock Units credited to a deferred compensation account established for such Participant by the Committee as an entry on the Company’s books;</w:t>
      </w:r>
    </w:p>
    <w:p>
      <w:pPr>
        <w:spacing w:after="0" w:line="131" w:lineRule="exact"/>
        <w:rPr>
          <w:rFonts w:ascii="Arial" w:cs="Arial" w:eastAsia="Arial" w:hAnsi="Arial"/>
          <w:sz w:val="22"/>
          <w:szCs w:val="22"/>
          <w:color w:val="010000"/>
        </w:rPr>
      </w:pPr>
    </w:p>
    <w:p>
      <w:pPr>
        <w:ind w:firstLine="1304"/>
        <w:spacing w:after="0" w:line="263" w:lineRule="auto"/>
        <w:tabs>
          <w:tab w:leader="none" w:pos="1789" w:val="left"/>
        </w:tabs>
        <w:numPr>
          <w:ilvl w:val="1"/>
          <w:numId w:val="30"/>
        </w:numPr>
        <w:rPr>
          <w:rFonts w:ascii="Arial" w:cs="Arial" w:eastAsia="Arial" w:hAnsi="Arial"/>
          <w:sz w:val="22"/>
          <w:szCs w:val="22"/>
          <w:color w:val="010000"/>
        </w:rPr>
      </w:pPr>
      <w:r>
        <w:rPr>
          <w:rFonts w:ascii="Arial" w:cs="Arial" w:eastAsia="Arial" w:hAnsi="Arial"/>
          <w:sz w:val="22"/>
          <w:szCs w:val="22"/>
          <w:color w:val="auto"/>
        </w:rPr>
        <w:t>Have Shares that otherwise would be delivered to such Participant as a result of the exercise of an Option or SAR converted into an equal number of Stock Units; or</w:t>
      </w:r>
    </w:p>
    <w:p>
      <w:pPr>
        <w:spacing w:after="0" w:line="120" w:lineRule="exact"/>
        <w:rPr>
          <w:rFonts w:ascii="Arial" w:cs="Arial" w:eastAsia="Arial" w:hAnsi="Arial"/>
          <w:sz w:val="22"/>
          <w:szCs w:val="22"/>
          <w:color w:val="010000"/>
        </w:rPr>
      </w:pPr>
    </w:p>
    <w:p>
      <w:pPr>
        <w:jc w:val="both"/>
        <w:ind w:firstLine="1304"/>
        <w:spacing w:after="0" w:line="302" w:lineRule="auto"/>
        <w:tabs>
          <w:tab w:leader="none" w:pos="1836" w:val="left"/>
        </w:tabs>
        <w:numPr>
          <w:ilvl w:val="1"/>
          <w:numId w:val="30"/>
        </w:numPr>
        <w:rPr>
          <w:rFonts w:ascii="Arial" w:cs="Arial" w:eastAsia="Arial" w:hAnsi="Arial"/>
          <w:sz w:val="19"/>
          <w:szCs w:val="19"/>
          <w:color w:val="010000"/>
        </w:rPr>
      </w:pPr>
      <w:r>
        <w:rPr>
          <w:rFonts w:ascii="Arial" w:cs="Arial" w:eastAsia="Arial" w:hAnsi="Arial"/>
          <w:sz w:val="19"/>
          <w:szCs w:val="19"/>
          <w:color w:val="auto"/>
        </w:rPr>
        <w:t>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 Company’s books. Such amounts shall be determined by reference to the Fair Market Value of such Shares as of the date when they otherwise would have been delivered to such Participant.</w:t>
      </w:r>
    </w:p>
    <w:p>
      <w:pPr>
        <w:spacing w:after="0" w:line="88" w:lineRule="exact"/>
        <w:rPr>
          <w:rFonts w:ascii="Arial" w:cs="Arial" w:eastAsia="Arial" w:hAnsi="Arial"/>
          <w:sz w:val="19"/>
          <w:szCs w:val="19"/>
          <w:color w:val="010000"/>
        </w:rPr>
      </w:pPr>
    </w:p>
    <w:p>
      <w:pPr>
        <w:jc w:val="both"/>
        <w:ind w:firstLine="656"/>
        <w:spacing w:after="0" w:line="260" w:lineRule="auto"/>
        <w:tabs>
          <w:tab w:leader="none" w:pos="1143" w:val="left"/>
        </w:tabs>
        <w:numPr>
          <w:ilvl w:val="0"/>
          <w:numId w:val="30"/>
        </w:numPr>
        <w:rPr>
          <w:rFonts w:ascii="Arial" w:cs="Arial" w:eastAsia="Arial" w:hAnsi="Arial"/>
          <w:sz w:val="21"/>
          <w:szCs w:val="21"/>
          <w:color w:val="010000"/>
        </w:rPr>
      </w:pPr>
      <w:r>
        <w:rPr>
          <w:rFonts w:ascii="Arial" w:cs="Arial" w:eastAsia="Arial" w:hAnsi="Arial"/>
          <w:sz w:val="21"/>
          <w:szCs w:val="21"/>
          <w:u w:val="single" w:color="auto"/>
          <w:color w:val="auto"/>
        </w:rPr>
        <w:t>General Rules</w:t>
      </w:r>
      <w:r>
        <w:rPr>
          <w:rFonts w:ascii="Arial" w:cs="Arial" w:eastAsia="Arial" w:hAnsi="Arial"/>
          <w:sz w:val="21"/>
          <w:szCs w:val="21"/>
          <w:color w:val="auto"/>
        </w:rPr>
        <w:t>. A deferred compensation account established under this Section 13 may be credited with interest 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13.</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14. </w:t>
      </w:r>
      <w:r>
        <w:rPr>
          <w:rFonts w:ascii="Arial" w:cs="Arial" w:eastAsia="Arial" w:hAnsi="Arial"/>
          <w:sz w:val="22"/>
          <w:szCs w:val="22"/>
          <w:b w:val="1"/>
          <w:bCs w:val="1"/>
          <w:color w:val="000000"/>
        </w:rPr>
        <w:t>AWARDS UNDER OTHER PLANS.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may grant awards under other plans or programs. Such awards may be settled in the form of Shares issued under this Plan. Such Shares shall be treated for all purposes under the Plan like Shares issued in settlement of Stock Units and shall, when issued, reduce the number of Shares available under Section 5.</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15. </w:t>
      </w:r>
      <w:r>
        <w:rPr>
          <w:rFonts w:ascii="Arial" w:cs="Arial" w:eastAsia="Arial" w:hAnsi="Arial"/>
          <w:sz w:val="22"/>
          <w:szCs w:val="22"/>
          <w:b w:val="1"/>
          <w:bCs w:val="1"/>
          <w:color w:val="000000"/>
        </w:rPr>
        <w:t>PAYMENT OF DIRECTOR’S FEES IN SECURITIES.</w:t>
      </w:r>
    </w:p>
    <w:p>
      <w:pPr>
        <w:spacing w:after="0" w:line="226" w:lineRule="exact"/>
        <w:rPr>
          <w:sz w:val="20"/>
          <w:szCs w:val="20"/>
          <w:color w:val="auto"/>
        </w:rPr>
      </w:pPr>
    </w:p>
    <w:p>
      <w:pPr>
        <w:ind w:firstLine="656"/>
        <w:spacing w:after="0" w:line="263" w:lineRule="auto"/>
        <w:tabs>
          <w:tab w:leader="none" w:pos="1212" w:val="left"/>
        </w:tabs>
        <w:numPr>
          <w:ilvl w:val="0"/>
          <w:numId w:val="31"/>
        </w:numPr>
        <w:rPr>
          <w:rFonts w:ascii="Arial" w:cs="Arial" w:eastAsia="Arial" w:hAnsi="Arial"/>
          <w:sz w:val="22"/>
          <w:szCs w:val="22"/>
          <w:color w:val="010000"/>
        </w:rPr>
      </w:pPr>
      <w:r>
        <w:rPr>
          <w:rFonts w:ascii="Arial" w:cs="Arial" w:eastAsia="Arial" w:hAnsi="Arial"/>
          <w:sz w:val="22"/>
          <w:szCs w:val="22"/>
          <w:u w:val="single" w:color="auto"/>
          <w:color w:val="auto"/>
        </w:rPr>
        <w:t>Effective Date</w:t>
      </w:r>
      <w:r>
        <w:rPr>
          <w:rFonts w:ascii="Arial" w:cs="Arial" w:eastAsia="Arial" w:hAnsi="Arial"/>
          <w:sz w:val="22"/>
          <w:szCs w:val="22"/>
          <w:color w:val="auto"/>
        </w:rPr>
        <w:t>. No provision of this Section 15 shall be effective unless and until the Board has determined to implement such provision.</w:t>
      </w:r>
    </w:p>
    <w:p>
      <w:pPr>
        <w:spacing w:after="0" w:line="120" w:lineRule="exact"/>
        <w:rPr>
          <w:rFonts w:ascii="Arial" w:cs="Arial" w:eastAsia="Arial" w:hAnsi="Arial"/>
          <w:sz w:val="22"/>
          <w:szCs w:val="22"/>
          <w:color w:val="010000"/>
        </w:rPr>
      </w:pPr>
    </w:p>
    <w:p>
      <w:pPr>
        <w:jc w:val="both"/>
        <w:ind w:firstLine="656"/>
        <w:spacing w:after="0" w:line="263" w:lineRule="auto"/>
        <w:tabs>
          <w:tab w:leader="none" w:pos="1116" w:val="left"/>
        </w:tabs>
        <w:numPr>
          <w:ilvl w:val="0"/>
          <w:numId w:val="31"/>
        </w:numPr>
        <w:rPr>
          <w:rFonts w:ascii="Arial" w:cs="Arial" w:eastAsia="Arial" w:hAnsi="Arial"/>
          <w:sz w:val="21"/>
          <w:szCs w:val="21"/>
          <w:color w:val="010000"/>
        </w:rPr>
      </w:pPr>
      <w:r>
        <w:rPr>
          <w:rFonts w:ascii="Arial" w:cs="Arial" w:eastAsia="Arial" w:hAnsi="Arial"/>
          <w:sz w:val="21"/>
          <w:szCs w:val="21"/>
          <w:u w:val="single" w:color="auto"/>
          <w:color w:val="auto"/>
        </w:rPr>
        <w:t>Elections to Receive NSOs, SARs, Restricted Shares or Stock Units</w:t>
      </w:r>
      <w:r>
        <w:rPr>
          <w:rFonts w:ascii="Arial" w:cs="Arial" w:eastAsia="Arial" w:hAnsi="Arial"/>
          <w:sz w:val="21"/>
          <w:szCs w:val="21"/>
          <w:color w:val="auto"/>
        </w:rPr>
        <w:t>. An Outside Director may elect to receive his or her annual retainer payments and/or meeting fees from the Company in the form of cash, NSOs, SARs, Restricted Shares or Stock Units, or a combination thereof, as determined by the Board. Alternatively, the Board may mandate payment in any of such alternative forms. Such NSOs, SARs, Restricted Shares and Stock Units shall be issued under the Plan. An election under this Section 15 shall be filed with the Company on the prescribed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22" w:right="339" w:bottom="1440" w:gutter="0" w:footer="0" w:header="0"/>
        </w:sectPr>
      </w:pPr>
    </w:p>
    <w:bookmarkStart w:id="23" w:name="page24"/>
    <w:bookmarkEnd w:id="23"/>
    <w:p>
      <w:pPr>
        <w:jc w:val="both"/>
        <w:ind w:firstLine="656"/>
        <w:spacing w:after="0" w:line="250" w:lineRule="auto"/>
        <w:tabs>
          <w:tab w:leader="none" w:pos="1212" w:val="left"/>
        </w:tabs>
        <w:numPr>
          <w:ilvl w:val="0"/>
          <w:numId w:val="32"/>
        </w:numPr>
        <w:rPr>
          <w:rFonts w:ascii="Arial" w:cs="Arial" w:eastAsia="Arial" w:hAnsi="Arial"/>
          <w:sz w:val="22"/>
          <w:szCs w:val="22"/>
          <w:color w:val="010000"/>
        </w:rPr>
      </w:pPr>
      <w:r>
        <w:rPr>
          <w:rFonts w:ascii="Arial" w:cs="Arial" w:eastAsia="Arial" w:hAnsi="Arial"/>
          <w:sz w:val="22"/>
          <w:szCs w:val="22"/>
          <w:u w:val="single" w:color="auto"/>
          <w:color w:val="auto"/>
        </w:rPr>
        <w:t>Number and Terms of NSOs, SARs, Restricted Shares or Stock Units</w:t>
      </w:r>
      <w:r>
        <w:rPr>
          <w:rFonts w:ascii="Arial" w:cs="Arial" w:eastAsia="Arial" w:hAnsi="Arial"/>
          <w:sz w:val="22"/>
          <w:szCs w:val="22"/>
          <w:color w:val="auto"/>
        </w:rPr>
        <w:t>. The number of NSOs, SARs, Restricted Shares or Stock Units to be granted to Outside Directors in lieu of annual retainers and meeting fees that would otherwise be paid in cash shall be calculated in a manner determined by the Board. The terms of such NSOs, SARs, Restricted Shares or Stock Units shall also be determined by the Board.</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16. </w:t>
      </w:r>
      <w:r>
        <w:rPr>
          <w:rFonts w:ascii="Arial" w:cs="Arial" w:eastAsia="Arial" w:hAnsi="Arial"/>
          <w:sz w:val="22"/>
          <w:szCs w:val="22"/>
          <w:b w:val="1"/>
          <w:bCs w:val="1"/>
          <w:color w:val="000000"/>
        </w:rPr>
        <w:t>LEGAL AND REGULATORY REQUIREMENTS.</w:t>
      </w:r>
    </w:p>
    <w:p>
      <w:pPr>
        <w:spacing w:after="0" w:line="22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Shares shall not be issued under the Plan unless the issuance and delivery of such Shares complies with (or is exempt from) all applicable requirements of law, including (without limitation) the Securities Act of 1933, as amended, the rules and regulations promulgated thereunder,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17. </w:t>
      </w:r>
      <w:r>
        <w:rPr>
          <w:rFonts w:ascii="Arial" w:cs="Arial" w:eastAsia="Arial" w:hAnsi="Arial"/>
          <w:sz w:val="22"/>
          <w:szCs w:val="22"/>
          <w:b w:val="1"/>
          <w:bCs w:val="1"/>
          <w:color w:val="000000"/>
        </w:rPr>
        <w:t>TAXES.</w:t>
      </w:r>
    </w:p>
    <w:p>
      <w:pPr>
        <w:spacing w:after="0" w:line="226" w:lineRule="exact"/>
        <w:rPr>
          <w:sz w:val="20"/>
          <w:szCs w:val="20"/>
          <w:color w:val="auto"/>
        </w:rPr>
      </w:pPr>
    </w:p>
    <w:p>
      <w:pPr>
        <w:jc w:val="both"/>
        <w:ind w:firstLine="656"/>
        <w:spacing w:after="0" w:line="260" w:lineRule="auto"/>
        <w:tabs>
          <w:tab w:leader="none" w:pos="1104" w:val="left"/>
        </w:tabs>
        <w:numPr>
          <w:ilvl w:val="0"/>
          <w:numId w:val="33"/>
        </w:numPr>
        <w:rPr>
          <w:rFonts w:ascii="Arial" w:cs="Arial" w:eastAsia="Arial" w:hAnsi="Arial"/>
          <w:sz w:val="21"/>
          <w:szCs w:val="21"/>
          <w:color w:val="010000"/>
        </w:rPr>
      </w:pPr>
      <w:r>
        <w:rPr>
          <w:rFonts w:ascii="Arial" w:cs="Arial" w:eastAsia="Arial" w:hAnsi="Arial"/>
          <w:sz w:val="21"/>
          <w:szCs w:val="21"/>
          <w:u w:val="single" w:color="auto"/>
          <w:color w:val="auto"/>
        </w:rPr>
        <w:t>Withholding Taxes</w:t>
      </w:r>
      <w:r>
        <w:rPr>
          <w:rFonts w:ascii="Arial" w:cs="Arial" w:eastAsia="Arial" w:hAnsi="Arial"/>
          <w:sz w:val="21"/>
          <w:szCs w:val="21"/>
          <w:color w:val="auto"/>
        </w:rPr>
        <w:t>. To the extent required by applicable federal, state, local or foreign law, a Participant or his or her successor shall make arrangements satisfactory to the Company for the satisfaction of any withholding tax obligations that arise in connection with the Plan commensurate with the delivery of Shares pursuant to exercise or settlement of any Award. The Company shall not be required to issue any Shares or make any cash payment under the Plan until such obligations are satisfied. Unless otherwise determined by the Committee, the Fair Market Value of the Shares will be determined as of the date that the taxes are required to be withheld and such Shares will be valued based on the value of the actual trade or, if there is none, the Fair Market Value of the Shares as of the previous trading day.</w:t>
      </w:r>
    </w:p>
    <w:p>
      <w:pPr>
        <w:spacing w:after="0" w:line="126" w:lineRule="exact"/>
        <w:rPr>
          <w:rFonts w:ascii="Arial" w:cs="Arial" w:eastAsia="Arial" w:hAnsi="Arial"/>
          <w:sz w:val="21"/>
          <w:szCs w:val="21"/>
          <w:color w:val="010000"/>
        </w:rPr>
      </w:pPr>
    </w:p>
    <w:p>
      <w:pPr>
        <w:jc w:val="both"/>
        <w:ind w:firstLine="656"/>
        <w:spacing w:after="0" w:line="297" w:lineRule="auto"/>
        <w:tabs>
          <w:tab w:leader="none" w:pos="1237" w:val="left"/>
        </w:tabs>
        <w:numPr>
          <w:ilvl w:val="0"/>
          <w:numId w:val="33"/>
        </w:numPr>
        <w:rPr>
          <w:rFonts w:ascii="Arial" w:cs="Arial" w:eastAsia="Arial" w:hAnsi="Arial"/>
          <w:sz w:val="19"/>
          <w:szCs w:val="19"/>
          <w:color w:val="010000"/>
        </w:rPr>
      </w:pPr>
      <w:r>
        <w:rPr>
          <w:rFonts w:ascii="Arial" w:cs="Arial" w:eastAsia="Arial" w:hAnsi="Arial"/>
          <w:sz w:val="19"/>
          <w:szCs w:val="19"/>
          <w:u w:val="single" w:color="auto"/>
          <w:color w:val="auto"/>
        </w:rPr>
        <w:t>Share Withholding</w:t>
      </w:r>
      <w:r>
        <w:rPr>
          <w:rFonts w:ascii="Arial" w:cs="Arial" w:eastAsia="Arial" w:hAnsi="Arial"/>
          <w:sz w:val="19"/>
          <w:szCs w:val="19"/>
          <w:color w:val="auto"/>
        </w:rPr>
        <w:t>. The Committee may permit a Participant to satisfy all or part of his or her withholding or income tax obligations by having the Company withhold all or a portion of any Shares that otherwise would be issued to him or her or by surrendering all or a portion of any Shares that he or she previously acquired. The Company may withhold or account for these tax obligations by considering applicable statutory withholding rates or other applicable withholding rates, including up to the maximum permissible statutory tax rate for the applicable tax jurisdiction, to the extent consistent with applicable laws.</w:t>
      </w:r>
    </w:p>
    <w:p>
      <w:pPr>
        <w:spacing w:after="0" w:line="92" w:lineRule="exact"/>
        <w:rPr>
          <w:rFonts w:ascii="Arial" w:cs="Arial" w:eastAsia="Arial" w:hAnsi="Arial"/>
          <w:sz w:val="19"/>
          <w:szCs w:val="19"/>
          <w:color w:val="010000"/>
        </w:rPr>
      </w:pPr>
    </w:p>
    <w:p>
      <w:pPr>
        <w:jc w:val="both"/>
        <w:ind w:firstLine="656"/>
        <w:spacing w:after="0" w:line="248" w:lineRule="auto"/>
        <w:tabs>
          <w:tab w:leader="none" w:pos="1158" w:val="left"/>
        </w:tabs>
        <w:numPr>
          <w:ilvl w:val="0"/>
          <w:numId w:val="33"/>
        </w:numPr>
        <w:rPr>
          <w:rFonts w:ascii="Arial" w:cs="Arial" w:eastAsia="Arial" w:hAnsi="Arial"/>
          <w:sz w:val="22"/>
          <w:szCs w:val="22"/>
          <w:color w:val="010000"/>
        </w:rPr>
      </w:pPr>
      <w:r>
        <w:rPr>
          <w:rFonts w:ascii="Arial" w:cs="Arial" w:eastAsia="Arial" w:hAnsi="Arial"/>
          <w:sz w:val="22"/>
          <w:szCs w:val="22"/>
          <w:u w:val="single" w:color="auto"/>
          <w:color w:val="auto"/>
        </w:rPr>
        <w:t>Section 409A</w:t>
      </w:r>
      <w:r>
        <w:rPr>
          <w:rFonts w:ascii="Arial" w:cs="Arial" w:eastAsia="Arial" w:hAnsi="Arial"/>
          <w:sz w:val="22"/>
          <w:szCs w:val="22"/>
          <w:color w:val="auto"/>
        </w:rPr>
        <w:t>. Each Award that provides for “nonqualified deferred compensation” within the meaning of Section 409A of the Code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28" w:right="339" w:bottom="1440" w:gutter="0" w:footer="0" w:header="0"/>
        </w:sectPr>
      </w:pPr>
    </w:p>
    <w:bookmarkStart w:id="24" w:name="page25"/>
    <w:bookmarkEnd w:id="24"/>
    <w:p>
      <w:pPr>
        <w:jc w:val="both"/>
        <w:spacing w:after="0" w:line="250" w:lineRule="auto"/>
        <w:rPr>
          <w:sz w:val="20"/>
          <w:szCs w:val="20"/>
          <w:color w:val="auto"/>
        </w:rPr>
      </w:pPr>
      <w:r>
        <w:rPr>
          <w:rFonts w:ascii="Arial" w:cs="Arial" w:eastAsia="Arial" w:hAnsi="Arial"/>
          <w:sz w:val="22"/>
          <w:szCs w:val="22"/>
          <w:color w:val="auto"/>
        </w:rPr>
        <w:t>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18. </w:t>
      </w:r>
      <w:r>
        <w:rPr>
          <w:rFonts w:ascii="Arial" w:cs="Arial" w:eastAsia="Arial" w:hAnsi="Arial"/>
          <w:sz w:val="22"/>
          <w:szCs w:val="22"/>
          <w:b w:val="1"/>
          <w:bCs w:val="1"/>
          <w:color w:val="000000"/>
        </w:rPr>
        <w:t>TRANSFERABILITY.</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Unless the agreement evidencing an Award (or an amendment thereto authorized by the Committee) expressly provides otherwise, no Award granted under this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18 shall be void and unenforceable against the Company.</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19. </w:t>
      </w:r>
      <w:r>
        <w:rPr>
          <w:rFonts w:ascii="Arial" w:cs="Arial" w:eastAsia="Arial" w:hAnsi="Arial"/>
          <w:sz w:val="22"/>
          <w:szCs w:val="22"/>
          <w:b w:val="1"/>
          <w:bCs w:val="1"/>
          <w:color w:val="000000"/>
        </w:rPr>
        <w:t>PERFORMANCE BASED AWARDS.</w:t>
      </w:r>
    </w:p>
    <w:p>
      <w:pPr>
        <w:spacing w:after="0" w:line="23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number of Shares or other benefits granted, issued, retainable and/or vested under an Award may be made subject to the attainment of performance goals. The Committee may utilize any performance criteria selected by it in its sole discretion to establish performance goals; provided, however, that in the case of any Performance Based Award, the following conditions shall apply:</w:t>
      </w:r>
    </w:p>
    <w:p>
      <w:pPr>
        <w:spacing w:after="0" w:line="134" w:lineRule="exact"/>
        <w:rPr>
          <w:sz w:val="20"/>
          <w:szCs w:val="20"/>
          <w:color w:val="auto"/>
        </w:rPr>
      </w:pPr>
    </w:p>
    <w:p>
      <w:pPr>
        <w:jc w:val="both"/>
        <w:ind w:firstLine="1304"/>
        <w:spacing w:after="0" w:line="286" w:lineRule="auto"/>
        <w:tabs>
          <w:tab w:leader="none" w:pos="1729" w:val="left"/>
        </w:tabs>
        <w:numPr>
          <w:ilvl w:val="0"/>
          <w:numId w:val="34"/>
        </w:numPr>
        <w:rPr>
          <w:rFonts w:ascii="Arial" w:cs="Arial" w:eastAsia="Arial" w:hAnsi="Arial"/>
          <w:sz w:val="19"/>
          <w:szCs w:val="19"/>
          <w:color w:val="010000"/>
        </w:rPr>
      </w:pPr>
      <w:r>
        <w:rPr>
          <w:rFonts w:ascii="Arial" w:cs="Arial" w:eastAsia="Arial" w:hAnsi="Arial"/>
          <w:sz w:val="19"/>
          <w:szCs w:val="19"/>
          <w:color w:val="auto"/>
        </w:rPr>
        <w:t>The amount potentially available under a Performance Based Award shall be subject to the attainment of pre-established, objective performance goals relating to a specified period of service based on one or more of the following performance criteria: (a) cash flow (including operating cash flow), (b) earnings per share, (c) earnings before any combination of interest, taxes, depreciation or amortization, (d) return on equity, (e) total stockholder return, (f) share price performance, (g) return on capital, (h) return on assets or net assets, (i) revenue, (j) income or net income, (k) operating income or net operating income, (l) operating profit or net operating profit, (m) operating margin or profit margin, (n) return on operating revenue, (o) return on invested capital, (p) market segment shares, (q) costs, (r) expenses, (s) achievement of target levels of discovery and/or development of products or services, including but not limited to research or regulatory achievements, (t) third party coverage and/or reimbursement objectives, or (u) test volume metrics (“Qualifying Performance Criteria”), any of which may be measured either individually, alternatively or in any combination, applied to either the Company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or index, in each case as specified by the Committee in the Award;</w:t>
      </w:r>
    </w:p>
    <w:p>
      <w:pPr>
        <w:spacing w:after="0" w:line="111" w:lineRule="exact"/>
        <w:rPr>
          <w:rFonts w:ascii="Arial" w:cs="Arial" w:eastAsia="Arial" w:hAnsi="Arial"/>
          <w:sz w:val="19"/>
          <w:szCs w:val="19"/>
          <w:color w:val="010000"/>
        </w:rPr>
      </w:pPr>
    </w:p>
    <w:p>
      <w:pPr>
        <w:jc w:val="both"/>
        <w:ind w:firstLine="1304"/>
        <w:spacing w:after="0" w:line="250" w:lineRule="auto"/>
        <w:tabs>
          <w:tab w:leader="none" w:pos="1803" w:val="left"/>
        </w:tabs>
        <w:numPr>
          <w:ilvl w:val="0"/>
          <w:numId w:val="34"/>
        </w:numPr>
        <w:rPr>
          <w:rFonts w:ascii="Arial" w:cs="Arial" w:eastAsia="Arial" w:hAnsi="Arial"/>
          <w:sz w:val="22"/>
          <w:szCs w:val="22"/>
          <w:color w:val="010000"/>
        </w:rPr>
      </w:pPr>
      <w:r>
        <w:rPr>
          <w:rFonts w:ascii="Arial" w:cs="Arial" w:eastAsia="Arial" w:hAnsi="Arial"/>
          <w:sz w:val="22"/>
          <w:szCs w:val="22"/>
          <w:color w:val="auto"/>
        </w:rPr>
        <w:t>Unless specified otherwise by the Committee at the time the performance goals are established or otherwise within the time prescribed by Section 162(m) of the Code, the Committee shall appropriately adjust the method of evaluating performance under a Qualifying Performance Criteria for a performance period as follows: (i) to exclude asset write-downs, (ii)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28" w:right="339" w:bottom="1440" w:gutter="0" w:footer="0" w:header="0"/>
        </w:sectPr>
      </w:pPr>
    </w:p>
    <w:bookmarkStart w:id="25" w:name="page26"/>
    <w:bookmarkEnd w:id="25"/>
    <w:p>
      <w:pPr>
        <w:jc w:val="both"/>
        <w:spacing w:after="0" w:line="287" w:lineRule="auto"/>
        <w:rPr>
          <w:sz w:val="20"/>
          <w:szCs w:val="20"/>
          <w:color w:val="auto"/>
        </w:rPr>
      </w:pPr>
      <w:r>
        <w:rPr>
          <w:rFonts w:ascii="Arial" w:cs="Arial" w:eastAsia="Arial" w:hAnsi="Arial"/>
          <w:sz w:val="19"/>
          <w:szCs w:val="19"/>
          <w:color w:val="auto"/>
        </w:rPr>
        <w:t>exclude litigation or claim judgments or settlements, (iii) to exclude the effect of changes in tax law, accounting principles or other such laws or provisions affecting reported results, (iv) to exclude accruals for reorganization and restructuring programs, (v) to exclude any extraordinary nonrecurring items as determined under generally accepted accounting principles and/or described in managements’ discussion and analysis of financial condition and results of operations appearing in the Company’s annual report to stockholders for the applicable year, (vi) to exclude the dilutive effects of acquisitions or joint ventures, (vii) to assume that any business divested by the Company achieved performance objectives at targeted levels during the balance of a performance period following such divestiture, (viii)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the Company’s bonus plans; and (x) to exclude costs incurred in connection with potential acquisitions or divestitures that are required to be expensed under generally accepted accounting principles, in each case in compliance with Section 162(m);</w:t>
      </w:r>
    </w:p>
    <w:p>
      <w:pPr>
        <w:spacing w:after="0" w:line="51" w:lineRule="exact"/>
        <w:rPr>
          <w:sz w:val="20"/>
          <w:szCs w:val="20"/>
          <w:color w:val="auto"/>
        </w:rPr>
      </w:pPr>
    </w:p>
    <w:p>
      <w:pPr>
        <w:jc w:val="both"/>
        <w:ind w:firstLine="1304"/>
        <w:spacing w:after="0" w:line="263" w:lineRule="auto"/>
        <w:tabs>
          <w:tab w:leader="none" w:pos="1930" w:val="left"/>
        </w:tabs>
        <w:numPr>
          <w:ilvl w:val="0"/>
          <w:numId w:val="35"/>
        </w:numPr>
        <w:rPr>
          <w:rFonts w:ascii="Arial" w:cs="Arial" w:eastAsia="Arial" w:hAnsi="Arial"/>
          <w:sz w:val="21"/>
          <w:szCs w:val="21"/>
          <w:color w:val="010000"/>
        </w:rPr>
      </w:pPr>
      <w:r>
        <w:rPr>
          <w:rFonts w:ascii="Arial" w:cs="Arial" w:eastAsia="Arial" w:hAnsi="Arial"/>
          <w:sz w:val="21"/>
          <w:szCs w:val="21"/>
          <w:color w:val="auto"/>
        </w:rPr>
        <w:t>The Committee shall establish the applicable performance goals in writing and an objective method for determining the Award earned by a Participant if the goals are attained, while the outcome is substantially uncertain and not later than the 90th day of the performance period (but in no event after 25% of the period of service with respect to which the performance goals relate has elapsed), and shall determine and certify in writing, for each Participant, the extent to which the performance goals have been met prior to payment or vesting of the Award; and</w:t>
      </w:r>
    </w:p>
    <w:p>
      <w:pPr>
        <w:spacing w:after="0" w:line="67" w:lineRule="exact"/>
        <w:rPr>
          <w:rFonts w:ascii="Arial" w:cs="Arial" w:eastAsia="Arial" w:hAnsi="Arial"/>
          <w:sz w:val="21"/>
          <w:szCs w:val="21"/>
          <w:color w:val="010000"/>
        </w:rPr>
      </w:pPr>
    </w:p>
    <w:p>
      <w:pPr>
        <w:jc w:val="both"/>
        <w:ind w:firstLine="1304"/>
        <w:spacing w:after="0" w:line="253" w:lineRule="auto"/>
        <w:tabs>
          <w:tab w:leader="none" w:pos="1837" w:val="left"/>
        </w:tabs>
        <w:numPr>
          <w:ilvl w:val="0"/>
          <w:numId w:val="35"/>
        </w:numPr>
        <w:rPr>
          <w:rFonts w:ascii="Arial" w:cs="Arial" w:eastAsia="Arial" w:hAnsi="Arial"/>
          <w:sz w:val="22"/>
          <w:szCs w:val="22"/>
          <w:color w:val="010000"/>
        </w:rPr>
      </w:pPr>
      <w:r>
        <w:rPr>
          <w:rFonts w:ascii="Arial" w:cs="Arial" w:eastAsia="Arial" w:hAnsi="Arial"/>
          <w:sz w:val="22"/>
          <w:szCs w:val="22"/>
          <w:color w:val="auto"/>
        </w:rPr>
        <w:t>The Committee may not in any event increase the amount of compensation payable under the Plan upon the attainment of the pre-established performance goals to a Participant who is a “covered employee” within the meaning of Section 162(m) of the Code.</w:t>
      </w:r>
    </w:p>
    <w:p>
      <w:pPr>
        <w:spacing w:after="0" w:line="77" w:lineRule="exact"/>
        <w:rPr>
          <w:rFonts w:ascii="Arial" w:cs="Arial" w:eastAsia="Arial" w:hAnsi="Arial"/>
          <w:sz w:val="22"/>
          <w:szCs w:val="22"/>
          <w:color w:val="010000"/>
        </w:rPr>
      </w:pPr>
    </w:p>
    <w:p>
      <w:pPr>
        <w:jc w:val="both"/>
        <w:ind w:firstLine="1304"/>
        <w:spacing w:after="0" w:line="302" w:lineRule="auto"/>
        <w:tabs>
          <w:tab w:leader="none" w:pos="1804" w:val="left"/>
        </w:tabs>
        <w:numPr>
          <w:ilvl w:val="0"/>
          <w:numId w:val="35"/>
        </w:numPr>
        <w:rPr>
          <w:rFonts w:ascii="Arial" w:cs="Arial" w:eastAsia="Arial" w:hAnsi="Arial"/>
          <w:sz w:val="19"/>
          <w:szCs w:val="19"/>
          <w:color w:val="010000"/>
        </w:rPr>
      </w:pPr>
      <w:r>
        <w:rPr>
          <w:rFonts w:ascii="Arial" w:cs="Arial" w:eastAsia="Arial" w:hAnsi="Arial"/>
          <w:sz w:val="19"/>
          <w:szCs w:val="19"/>
          <w:color w:val="auto"/>
        </w:rPr>
        <w:t>The maximum aggregate number of Shares that may be subject to Performance Based Awards granted to a Participant in any calendar year is 1,000,000 Shares (subject to adjustment under Section 12), and no more than two times this amount in the first year of employment, and the maximum aggregate amount of cash that may be payable to a Participant under Performance Based Awards granted to a Participant in any calendar year that are Cash-Based Awards is $2,000,000.</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20. </w:t>
      </w:r>
      <w:r>
        <w:rPr>
          <w:rFonts w:ascii="Arial" w:cs="Arial" w:eastAsia="Arial" w:hAnsi="Arial"/>
          <w:sz w:val="22"/>
          <w:szCs w:val="22"/>
          <w:b w:val="1"/>
          <w:bCs w:val="1"/>
          <w:color w:val="000000"/>
        </w:rPr>
        <w:t>NO EMPLOYMENT RIGHTS.</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 provision of the Plan, nor any Award granted under the Plan, shall be construed to give any person any right to become, to be treated as, or to remain an Employee or Consultant. The Company and its Subsidiaries reserve the right to terminate any person’s Service at any time and for any reason, with or without notice.</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010000"/>
        </w:rPr>
        <w:t xml:space="preserve">Section 21. </w:t>
      </w:r>
      <w:r>
        <w:rPr>
          <w:rFonts w:ascii="Arial" w:cs="Arial" w:eastAsia="Arial" w:hAnsi="Arial"/>
          <w:sz w:val="22"/>
          <w:szCs w:val="22"/>
          <w:b w:val="1"/>
          <w:bCs w:val="1"/>
          <w:color w:val="000000"/>
        </w:rPr>
        <w:t>DURATION AND AMENDMENTS.</w:t>
      </w:r>
    </w:p>
    <w:p>
      <w:pPr>
        <w:spacing w:after="0" w:line="226" w:lineRule="exact"/>
        <w:rPr>
          <w:sz w:val="20"/>
          <w:szCs w:val="20"/>
          <w:color w:val="auto"/>
        </w:rPr>
      </w:pPr>
    </w:p>
    <w:p>
      <w:pPr>
        <w:ind w:left="1120" w:hanging="464"/>
        <w:spacing w:after="0"/>
        <w:tabs>
          <w:tab w:leader="none" w:pos="1120" w:val="left"/>
        </w:tabs>
        <w:numPr>
          <w:ilvl w:val="0"/>
          <w:numId w:val="36"/>
        </w:numPr>
        <w:rPr>
          <w:rFonts w:ascii="Arial" w:cs="Arial" w:eastAsia="Arial" w:hAnsi="Arial"/>
          <w:sz w:val="22"/>
          <w:szCs w:val="22"/>
          <w:color w:val="010000"/>
        </w:rPr>
      </w:pPr>
      <w:r>
        <w:rPr>
          <w:rFonts w:ascii="Arial" w:cs="Arial" w:eastAsia="Arial" w:hAnsi="Arial"/>
          <w:sz w:val="22"/>
          <w:szCs w:val="22"/>
          <w:u w:val="single" w:color="auto"/>
          <w:color w:val="auto"/>
        </w:rPr>
        <w:t>Term of the Plan</w:t>
      </w:r>
      <w:r>
        <w:rPr>
          <w:rFonts w:ascii="Arial" w:cs="Arial" w:eastAsia="Arial" w:hAnsi="Arial"/>
          <w:sz w:val="22"/>
          <w:szCs w:val="22"/>
          <w:color w:val="auto"/>
        </w:rPr>
        <w:t>. The Plan, as set forth herein, shall come into existence on the</w:t>
      </w:r>
    </w:p>
    <w:p>
      <w:pPr>
        <w:spacing w:after="0" w:line="200" w:lineRule="exact"/>
        <w:rPr>
          <w:rFonts w:ascii="Arial" w:cs="Arial" w:eastAsia="Arial" w:hAnsi="Arial"/>
          <w:sz w:val="22"/>
          <w:szCs w:val="22"/>
          <w:color w:val="010000"/>
        </w:rPr>
      </w:pPr>
    </w:p>
    <w:p>
      <w:pPr>
        <w:spacing w:after="0" w:line="200" w:lineRule="exact"/>
        <w:rPr>
          <w:rFonts w:ascii="Arial" w:cs="Arial" w:eastAsia="Arial" w:hAnsi="Arial"/>
          <w:sz w:val="22"/>
          <w:szCs w:val="22"/>
          <w:color w:val="010000"/>
        </w:rPr>
      </w:pPr>
    </w:p>
    <w:p>
      <w:pPr>
        <w:spacing w:after="0" w:line="200" w:lineRule="exact"/>
        <w:rPr>
          <w:rFonts w:ascii="Arial" w:cs="Arial" w:eastAsia="Arial" w:hAnsi="Arial"/>
          <w:sz w:val="22"/>
          <w:szCs w:val="22"/>
          <w:color w:val="010000"/>
        </w:rPr>
      </w:pPr>
    </w:p>
    <w:p>
      <w:pPr>
        <w:spacing w:after="0" w:line="200" w:lineRule="exact"/>
        <w:rPr>
          <w:rFonts w:ascii="Arial" w:cs="Arial" w:eastAsia="Arial" w:hAnsi="Arial"/>
          <w:sz w:val="22"/>
          <w:szCs w:val="22"/>
          <w:color w:val="010000"/>
        </w:rPr>
      </w:pPr>
    </w:p>
    <w:p>
      <w:pPr>
        <w:spacing w:after="0" w:line="200" w:lineRule="exact"/>
        <w:rPr>
          <w:rFonts w:ascii="Arial" w:cs="Arial" w:eastAsia="Arial" w:hAnsi="Arial"/>
          <w:sz w:val="22"/>
          <w:szCs w:val="22"/>
          <w:color w:val="010000"/>
        </w:rPr>
      </w:pPr>
    </w:p>
    <w:p>
      <w:pPr>
        <w:spacing w:after="0" w:line="259" w:lineRule="exact"/>
        <w:rPr>
          <w:rFonts w:ascii="Arial" w:cs="Arial" w:eastAsia="Arial" w:hAnsi="Arial"/>
          <w:sz w:val="22"/>
          <w:szCs w:val="22"/>
          <w:color w:val="010000"/>
        </w:rPr>
      </w:pPr>
    </w:p>
    <w:p>
      <w:pPr>
        <w:ind w:left="5520"/>
        <w:spacing w:after="0"/>
        <w:rPr>
          <w:rFonts w:ascii="Arial" w:cs="Arial" w:eastAsia="Arial" w:hAnsi="Arial"/>
          <w:sz w:val="22"/>
          <w:szCs w:val="22"/>
          <w:color w:val="010000"/>
        </w:rPr>
      </w:pPr>
      <w:r>
        <w:rPr>
          <w:rFonts w:ascii="Arial" w:cs="Arial" w:eastAsia="Arial" w:hAnsi="Arial"/>
          <w:sz w:val="22"/>
          <w:szCs w:val="22"/>
          <w:color w:val="auto"/>
        </w:rPr>
        <w:t>21</w:t>
      </w:r>
    </w:p>
    <w:p>
      <w:pPr>
        <w:sectPr>
          <w:pgSz w:w="11900" w:h="16838" w:orient="portrait"/>
          <w:cols w:equalWidth="0" w:num="1">
            <w:col w:w="11240"/>
          </w:cols>
          <w:pgMar w:left="320" w:top="1428" w:right="339" w:bottom="1440" w:gutter="0" w:footer="0" w:header="0"/>
        </w:sectPr>
      </w:pPr>
    </w:p>
    <w:bookmarkStart w:id="26" w:name="page27"/>
    <w:bookmarkEnd w:id="26"/>
    <w:p>
      <w:pPr>
        <w:jc w:val="both"/>
        <w:spacing w:after="0" w:line="250" w:lineRule="auto"/>
        <w:rPr>
          <w:sz w:val="20"/>
          <w:szCs w:val="20"/>
          <w:color w:val="auto"/>
        </w:rPr>
      </w:pPr>
      <w:r>
        <w:rPr>
          <w:rFonts w:ascii="Arial" w:cs="Arial" w:eastAsia="Arial" w:hAnsi="Arial"/>
          <w:sz w:val="22"/>
          <w:szCs w:val="22"/>
          <w:color w:val="auto"/>
        </w:rPr>
        <w:t>date of its adoption by the Board of Directors; provided, however, that no Award may be granted hereunder prior to the Effective Date. The Board of Directors may suspend or terminate the Plan at any time. No ISOs may be granted after the tenth anniversary of the earlier of (i) the date the Plan is adopted by the Board of Directors, or (ii) the date the Plan is approved the stockholders of the Company.</w:t>
      </w:r>
    </w:p>
    <w:p>
      <w:pPr>
        <w:spacing w:after="0" w:line="188" w:lineRule="exact"/>
        <w:rPr>
          <w:sz w:val="20"/>
          <w:szCs w:val="20"/>
          <w:color w:val="auto"/>
        </w:rPr>
      </w:pPr>
    </w:p>
    <w:p>
      <w:pPr>
        <w:jc w:val="both"/>
        <w:ind w:firstLine="656"/>
        <w:spacing w:after="0" w:line="250" w:lineRule="auto"/>
        <w:tabs>
          <w:tab w:leader="none" w:pos="1116" w:val="left"/>
        </w:tabs>
        <w:numPr>
          <w:ilvl w:val="0"/>
          <w:numId w:val="37"/>
        </w:numPr>
        <w:rPr>
          <w:rFonts w:ascii="Arial" w:cs="Arial" w:eastAsia="Arial" w:hAnsi="Arial"/>
          <w:sz w:val="22"/>
          <w:szCs w:val="22"/>
          <w:color w:val="010000"/>
        </w:rPr>
      </w:pPr>
      <w:r>
        <w:rPr>
          <w:rFonts w:ascii="Arial" w:cs="Arial" w:eastAsia="Arial" w:hAnsi="Arial"/>
          <w:sz w:val="22"/>
          <w:szCs w:val="22"/>
          <w:u w:val="single" w:color="auto"/>
          <w:color w:val="auto"/>
        </w:rPr>
        <w:t>Right to Amend the Plan</w:t>
      </w:r>
      <w:r>
        <w:rPr>
          <w:rFonts w:ascii="Arial" w:cs="Arial" w:eastAsia="Arial" w:hAnsi="Arial"/>
          <w:sz w:val="22"/>
          <w:szCs w:val="22"/>
          <w:color w:val="auto"/>
        </w:rPr>
        <w:t>. The Board of Directors may amend the Plan at any time and from time to time. Rights and obligations under any Award granted before amendment of the Plan shall not be materially impaired by such amendment, except with consent of the Participant. An amendment of the Plan shall be subject to the approval of the Company’s stockholders only to the extent required by applicable laws, regulations or rules.</w:t>
      </w:r>
    </w:p>
    <w:p>
      <w:pPr>
        <w:spacing w:after="0" w:line="187" w:lineRule="exact"/>
        <w:rPr>
          <w:rFonts w:ascii="Arial" w:cs="Arial" w:eastAsia="Arial" w:hAnsi="Arial"/>
          <w:sz w:val="22"/>
          <w:szCs w:val="22"/>
          <w:color w:val="010000"/>
        </w:rPr>
      </w:pPr>
    </w:p>
    <w:p>
      <w:pPr>
        <w:ind w:firstLine="656"/>
        <w:spacing w:after="0" w:line="263" w:lineRule="auto"/>
        <w:tabs>
          <w:tab w:leader="none" w:pos="1144" w:val="left"/>
        </w:tabs>
        <w:numPr>
          <w:ilvl w:val="0"/>
          <w:numId w:val="37"/>
        </w:numPr>
        <w:rPr>
          <w:rFonts w:ascii="Arial" w:cs="Arial" w:eastAsia="Arial" w:hAnsi="Arial"/>
          <w:sz w:val="22"/>
          <w:szCs w:val="22"/>
          <w:color w:val="010000"/>
        </w:rPr>
      </w:pPr>
      <w:r>
        <w:rPr>
          <w:rFonts w:ascii="Arial" w:cs="Arial" w:eastAsia="Arial" w:hAnsi="Arial"/>
          <w:sz w:val="22"/>
          <w:szCs w:val="22"/>
          <w:u w:val="single" w:color="auto"/>
          <w:color w:val="auto"/>
        </w:rPr>
        <w:t>Effect of Termination</w:t>
      </w:r>
      <w:r>
        <w:rPr>
          <w:rFonts w:ascii="Arial" w:cs="Arial" w:eastAsia="Arial" w:hAnsi="Arial"/>
          <w:sz w:val="22"/>
          <w:szCs w:val="22"/>
          <w:color w:val="auto"/>
        </w:rPr>
        <w:t>. No Awards shall be granted under the Plan after the termination thereof. The termination of the Plan shall not affect Awards previously granted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sectPr>
      <w:pgSz w:w="11900" w:h="16838" w:orient="portrait"/>
      <w:cols w:equalWidth="0" w:num="1">
        <w:col w:w="11240"/>
      </w:cols>
      <w:pgMar w:left="320" w:top="1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
    <w:nsid w:val="62BBD95A"/>
    <w:multiLevelType w:val="hybridMultilevel"/>
    <w:lvl w:ilvl="0">
      <w:lvlJc w:val="left"/>
      <w:lvlText w:val="(%1)"/>
      <w:numFmt w:val="upperLetter"/>
      <w:start w:val="2"/>
    </w:lvl>
  </w:abstractNum>
  <w:abstractNum w:abstractNumId="3">
    <w:nsid w:val="436C6125"/>
    <w:multiLevelType w:val="hybridMultilevel"/>
    <w:lvl w:ilvl="0">
      <w:lvlJc w:val="left"/>
      <w:lvlText w:val="(%1)"/>
      <w:numFmt w:val="lowerRoman"/>
      <w:start w:val="2"/>
    </w:lvl>
  </w:abstractNum>
  <w:abstractNum w:abstractNumId="4">
    <w:nsid w:val="628C895D"/>
    <w:multiLevelType w:val="hybridMultilevel"/>
    <w:lvl w:ilvl="0">
      <w:lvlJc w:val="left"/>
      <w:lvlText w:val="(%1)"/>
      <w:numFmt w:val="lowerLetter"/>
      <w:start w:val="8"/>
    </w:lvl>
    <w:lvl w:ilvl="1">
      <w:lvlJc w:val="left"/>
      <w:lvlText w:val="(%2)"/>
      <w:numFmt w:val="lowerRoman"/>
      <w:start w:val="1"/>
    </w:lvl>
  </w:abstractNum>
  <w:abstractNum w:abstractNumId="5">
    <w:nsid w:val="333AB105"/>
    <w:multiLevelType w:val="hybridMultilevel"/>
    <w:lvl w:ilvl="0">
      <w:lvlJc w:val="left"/>
      <w:lvlText w:val="(%1)"/>
      <w:numFmt w:val="lowerLetter"/>
      <w:start w:val="16"/>
    </w:lvl>
  </w:abstractNum>
  <w:abstractNum w:abstractNumId="6">
    <w:nsid w:val="721DA317"/>
    <w:multiLevelType w:val="hybridMultilevel"/>
    <w:lvl w:ilvl="0">
      <w:lvlJc w:val="left"/>
      <w:lvlText w:val="(%1)"/>
      <w:numFmt w:val="lowerLetter"/>
      <w:start w:val="19"/>
    </w:lvl>
  </w:abstractNum>
  <w:abstractNum w:abstractNumId="7">
    <w:nsid w:val="2443A858"/>
    <w:multiLevelType w:val="hybridMultilevel"/>
    <w:lvl w:ilvl="0">
      <w:lvlJc w:val="left"/>
      <w:lvlText w:val="(%1)"/>
      <w:numFmt w:val="lowerLetter"/>
      <w:start w:val="27"/>
    </w:lvl>
  </w:abstractNum>
  <w:abstractNum w:abstractNumId="8">
    <w:nsid w:val="2D1D5AE9"/>
    <w:multiLevelType w:val="hybridMultilevel"/>
    <w:lvl w:ilvl="0">
      <w:lvlJc w:val="left"/>
      <w:lvlText w:val="(%1)"/>
      <w:numFmt w:val="lowerLetter"/>
      <w:start w:val="29"/>
    </w:lvl>
  </w:abstractNum>
  <w:abstractNum w:abstractNumId="9">
    <w:nsid w:val="6763845E"/>
    <w:multiLevelType w:val="hybridMultilevel"/>
    <w:lvl w:ilvl="0">
      <w:lvlJc w:val="left"/>
      <w:lvlText w:val="(%1)"/>
      <w:numFmt w:val="lowerLetter"/>
      <w:start w:val="1"/>
    </w:lvl>
    <w:lvl w:ilvl="1">
      <w:lvlJc w:val="left"/>
      <w:lvlText w:val="(%2)"/>
      <w:numFmt w:val="lowerLetter"/>
      <w:start w:val="9"/>
    </w:lvl>
  </w:abstractNum>
  <w:abstractNum w:abstractNumId="10">
    <w:nsid w:val="75A2A8D4"/>
    <w:multiLevelType w:val="hybridMultilevel"/>
    <w:lvl w:ilvl="0">
      <w:lvlJc w:val="left"/>
      <w:lvlText w:val="(%1)"/>
      <w:numFmt w:val="lowerRoman"/>
      <w:start w:val="2"/>
    </w:lvl>
  </w:abstractNum>
  <w:abstractNum w:abstractNumId="11">
    <w:nsid w:val="8EDBDAB"/>
    <w:multiLevelType w:val="hybridMultilevel"/>
    <w:lvl w:ilvl="0">
      <w:lvlJc w:val="left"/>
      <w:lvlText w:val="(%1)"/>
      <w:numFmt w:val="lowerLetter"/>
      <w:start w:val="1"/>
    </w:lvl>
    <w:lvl w:ilvl="1">
      <w:lvlJc w:val="left"/>
      <w:lvlText w:val="(%2)"/>
      <w:numFmt w:val="lowerRoman"/>
      <w:start w:val="1"/>
    </w:lvl>
  </w:abstractNum>
  <w:abstractNum w:abstractNumId="12">
    <w:nsid w:val="79838CB2"/>
    <w:multiLevelType w:val="hybridMultilevel"/>
    <w:lvl w:ilvl="0">
      <w:lvlJc w:val="left"/>
      <w:lvlText w:val="%1"/>
      <w:numFmt w:val="lowerLetter"/>
      <w:start w:val="1"/>
    </w:lvl>
    <w:lvl w:ilvl="1">
      <w:lvlJc w:val="left"/>
      <w:lvlText w:val="(%2)"/>
      <w:numFmt w:val="lowerRoman"/>
      <w:start w:val="4"/>
    </w:lvl>
  </w:abstractNum>
  <w:abstractNum w:abstractNumId="13">
    <w:nsid w:val="4353D0CD"/>
    <w:multiLevelType w:val="hybridMultilevel"/>
    <w:lvl w:ilvl="0">
      <w:lvlJc w:val="left"/>
      <w:lvlText w:val="(%1)"/>
      <w:numFmt w:val="lowerLetter"/>
      <w:start w:val="3"/>
    </w:lvl>
    <w:lvl w:ilvl="1">
      <w:lvlJc w:val="left"/>
      <w:lvlText w:val="%2"/>
      <w:numFmt w:val="lowerRoman"/>
      <w:start w:val="1"/>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1)"/>
      <w:numFmt w:val="lowerLetter"/>
      <w:start w:val="4"/>
    </w:lvl>
  </w:abstractNum>
  <w:abstractNum w:abstractNumId="16">
    <w:nsid w:val="54E49EB4"/>
    <w:multiLevelType w:val="hybridMultilevel"/>
    <w:lvl w:ilvl="0">
      <w:lvlJc w:val="left"/>
      <w:lvlText w:val="(%1)"/>
      <w:numFmt w:val="lowerLetter"/>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Letter"/>
      <w:start w:val="7"/>
    </w:lvl>
  </w:abstractNum>
  <w:abstractNum w:abstractNumId="19">
    <w:nsid w:val="836C40E"/>
    <w:multiLevelType w:val="hybridMultilevel"/>
    <w:lvl w:ilvl="0">
      <w:lvlJc w:val="left"/>
      <w:lvlText w:val="(%1)"/>
      <w:numFmt w:val="lowerLetter"/>
      <w:start w:val="1"/>
    </w:lvl>
  </w:abstractNum>
  <w:abstractNum w:abstractNumId="20">
    <w:nsid w:val="2901D82"/>
    <w:multiLevelType w:val="hybridMultilevel"/>
    <w:lvl w:ilvl="0">
      <w:lvlJc w:val="left"/>
      <w:lvlText w:val="(%1)"/>
      <w:numFmt w:val="lowerLetter"/>
      <w:start w:val="3"/>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Letter"/>
      <w:start w:val="3"/>
    </w:lvl>
  </w:abstractNum>
  <w:abstractNum w:abstractNumId="23">
    <w:nsid w:val="1E7FF521"/>
    <w:multiLevelType w:val="hybridMultilevel"/>
    <w:lvl w:ilvl="0">
      <w:lvlJc w:val="left"/>
      <w:lvlText w:val="%1"/>
      <w:numFmt w:val="lowerLetter"/>
      <w:start w:val="1"/>
    </w:lvl>
    <w:lvl w:ilvl="1">
      <w:lvlJc w:val="left"/>
      <w:lvlText w:val="(%2)"/>
      <w:numFmt w:val="lowerLetter"/>
      <w:start w:val="1"/>
    </w:lvl>
  </w:abstractNum>
  <w:abstractNum w:abstractNumId="24">
    <w:nsid w:val="7C3DBD3D"/>
    <w:multiLevelType w:val="hybridMultilevel"/>
    <w:lvl w:ilvl="0">
      <w:lvlJc w:val="left"/>
      <w:lvlText w:val="(%1)"/>
      <w:numFmt w:val="lowerLetter"/>
      <w:start w:val="2"/>
    </w:lvl>
    <w:lvl w:ilvl="1">
      <w:lvlJc w:val="left"/>
      <w:lvlText w:val="(%2)"/>
      <w:numFmt w:val="lowerLetter"/>
      <w:start w:val="6"/>
    </w:lvl>
  </w:abstractNum>
  <w:abstractNum w:abstractNumId="25">
    <w:nsid w:val="737B8DDC"/>
    <w:multiLevelType w:val="hybridMultilevel"/>
    <w:lvl w:ilvl="0">
      <w:lvlJc w:val="left"/>
      <w:lvlText w:val="(%1)"/>
      <w:numFmt w:val="lowerLetter"/>
      <w:start w:val="7"/>
    </w:lvl>
  </w:abstractNum>
  <w:abstractNum w:abstractNumId="26">
    <w:nsid w:val="6CEAF087"/>
    <w:multiLevelType w:val="hybridMultilevel"/>
    <w:lvl w:ilvl="0">
      <w:lvlJc w:val="left"/>
      <w:lvlText w:val="(%1)"/>
      <w:numFmt w:val="lowerLetter"/>
      <w:start w:val="1"/>
    </w:lvl>
    <w:lvl w:ilvl="1">
      <w:lvlJc w:val="left"/>
      <w:lvlText w:val="(%2)"/>
      <w:numFmt w:val="lowerRoman"/>
      <w:start w:val="1"/>
    </w:lvl>
  </w:abstractNum>
  <w:abstractNum w:abstractNumId="27">
    <w:nsid w:val="22221A70"/>
    <w:multiLevelType w:val="hybridMultilevel"/>
    <w:lvl w:ilvl="0">
      <w:lvlJc w:val="left"/>
      <w:lvlText w:val="(%1)"/>
      <w:numFmt w:val="lowerLetter"/>
      <w:start w:val="3"/>
    </w:lvl>
    <w:lvl w:ilvl="1">
      <w:lvlJc w:val="left"/>
      <w:lvlText w:val="(%2)"/>
      <w:numFmt w:val="lowerRoman"/>
      <w:start w:val="1"/>
    </w:lvl>
  </w:abstractNum>
  <w:abstractNum w:abstractNumId="28">
    <w:nsid w:val="4516DDE9"/>
    <w:multiLevelType w:val="hybridMultilevel"/>
    <w:lvl w:ilvl="0">
      <w:lvlJc w:val="left"/>
      <w:lvlText w:val="(%1)"/>
      <w:numFmt w:val="lowerLetter"/>
      <w:start w:val="4"/>
    </w:lvl>
  </w:abstractNum>
  <w:abstractNum w:abstractNumId="29">
    <w:nsid w:val="3006C83E"/>
    <w:multiLevelType w:val="hybridMultilevel"/>
    <w:lvl w:ilvl="0">
      <w:lvlJc w:val="left"/>
      <w:lvlText w:val="(%1)"/>
      <w:numFmt w:val="lowerLetter"/>
      <w:start w:val="1"/>
    </w:lvl>
    <w:lvl w:ilvl="1">
      <w:lvlJc w:val="left"/>
      <w:lvlText w:val="(%2)"/>
      <w:numFmt w:val="lowerRoman"/>
      <w:start w:val="1"/>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lowerLetter"/>
      <w:start w:val="3"/>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Roman"/>
      <w:start w:val="1"/>
    </w:lvl>
  </w:abstractNum>
  <w:abstractNum w:abstractNumId="34">
    <w:nsid w:val="5072367"/>
    <w:multiLevelType w:val="hybridMultilevel"/>
    <w:lvl w:ilvl="0">
      <w:lvlJc w:val="left"/>
      <w:lvlText w:val="(%1)"/>
      <w:numFmt w:val="lowerRoman"/>
      <w:start w:val="3"/>
    </w:lvl>
  </w:abstractNum>
  <w:abstractNum w:abstractNumId="35">
    <w:nsid w:val="3804823E"/>
    <w:multiLevelType w:val="hybridMultilevel"/>
    <w:lvl w:ilvl="0">
      <w:lvlJc w:val="left"/>
      <w:lvlText w:val="(%1)"/>
      <w:numFmt w:val="lowerLetter"/>
      <w:start w:val="1"/>
    </w:lvl>
  </w:abstractNum>
  <w:abstractNum w:abstractNumId="36">
    <w:nsid w:val="77465F0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2021-03-03T15:14:35Z</dcterms:created>
  <dcterms:modified xsi:type="dcterms:W3CDTF">2021-03-03T15:14:35Z</dcterms:modified>
</cp:coreProperties>
</file>