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1246505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1"/>
              </w:rPr>
              <w:t>Date of Report (Date of earliest event reported): May 6, 2020</w:t>
            </w:r>
          </w:p>
        </w:tc>
        <w:tc>
          <w:tcPr>
            <w:tcW w:w="2400" w:type="dxa"/>
            <w:vAlign w:val="bottom"/>
          </w:tcPr>
          <w:p>
            <w:pPr>
              <w:spacing w:after="0"/>
              <w:rPr>
                <w:sz w:val="20"/>
                <w:szCs w:val="20"/>
                <w:color w:val="auto"/>
              </w:rPr>
            </w:pPr>
          </w:p>
        </w:tc>
      </w:tr>
      <w:tr>
        <w:trPr>
          <w:trHeight w:val="445"/>
        </w:trPr>
        <w:tc>
          <w:tcPr>
            <w:tcW w:w="238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400" w:type="dxa"/>
            <w:vAlign w:val="bottom"/>
          </w:tcPr>
          <w:p>
            <w:pPr>
              <w:spacing w:after="0"/>
              <w:rPr>
                <w:sz w:val="24"/>
                <w:szCs w:val="24"/>
                <w:color w:val="auto"/>
              </w:rPr>
            </w:pPr>
          </w:p>
        </w:tc>
      </w:tr>
      <w:tr>
        <w:trPr>
          <w:trHeight w:val="230"/>
        </w:trPr>
        <w:tc>
          <w:tcPr>
            <w:tcW w:w="238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400" w:type="dxa"/>
            <w:vAlign w:val="bottom"/>
          </w:tcPr>
          <w:p>
            <w:pPr>
              <w:spacing w:after="0"/>
              <w:rPr>
                <w:sz w:val="20"/>
                <w:szCs w:val="20"/>
                <w:color w:val="auto"/>
              </w:rPr>
            </w:pPr>
          </w:p>
        </w:tc>
      </w:tr>
      <w:tr>
        <w:trPr>
          <w:trHeight w:val="513"/>
        </w:trPr>
        <w:tc>
          <w:tcPr>
            <w:tcW w:w="238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Delaware</w:t>
            </w:r>
          </w:p>
        </w:tc>
        <w:tc>
          <w:tcPr>
            <w:tcW w:w="500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40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380" w:type="dxa"/>
            <w:vAlign w:val="bottom"/>
          </w:tcPr>
          <w:p>
            <w:pPr>
              <w:jc w:val="center"/>
              <w:ind w:right="190"/>
              <w:spacing w:after="0"/>
              <w:rPr>
                <w:sz w:val="20"/>
                <w:szCs w:val="20"/>
                <w:color w:val="auto"/>
              </w:rPr>
            </w:pPr>
            <w:r>
              <w:rPr>
                <w:rFonts w:ascii="Arial" w:cs="Arial" w:eastAsia="Arial" w:hAnsi="Arial"/>
                <w:sz w:val="18"/>
                <w:szCs w:val="18"/>
                <w:color w:val="auto"/>
                <w:w w:val="93"/>
              </w:rPr>
              <w:t>(State or other jurisdiction of</w:t>
            </w:r>
          </w:p>
        </w:tc>
        <w:tc>
          <w:tcPr>
            <w:tcW w:w="500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400" w:type="dxa"/>
            <w:vAlign w:val="bottom"/>
          </w:tcPr>
          <w:p>
            <w:pPr>
              <w:jc w:val="center"/>
              <w:ind w:left="2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380" w:type="dxa"/>
            <w:vAlign w:val="bottom"/>
          </w:tcPr>
          <w:p>
            <w:pPr>
              <w:jc w:val="center"/>
              <w:ind w:right="190"/>
              <w:spacing w:after="0"/>
              <w:rPr>
                <w:sz w:val="20"/>
                <w:szCs w:val="20"/>
                <w:color w:val="auto"/>
              </w:rPr>
            </w:pPr>
            <w:r>
              <w:rPr>
                <w:rFonts w:ascii="Arial" w:cs="Arial" w:eastAsia="Arial" w:hAnsi="Arial"/>
                <w:sz w:val="18"/>
                <w:szCs w:val="18"/>
                <w:color w:val="auto"/>
                <w:w w:val="92"/>
              </w:rPr>
              <w:t>incorporation)</w:t>
            </w:r>
          </w:p>
        </w:tc>
        <w:tc>
          <w:tcPr>
            <w:tcW w:w="5000" w:type="dxa"/>
            <w:vAlign w:val="bottom"/>
          </w:tcPr>
          <w:p>
            <w:pPr>
              <w:spacing w:after="0"/>
              <w:rPr>
                <w:sz w:val="20"/>
                <w:szCs w:val="20"/>
                <w:color w:val="auto"/>
              </w:rPr>
            </w:pPr>
          </w:p>
        </w:tc>
        <w:tc>
          <w:tcPr>
            <w:tcW w:w="2400" w:type="dxa"/>
            <w:vAlign w:val="bottom"/>
          </w:tcPr>
          <w:p>
            <w:pPr>
              <w:jc w:val="center"/>
              <w:ind w:left="190"/>
              <w:spacing w:after="0"/>
              <w:rPr>
                <w:sz w:val="20"/>
                <w:szCs w:val="20"/>
                <w:color w:val="auto"/>
              </w:rPr>
            </w:pPr>
            <w:r>
              <w:rPr>
                <w:rFonts w:ascii="Arial" w:cs="Arial" w:eastAsia="Arial" w:hAnsi="Arial"/>
                <w:sz w:val="18"/>
                <w:szCs w:val="18"/>
                <w:color w:val="auto"/>
                <w:w w:val="93"/>
              </w:rPr>
              <w:t>No.)</w:t>
            </w:r>
          </w:p>
        </w:tc>
      </w:tr>
      <w:tr>
        <w:trPr>
          <w:trHeight w:val="526"/>
        </w:trPr>
        <w:tc>
          <w:tcPr>
            <w:tcW w:w="7380" w:type="dxa"/>
            <w:vAlign w:val="bottom"/>
            <w:gridSpan w:val="2"/>
          </w:tcPr>
          <w:p>
            <w:pPr>
              <w:ind w:left="6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400" w:type="dxa"/>
            <w:vAlign w:val="bottom"/>
          </w:tcPr>
          <w:p>
            <w:pPr>
              <w:jc w:val="right"/>
              <w:ind w:right="710"/>
              <w:spacing w:after="0"/>
              <w:rPr>
                <w:sz w:val="20"/>
                <w:szCs w:val="20"/>
                <w:color w:val="auto"/>
              </w:rPr>
            </w:pPr>
            <w:r>
              <w:rPr>
                <w:rFonts w:ascii="Arial" w:cs="Arial" w:eastAsia="Arial" w:hAnsi="Arial"/>
                <w:sz w:val="18"/>
                <w:szCs w:val="18"/>
                <w:b w:val="1"/>
                <w:bCs w:val="1"/>
                <w:color w:val="auto"/>
              </w:rPr>
              <w:t>94080</w:t>
            </w:r>
          </w:p>
        </w:tc>
      </w:tr>
      <w:tr>
        <w:trPr>
          <w:trHeight w:val="256"/>
        </w:trPr>
        <w:tc>
          <w:tcPr>
            <w:tcW w:w="7380" w:type="dxa"/>
            <w:vAlign w:val="bottom"/>
            <w:gridSpan w:val="2"/>
          </w:tcPr>
          <w:p>
            <w:pPr>
              <w:ind w:left="114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center"/>
              <w:ind w:left="270"/>
              <w:spacing w:after="0"/>
              <w:rPr>
                <w:sz w:val="20"/>
                <w:szCs w:val="20"/>
                <w:color w:val="auto"/>
              </w:rPr>
            </w:pPr>
            <w:r>
              <w:rPr>
                <w:rFonts w:ascii="Arial" w:cs="Arial" w:eastAsia="Arial" w:hAnsi="Arial"/>
                <w:sz w:val="18"/>
                <w:szCs w:val="18"/>
                <w:color w:val="auto"/>
                <w:w w:val="94"/>
              </w:rPr>
              <w:t>(Zip Code)</w:t>
            </w:r>
          </w:p>
        </w:tc>
      </w:tr>
    </w:tbl>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19"/>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60" w:type="dxa"/>
            <w:vAlign w:val="bottom"/>
          </w:tcPr>
          <w:p>
            <w:pPr>
              <w:spacing w:after="0"/>
              <w:rPr>
                <w:sz w:val="22"/>
                <w:szCs w:val="22"/>
                <w:color w:val="auto"/>
              </w:rPr>
            </w:pPr>
          </w:p>
        </w:tc>
        <w:tc>
          <w:tcPr>
            <w:tcW w:w="20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96" w:lineRule="exact"/>
        <w:rPr>
          <w:sz w:val="24"/>
          <w:szCs w:val="24"/>
          <w:color w:val="auto"/>
        </w:rPr>
      </w:pPr>
    </w:p>
    <w:p>
      <w:pPr>
        <w:ind w:left="20" w:right="26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82"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6, 2020, Veracyte, Inc. issued a press release announcing its financial results for the quarter ended March 31, 2020. The full text of the press release is furnished as Exhibit 99.1 to this report.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9260" w:type="dxa"/>
            <w:vAlign w:val="bottom"/>
          </w:tcPr>
          <w:p>
            <w:pPr>
              <w:ind w:left="20"/>
              <w:spacing w:after="0"/>
              <w:rPr>
                <w:sz w:val="20"/>
                <w:szCs w:val="20"/>
                <w:color w:val="auto"/>
              </w:rPr>
            </w:pPr>
            <w:r>
              <w:rPr>
                <w:rFonts w:ascii="Arial" w:cs="Arial" w:eastAsia="Arial" w:hAnsi="Arial"/>
                <w:sz w:val="18"/>
                <w:szCs w:val="18"/>
                <w:color w:val="auto"/>
              </w:rPr>
              <w:t>Description</w:t>
            </w:r>
          </w:p>
        </w:tc>
      </w:tr>
      <w:tr>
        <w:trPr>
          <w:trHeight w:val="27"/>
        </w:trPr>
        <w:tc>
          <w:tcPr>
            <w:tcW w:w="14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60" w:type="dxa"/>
            <w:vAlign w:val="bottom"/>
            <w:tcBorders>
              <w:bottom w:val="single" w:sz="8" w:color="auto"/>
            </w:tcBorders>
          </w:tcPr>
          <w:p>
            <w:pPr>
              <w:spacing w:after="0"/>
              <w:rPr>
                <w:sz w:val="2"/>
                <w:szCs w:val="2"/>
                <w:color w:val="auto"/>
              </w:rPr>
            </w:pPr>
          </w:p>
        </w:tc>
      </w:tr>
      <w:tr>
        <w:trPr>
          <w:trHeight w:val="331"/>
        </w:trPr>
        <w:tc>
          <w:tcPr>
            <w:tcW w:w="1420" w:type="dxa"/>
            <w:vAlign w:val="bottom"/>
          </w:tcPr>
          <w:p>
            <w:pPr>
              <w:jc w:val="center"/>
              <w:ind w:right="45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99.1</w:t>
              </w:r>
            </w:hyperlink>
          </w:p>
        </w:tc>
        <w:tc>
          <w:tcPr>
            <w:tcW w:w="240" w:type="dxa"/>
            <w:vAlign w:val="bottom"/>
          </w:tcPr>
          <w:p>
            <w:pPr>
              <w:spacing w:after="0"/>
              <w:rPr>
                <w:sz w:val="24"/>
                <w:szCs w:val="24"/>
                <w:color w:val="auto"/>
              </w:rPr>
            </w:pPr>
          </w:p>
        </w:tc>
        <w:tc>
          <w:tcPr>
            <w:tcW w:w="926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issued by Veracyte, Inc. dated May 6, 2020.</w:t>
              </w:r>
            </w:hyperlink>
          </w:p>
        </w:tc>
      </w:tr>
      <w:tr>
        <w:trPr>
          <w:trHeight w:val="257"/>
        </w:trPr>
        <w:tc>
          <w:tcPr>
            <w:tcW w:w="1420" w:type="dxa"/>
            <w:vAlign w:val="bottom"/>
          </w:tcPr>
          <w:p>
            <w:pPr>
              <w:jc w:val="right"/>
              <w:ind w:right="49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2"/>
                <w:szCs w:val="22"/>
                <w:color w:val="auto"/>
              </w:rPr>
            </w:pPr>
          </w:p>
        </w:tc>
        <w:tc>
          <w:tcPr>
            <w:tcW w:w="9260" w:type="dxa"/>
            <w:vAlign w:val="bottom"/>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1440" w:right="339" w:bottom="1440" w:gutter="0" w:footer="0" w:header="0"/>
        </w:sectPr>
      </w:pPr>
    </w:p>
    <w:bookmarkStart w:id="2" w:name="page3"/>
    <w:bookmarkEnd w:id="2"/>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Dated:</w:t>
            </w:r>
          </w:p>
        </w:tc>
        <w:tc>
          <w:tcPr>
            <w:tcW w:w="1100" w:type="dxa"/>
            <w:vAlign w:val="bottom"/>
          </w:tcPr>
          <w:p>
            <w:pPr>
              <w:ind w:left="200"/>
              <w:spacing w:after="0"/>
              <w:rPr>
                <w:sz w:val="20"/>
                <w:szCs w:val="20"/>
                <w:color w:val="auto"/>
              </w:rPr>
            </w:pPr>
            <w:r>
              <w:rPr>
                <w:rFonts w:ascii="Arial" w:cs="Arial" w:eastAsia="Arial" w:hAnsi="Arial"/>
                <w:sz w:val="18"/>
                <w:szCs w:val="18"/>
                <w:color w:val="auto"/>
                <w:w w:val="88"/>
              </w:rPr>
              <w:t>May 6, 2020</w:t>
            </w:r>
          </w:p>
        </w:tc>
      </w:tr>
    </w:tbl>
    <w:p>
      <w:pPr>
        <w:spacing w:after="0" w:line="26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p>
      <w:pPr>
        <w:ind w:left="4300"/>
        <w:spacing w:after="0"/>
        <w:tabs>
          <w:tab w:leader="none" w:pos="5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23495</wp:posOffset>
            </wp:positionV>
            <wp:extent cx="39173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17315" cy="8890"/>
                    </a:xfrm>
                    <a:prstGeom prst="rect">
                      <a:avLst/>
                    </a:prstGeom>
                    <a:noFill/>
                  </pic:spPr>
                </pic:pic>
              </a:graphicData>
            </a:graphic>
          </wp:anchor>
        </w:drawing>
      </w:r>
    </w:p>
    <w:p>
      <w:pPr>
        <w:spacing w:after="0" w:line="30" w:lineRule="exact"/>
        <w:rPr>
          <w:sz w:val="20"/>
          <w:szCs w:val="20"/>
          <w:color w:val="auto"/>
        </w:rPr>
      </w:pPr>
    </w:p>
    <w:p>
      <w:pPr>
        <w:ind w:left="4300"/>
        <w:spacing w:after="0"/>
        <w:tabs>
          <w:tab w:leader="none" w:pos="51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Keith Kennedy</w:t>
      </w:r>
    </w:p>
    <w:p>
      <w:pPr>
        <w:spacing w:after="0" w:line="63" w:lineRule="exact"/>
        <w:rPr>
          <w:sz w:val="20"/>
          <w:szCs w:val="20"/>
          <w:color w:val="auto"/>
        </w:rPr>
      </w:pPr>
    </w:p>
    <w:p>
      <w:pPr>
        <w:ind w:left="4300"/>
        <w:spacing w:after="0"/>
        <w:tabs>
          <w:tab w:leader="none" w:pos="5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Operating Officer and Chief Financial Officer</w:t>
      </w:r>
    </w:p>
    <w:p>
      <w:pPr>
        <w:spacing w:after="0" w:line="50" w:lineRule="exact"/>
        <w:rPr>
          <w:sz w:val="20"/>
          <w:szCs w:val="20"/>
          <w:color w:val="auto"/>
        </w:rPr>
      </w:pPr>
    </w:p>
    <w:p>
      <w:pPr>
        <w:ind w:left="51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00"/>
          </w:cols>
          <w:pgMar w:left="320" w:top="144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14605</wp:posOffset>
            </wp:positionV>
            <wp:extent cx="1285875" cy="934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587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Announces First Quarter 2020 Financial Results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Total Testing and Product Revenue Increased 20% to $30.4 Million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Genomic Testing Volume Grew 15% to 10,559</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Executed Exclusive Licensing Agreement with Yale University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To Advance Novel, Blood-Based Genomic IPF Monitoring Test on nCounter Platform</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Outlines COVID-19 Impact and Response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5:00 p.m. ET</w:t>
      </w:r>
    </w:p>
    <w:p>
      <w:pPr>
        <w:spacing w:after="0" w:line="200" w:lineRule="exact"/>
        <w:rPr>
          <w:sz w:val="20"/>
          <w:szCs w:val="20"/>
          <w:color w:val="auto"/>
        </w:rPr>
      </w:pPr>
    </w:p>
    <w:p>
      <w:pPr>
        <w:spacing w:after="0" w:line="29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SOUTH SAN FRANCISCO, Calif., May 6, 2020-- </w:t>
      </w:r>
      <w:r>
        <w:rPr>
          <w:rFonts w:ascii="Arial" w:cs="Arial" w:eastAsia="Arial" w:hAnsi="Arial"/>
          <w:sz w:val="18"/>
          <w:szCs w:val="18"/>
          <w:color w:val="0000FF"/>
        </w:rPr>
        <w:t>Veracyte, Inc</w:t>
      </w:r>
      <w:r>
        <w:rPr>
          <w:rFonts w:ascii="Arial" w:cs="Arial" w:eastAsia="Arial" w:hAnsi="Arial"/>
          <w:sz w:val="18"/>
          <w:szCs w:val="18"/>
          <w:color w:val="auto"/>
        </w:rPr>
        <w:t xml:space="preserve">. </w:t>
      </w:r>
      <w:r>
        <w:rPr>
          <w:rFonts w:ascii="Arial" w:cs="Arial" w:eastAsia="Arial" w:hAnsi="Arial"/>
          <w:sz w:val="21"/>
          <w:szCs w:val="21"/>
          <w:color w:val="auto"/>
        </w:rPr>
        <w:t>(Nasdaq: VCYT) today announced financial results for the first</w:t>
      </w:r>
      <w:r>
        <w:rPr>
          <w:rFonts w:ascii="Arial" w:cs="Arial" w:eastAsia="Arial" w:hAnsi="Arial"/>
          <w:sz w:val="18"/>
          <w:szCs w:val="18"/>
          <w:color w:val="auto"/>
        </w:rPr>
        <w:t xml:space="preserve"> </w:t>
      </w:r>
      <w:r>
        <w:rPr>
          <w:rFonts w:ascii="Arial" w:cs="Arial" w:eastAsia="Arial" w:hAnsi="Arial"/>
          <w:sz w:val="21"/>
          <w:szCs w:val="21"/>
          <w:color w:val="auto"/>
        </w:rPr>
        <w:t>quarter ended March 31, 2020 and provided an update on recent business progress.</w:t>
      </w:r>
    </w:p>
    <w:p>
      <w:pPr>
        <w:spacing w:after="0" w:line="213"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“Despite late-quarter challenges from the COVID-19 pandemic, we delivered solid results for the first quarter of 2020, with strong revenue and volume growth across our genomic testing business. We continued to strengthen our position for long-term success by advancing our pipeline and solidifying our infrastructure for global expansion. We also established a new biopharmaceutical partnership in lymphoma, our newest clinical indication, and made strong progress with all of our biopharmaceutical collaborations,” said Bonnie Anderson, chairman and chief executive officer of Veracyte.</w:t>
      </w:r>
    </w:p>
    <w:p>
      <w:pPr>
        <w:spacing w:after="0" w:line="22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“While we anticipate impact to our business from the pandemic through 2020, we believe we are well-positioned to emerge strong over the long term due to the fundamental strength and diversification of our business, as well as our strong cash position. Moreover, we believe our focus on improving diagnosis and treatment decisions for patients with cancer and lung disease, while reducing unnecessary procedures, aligns with the needs of our healthcare system.”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Financial Results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first quarter of 2020, as compared with the first quarter of 2019:</w:t>
      </w:r>
    </w:p>
    <w:p>
      <w:pPr>
        <w:spacing w:after="0" w:line="266" w:lineRule="exact"/>
        <w:rPr>
          <w:sz w:val="20"/>
          <w:szCs w:val="20"/>
          <w:color w:val="auto"/>
        </w:rPr>
      </w:pPr>
    </w:p>
    <w:p>
      <w:pPr>
        <w:ind w:left="660" w:right="200" w:hanging="328"/>
        <w:spacing w:after="0" w:line="235"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i w:val="1"/>
          <w:iCs w:val="1"/>
          <w:color w:val="auto"/>
        </w:rPr>
        <w:t xml:space="preserve">Total Testing and Product Revenue </w:t>
      </w:r>
      <w:r>
        <w:rPr>
          <w:rFonts w:ascii="Arial" w:cs="Arial" w:eastAsia="Arial" w:hAnsi="Arial"/>
          <w:sz w:val="18"/>
          <w:szCs w:val="18"/>
          <w:color w:val="auto"/>
        </w:rPr>
        <w:t>was $30.4 million, an increase of 20%; including biopharmaceutical revenue, total revenue was</w:t>
      </w:r>
      <w:r>
        <w:rPr>
          <w:rFonts w:ascii="Arial" w:cs="Arial" w:eastAsia="Arial" w:hAnsi="Arial"/>
          <w:sz w:val="18"/>
          <w:szCs w:val="18"/>
          <w:i w:val="1"/>
          <w:iCs w:val="1"/>
          <w:color w:val="auto"/>
        </w:rPr>
        <w:t xml:space="preserve"> </w:t>
      </w:r>
      <w:r>
        <w:rPr>
          <w:rFonts w:ascii="Arial" w:cs="Arial" w:eastAsia="Arial" w:hAnsi="Arial"/>
          <w:sz w:val="18"/>
          <w:szCs w:val="18"/>
          <w:color w:val="auto"/>
        </w:rPr>
        <w:t>$31.1 million, an increase of 5%;</w:t>
      </w:r>
    </w:p>
    <w:p>
      <w:pPr>
        <w:ind w:left="660" w:hanging="328"/>
        <w:spacing w:after="0" w:line="217"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61%, which included a $1.1 million write-down of supplies;</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$31.1 million, an increase of 35%;</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$(11.7) million, versus $(1.9) million;</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$(0.24), versus $(0.05);</w:t>
      </w:r>
    </w:p>
    <w:p>
      <w:pPr>
        <w:spacing w:after="0" w:line="10" w:lineRule="exact"/>
        <w:rPr>
          <w:rFonts w:ascii="Arial" w:cs="Arial" w:eastAsia="Arial" w:hAnsi="Arial"/>
          <w:sz w:val="22"/>
          <w:szCs w:val="22"/>
          <w:color w:val="auto"/>
        </w:rPr>
      </w:pPr>
    </w:p>
    <w:p>
      <w:pPr>
        <w:ind w:left="660" w:hanging="328"/>
        <w:spacing w:after="0" w:line="221"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$5.3 million, versus $1.0 million; and</w:t>
      </w:r>
    </w:p>
    <w:p>
      <w:pPr>
        <w:spacing w:after="0" w:line="10"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were $153.1 million at March 31, 2020</w:t>
      </w:r>
      <w:r>
        <w:rPr>
          <w:rFonts w:ascii="Arial" w:cs="Arial" w:eastAsia="Arial" w:hAnsi="Arial"/>
          <w:sz w:val="21"/>
          <w:szCs w:val="21"/>
          <w:i w:val="1"/>
          <w:iCs w:val="1"/>
          <w:color w:val="auto"/>
        </w:rPr>
        <w:t>.</w:t>
      </w:r>
    </w:p>
    <w:p>
      <w:pPr>
        <w:sectPr>
          <w:pgSz w:w="11900" w:h="16838" w:orient="portrait"/>
          <w:cols w:equalWidth="0" w:num="1">
            <w:col w:w="11240"/>
          </w:cols>
          <w:pgMar w:left="320" w:top="140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COVID-19 Impact and Recent Events</w:t>
      </w:r>
    </w:p>
    <w:p>
      <w:pPr>
        <w:spacing w:after="0" w:line="261"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As previously announced, Veracyte’s business was impacted by the COVID-19 pandemic and the company observed genomic testing volume decline in the second half of March and through April, where it experienced an over-50 percent volume decline during the month compared to prior year. In response to this unprecedented challenge, the company took the following steps to reduce costs:</w:t>
      </w:r>
    </w:p>
    <w:p>
      <w:pPr>
        <w:spacing w:after="0" w:line="243" w:lineRule="exact"/>
        <w:rPr>
          <w:sz w:val="20"/>
          <w:szCs w:val="20"/>
          <w:color w:val="auto"/>
        </w:rPr>
      </w:pPr>
    </w:p>
    <w:p>
      <w:pPr>
        <w:ind w:left="660" w:right="160" w:hanging="328"/>
        <w:spacing w:after="0" w:line="229"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18"/>
          <w:szCs w:val="18"/>
          <w:color w:val="222222"/>
        </w:rPr>
        <w:t>Veracyte’s chairman and chief executive officer reduced her base pay and target bonus by 25% until the company resumes normal operations.</w:t>
      </w:r>
    </w:p>
    <w:p>
      <w:pPr>
        <w:spacing w:after="0" w:line="1" w:lineRule="exact"/>
        <w:rPr>
          <w:rFonts w:ascii="Arial" w:cs="Arial" w:eastAsia="Arial" w:hAnsi="Arial"/>
          <w:sz w:val="20"/>
          <w:szCs w:val="20"/>
          <w:color w:val="auto"/>
        </w:rPr>
      </w:pPr>
    </w:p>
    <w:p>
      <w:pPr>
        <w:ind w:left="660" w:right="400" w:hanging="328"/>
        <w:spacing w:after="0" w:line="229" w:lineRule="auto"/>
        <w:tabs>
          <w:tab w:leader="none" w:pos="649" w:val="left"/>
        </w:tabs>
        <w:numPr>
          <w:ilvl w:val="0"/>
          <w:numId w:val="3"/>
        </w:numPr>
        <w:rPr>
          <w:rFonts w:ascii="Arial" w:cs="Arial" w:eastAsia="Arial" w:hAnsi="Arial"/>
          <w:sz w:val="20"/>
          <w:szCs w:val="20"/>
          <w:color w:val="auto"/>
        </w:rPr>
      </w:pPr>
      <w:r>
        <w:rPr>
          <w:rFonts w:ascii="Arial" w:cs="Arial" w:eastAsia="Arial" w:hAnsi="Arial"/>
          <w:sz w:val="18"/>
          <w:szCs w:val="18"/>
          <w:color w:val="222222"/>
        </w:rPr>
        <w:t>Veracyte’s board of directors, executive leaders and certain other employees took a reduction in pay until the company resumes normal operations.</w:t>
      </w:r>
    </w:p>
    <w:p>
      <w:pPr>
        <w:spacing w:after="0" w:line="1" w:lineRule="exact"/>
        <w:rPr>
          <w:rFonts w:ascii="Arial" w:cs="Arial" w:eastAsia="Arial" w:hAnsi="Arial"/>
          <w:sz w:val="20"/>
          <w:szCs w:val="20"/>
          <w:color w:val="auto"/>
        </w:rPr>
      </w:pPr>
    </w:p>
    <w:p>
      <w:pPr>
        <w:ind w:left="660" w:right="40" w:hanging="328"/>
        <w:spacing w:after="0" w:line="231" w:lineRule="auto"/>
        <w:tabs>
          <w:tab w:leader="none" w:pos="652" w:val="left"/>
        </w:tabs>
        <w:numPr>
          <w:ilvl w:val="0"/>
          <w:numId w:val="3"/>
        </w:numPr>
        <w:rPr>
          <w:rFonts w:ascii="Arial" w:cs="Arial" w:eastAsia="Arial" w:hAnsi="Arial"/>
          <w:sz w:val="20"/>
          <w:szCs w:val="20"/>
          <w:color w:val="auto"/>
        </w:rPr>
      </w:pPr>
      <w:r>
        <w:rPr>
          <w:rFonts w:ascii="Arial" w:cs="Arial" w:eastAsia="Arial" w:hAnsi="Arial"/>
          <w:sz w:val="18"/>
          <w:szCs w:val="18"/>
          <w:color w:val="222222"/>
        </w:rPr>
        <w:t>Approximately 60 employees were put on a temporary furlough with a goal of bringing them back from furlough once the company’s business rebounds. Veracyte will continue at this time to provide furloughed employees certain benefits including covering employee healthcare contributions during the furlough. In addition, Veracyte terminated a small number of employees.</w:t>
      </w:r>
    </w:p>
    <w:p>
      <w:pPr>
        <w:spacing w:after="0" w:line="1" w:lineRule="exact"/>
        <w:rPr>
          <w:rFonts w:ascii="Arial" w:cs="Arial" w:eastAsia="Arial" w:hAnsi="Arial"/>
          <w:sz w:val="20"/>
          <w:szCs w:val="20"/>
          <w:color w:val="auto"/>
        </w:rPr>
      </w:pPr>
    </w:p>
    <w:p>
      <w:pPr>
        <w:ind w:left="640" w:hanging="308"/>
        <w:spacing w:after="0" w:line="225"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222222"/>
        </w:rPr>
        <w:t>Instituted a temporary hiring freeze.</w:t>
      </w:r>
    </w:p>
    <w:p>
      <w:pPr>
        <w:ind w:left="640" w:hanging="308"/>
        <w:spacing w:after="0" w:line="226"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222222"/>
        </w:rPr>
        <w:t>Secured vendor discounts and halted all nonessential outside spending.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2020 and Recent Business Highlights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Core Diagnostics Business:</w:t>
      </w:r>
    </w:p>
    <w:p>
      <w:pPr>
        <w:spacing w:after="0" w:line="13" w:lineRule="exact"/>
        <w:rPr>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Arial" w:cs="Arial" w:eastAsia="Arial" w:hAnsi="Arial"/>
          <w:sz w:val="18"/>
          <w:szCs w:val="18"/>
          <w:color w:val="auto"/>
        </w:rPr>
        <w:t>Grew total genomic test volume (Afirma, Percepta and Envisia) by 15% to 10,559 tests.</w:t>
      </w:r>
    </w:p>
    <w:p>
      <w:pPr>
        <w:ind w:left="660" w:right="60" w:hanging="328"/>
        <w:spacing w:after="0" w:line="229"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Launched “More About You,” a national campaign to help patients navigate the work-up of thyroid nodules and ask for Afirma testing by name.</w:t>
      </w:r>
    </w:p>
    <w:p>
      <w:pPr>
        <w:spacing w:after="0" w:line="1" w:lineRule="exact"/>
        <w:rPr>
          <w:rFonts w:ascii="Arial" w:cs="Arial" w:eastAsia="Arial" w:hAnsi="Arial"/>
          <w:sz w:val="20"/>
          <w:szCs w:val="20"/>
          <w:color w:val="auto"/>
        </w:rPr>
      </w:pPr>
    </w:p>
    <w:p>
      <w:pPr>
        <w:ind w:left="660" w:right="440" w:hanging="328"/>
        <w:spacing w:after="0" w:line="231"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Announced that data accepted for oral presentation at the ENDO 2020 conference identified novel or rare gene fusions that are included in the newly expanded Afirma Xpression Atlas and may potentially be targeted with drugs that are approved or under development.</w:t>
      </w:r>
    </w:p>
    <w:p>
      <w:pPr>
        <w:spacing w:after="0" w:line="2" w:lineRule="exact"/>
        <w:rPr>
          <w:rFonts w:ascii="Arial" w:cs="Arial" w:eastAsia="Arial" w:hAnsi="Arial"/>
          <w:sz w:val="20"/>
          <w:szCs w:val="20"/>
          <w:color w:val="auto"/>
        </w:rPr>
      </w:pPr>
    </w:p>
    <w:p>
      <w:pPr>
        <w:ind w:left="660" w:right="200" w:hanging="328"/>
        <w:spacing w:after="0" w:line="238"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18"/>
          <w:szCs w:val="18"/>
          <w:color w:val="auto"/>
        </w:rPr>
        <w:t xml:space="preserve">Reported new data published in </w:t>
      </w:r>
      <w:r>
        <w:rPr>
          <w:rFonts w:ascii="Arial" w:cs="Arial" w:eastAsia="Arial" w:hAnsi="Arial"/>
          <w:sz w:val="21"/>
          <w:szCs w:val="21"/>
          <w:i w:val="1"/>
          <w:iCs w:val="1"/>
          <w:color w:val="auto"/>
        </w:rPr>
        <w:t>npj Breast Cancer</w:t>
      </w:r>
      <w:r>
        <w:rPr>
          <w:rFonts w:ascii="Arial" w:cs="Arial" w:eastAsia="Arial" w:hAnsi="Arial"/>
          <w:sz w:val="18"/>
          <w:szCs w:val="18"/>
          <w:color w:val="auto"/>
        </w:rPr>
        <w:t xml:space="preserve">, which suggest potential growth opportunities for the Prosigna test in global markets where the test reports intrinsic breast cancer subtypes. Additionally, data published in </w:t>
      </w:r>
      <w:r>
        <w:rPr>
          <w:rFonts w:ascii="Arial" w:cs="Arial" w:eastAsia="Arial" w:hAnsi="Arial"/>
          <w:sz w:val="21"/>
          <w:szCs w:val="21"/>
          <w:i w:val="1"/>
          <w:iCs w:val="1"/>
          <w:color w:val="auto"/>
        </w:rPr>
        <w:t>Clinical Breast Cancer</w:t>
      </w:r>
      <w:r>
        <w:rPr>
          <w:rFonts w:ascii="Arial" w:cs="Arial" w:eastAsia="Arial" w:hAnsi="Arial"/>
          <w:sz w:val="18"/>
          <w:szCs w:val="18"/>
          <w:color w:val="auto"/>
        </w:rPr>
        <w:t xml:space="preserve"> suggest the Prosigna test’s ability to provide significant prognostic information beyond clinicopathologic factors in patients with invasive lobular breast cancer, a major breast cancer histopathologic subtype.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Collaborations and Pipeline Advancement:</w:t>
      </w:r>
    </w:p>
    <w:p>
      <w:pPr>
        <w:spacing w:after="0" w:line="27" w:lineRule="exact"/>
        <w:rPr>
          <w:sz w:val="20"/>
          <w:szCs w:val="20"/>
          <w:color w:val="auto"/>
        </w:rPr>
      </w:pPr>
    </w:p>
    <w:p>
      <w:pPr>
        <w:ind w:left="660" w:right="140" w:hanging="328"/>
        <w:spacing w:after="0" w:line="231"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18"/>
          <w:szCs w:val="18"/>
          <w:color w:val="auto"/>
        </w:rPr>
        <w:t>Secured an exclusive licensing and research agreement with Yale University to advance the first genomic monitoring test for idiopathic pulmonary fibrosis prognosis, complementing our Envisia classifier for improved early diagnosis of the disease. The non-invasive, blood-based test was developed for use on our nCounter diagnostic platform.</w:t>
      </w:r>
    </w:p>
    <w:p>
      <w:pPr>
        <w:spacing w:after="0" w:line="1" w:lineRule="exact"/>
        <w:rPr>
          <w:rFonts w:ascii="Arial" w:cs="Arial" w:eastAsia="Arial" w:hAnsi="Arial"/>
          <w:sz w:val="20"/>
          <w:szCs w:val="20"/>
          <w:color w:val="auto"/>
        </w:rPr>
      </w:pPr>
    </w:p>
    <w:p>
      <w:pPr>
        <w:ind w:left="660" w:right="160" w:hanging="328"/>
        <w:spacing w:after="0" w:line="229"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18"/>
          <w:szCs w:val="18"/>
          <w:color w:val="auto"/>
        </w:rPr>
        <w:t>Signed an exclusive licensing agreement with Boston University for technology that will help advance development of the first-ever, non-invasive nasal swab test for lung cancer early detection.</w:t>
      </w:r>
    </w:p>
    <w:p>
      <w:pPr>
        <w:spacing w:after="0" w:line="1" w:lineRule="exact"/>
        <w:rPr>
          <w:rFonts w:ascii="Arial" w:cs="Arial" w:eastAsia="Arial" w:hAnsi="Arial"/>
          <w:sz w:val="20"/>
          <w:szCs w:val="20"/>
          <w:color w:val="auto"/>
        </w:rPr>
      </w:pPr>
    </w:p>
    <w:p>
      <w:pPr>
        <w:ind w:left="660" w:right="60" w:hanging="328"/>
        <w:spacing w:after="0" w:line="246" w:lineRule="auto"/>
        <w:tabs>
          <w:tab w:leader="none" w:pos="648" w:val="left"/>
        </w:tabs>
        <w:numPr>
          <w:ilvl w:val="0"/>
          <w:numId w:val="5"/>
        </w:numPr>
        <w:rPr>
          <w:rFonts w:ascii="Arial" w:cs="Arial" w:eastAsia="Arial" w:hAnsi="Arial"/>
          <w:sz w:val="19"/>
          <w:szCs w:val="19"/>
          <w:color w:val="auto"/>
        </w:rPr>
      </w:pPr>
      <w:r>
        <w:rPr>
          <w:rFonts w:ascii="Arial" w:cs="Arial" w:eastAsia="Arial" w:hAnsi="Arial"/>
          <w:sz w:val="17"/>
          <w:szCs w:val="17"/>
          <w:color w:val="auto"/>
        </w:rPr>
        <w:t>Announced a multi-year collaboration with Acerta Pharma, the hematology research and development arm of AstraZeneca plc, to provide genomic information that will support the biopharmaceutical company’s development of oncology therapeutics in lymphoma.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Veracyte will host a conference call and webcast today at 5:00 p.m. Eastern Time to discuss the company's financial results and provide a general business update. The conference call will be webcast live from the company’s website and will be available via the following link: https://edge.media-server.com/mmc/p/95i5du7y. The webcast should be accessed 10 minutes prior to the conference call start time. A replay of the webcast will be available for one year following the conclusion of the live broadcast and will be accessible on the company’s website at https://investor.veracyte.com/events-presentations.</w:t>
      </w:r>
    </w:p>
    <w:p>
      <w:pPr>
        <w:sectPr>
          <w:pgSz w:w="11900" w:h="16838" w:orient="portrait"/>
          <w:cols w:equalWidth="0" w:num="1">
            <w:col w:w="11200"/>
          </w:cols>
          <w:pgMar w:left="320" w:top="1399" w:right="379" w:bottom="1440" w:gutter="0" w:footer="0" w:header="0"/>
        </w:sectPr>
      </w:pPr>
    </w:p>
    <w:bookmarkStart w:id="5" w:name="page6"/>
    <w:bookmarkEnd w:id="5"/>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560" w:type="dxa"/>
            <w:vAlign w:val="bottom"/>
          </w:tcPr>
          <w:p>
            <w:pPr>
              <w:spacing w:after="0"/>
              <w:rPr>
                <w:sz w:val="20"/>
                <w:szCs w:val="20"/>
                <w:color w:val="auto"/>
              </w:rPr>
            </w:pPr>
            <w:r>
              <w:rPr>
                <w:rFonts w:ascii="Arial" w:cs="Arial" w:eastAsia="Arial" w:hAnsi="Arial"/>
                <w:sz w:val="18"/>
                <w:szCs w:val="18"/>
                <w:color w:val="auto"/>
              </w:rPr>
              <w:t>The conference call can be accessed as follows:</w:t>
            </w:r>
          </w:p>
        </w:tc>
        <w:tc>
          <w:tcPr>
            <w:tcW w:w="2940" w:type="dxa"/>
            <w:vAlign w:val="bottom"/>
          </w:tcPr>
          <w:p>
            <w:pPr>
              <w:spacing w:after="0"/>
              <w:rPr>
                <w:sz w:val="18"/>
                <w:szCs w:val="18"/>
                <w:color w:val="auto"/>
              </w:rPr>
            </w:pPr>
          </w:p>
        </w:tc>
      </w:tr>
      <w:tr>
        <w:trPr>
          <w:trHeight w:val="256"/>
        </w:trPr>
        <w:tc>
          <w:tcPr>
            <w:tcW w:w="6560" w:type="dxa"/>
            <w:vAlign w:val="bottom"/>
          </w:tcPr>
          <w:p>
            <w:pPr>
              <w:ind w:left="940"/>
              <w:spacing w:after="0"/>
              <w:rPr>
                <w:sz w:val="20"/>
                <w:szCs w:val="20"/>
                <w:color w:val="auto"/>
              </w:rPr>
            </w:pPr>
            <w:r>
              <w:rPr>
                <w:rFonts w:ascii="Arial" w:cs="Arial" w:eastAsia="Arial" w:hAnsi="Arial"/>
                <w:sz w:val="18"/>
                <w:szCs w:val="18"/>
                <w:color w:val="auto"/>
              </w:rPr>
              <w:t>U.S./Canada participant dial-in number (toll-free):</w:t>
            </w:r>
          </w:p>
        </w:tc>
        <w:tc>
          <w:tcPr>
            <w:tcW w:w="2940" w:type="dxa"/>
            <w:vAlign w:val="bottom"/>
          </w:tcPr>
          <w:p>
            <w:pPr>
              <w:ind w:left="1700"/>
              <w:spacing w:after="0"/>
              <w:rPr>
                <w:sz w:val="20"/>
                <w:szCs w:val="20"/>
                <w:color w:val="auto"/>
              </w:rPr>
            </w:pPr>
            <w:r>
              <w:rPr>
                <w:rFonts w:ascii="Arial" w:cs="Arial" w:eastAsia="Arial" w:hAnsi="Arial"/>
                <w:sz w:val="18"/>
                <w:szCs w:val="18"/>
                <w:color w:val="auto"/>
                <w:w w:val="99"/>
              </w:rPr>
              <w:t>(855) 541-0980</w:t>
            </w:r>
          </w:p>
        </w:tc>
      </w:tr>
      <w:tr>
        <w:trPr>
          <w:trHeight w:val="257"/>
        </w:trPr>
        <w:tc>
          <w:tcPr>
            <w:tcW w:w="6560" w:type="dxa"/>
            <w:vAlign w:val="bottom"/>
          </w:tcPr>
          <w:p>
            <w:pPr>
              <w:ind w:left="940"/>
              <w:spacing w:after="0"/>
              <w:rPr>
                <w:sz w:val="20"/>
                <w:szCs w:val="20"/>
                <w:color w:val="auto"/>
              </w:rPr>
            </w:pPr>
            <w:r>
              <w:rPr>
                <w:rFonts w:ascii="Arial" w:cs="Arial" w:eastAsia="Arial" w:hAnsi="Arial"/>
                <w:sz w:val="18"/>
                <w:szCs w:val="18"/>
                <w:color w:val="auto"/>
              </w:rPr>
              <w:t>International participant dial-in number:</w:t>
            </w:r>
          </w:p>
        </w:tc>
        <w:tc>
          <w:tcPr>
            <w:tcW w:w="2940" w:type="dxa"/>
            <w:vAlign w:val="bottom"/>
          </w:tcPr>
          <w:p>
            <w:pPr>
              <w:ind w:left="1700"/>
              <w:spacing w:after="0"/>
              <w:rPr>
                <w:sz w:val="20"/>
                <w:szCs w:val="20"/>
                <w:color w:val="auto"/>
              </w:rPr>
            </w:pPr>
            <w:r>
              <w:rPr>
                <w:rFonts w:ascii="Arial" w:cs="Arial" w:eastAsia="Arial" w:hAnsi="Arial"/>
                <w:sz w:val="18"/>
                <w:szCs w:val="18"/>
                <w:color w:val="auto"/>
                <w:w w:val="99"/>
              </w:rPr>
              <w:t>(970) 315-0440</w:t>
            </w:r>
          </w:p>
        </w:tc>
      </w:tr>
      <w:tr>
        <w:trPr>
          <w:trHeight w:val="257"/>
        </w:trPr>
        <w:tc>
          <w:tcPr>
            <w:tcW w:w="6560" w:type="dxa"/>
            <w:vAlign w:val="bottom"/>
          </w:tcPr>
          <w:p>
            <w:pPr>
              <w:ind w:left="940"/>
              <w:spacing w:after="0"/>
              <w:rPr>
                <w:sz w:val="20"/>
                <w:szCs w:val="20"/>
                <w:color w:val="auto"/>
              </w:rPr>
            </w:pPr>
            <w:r>
              <w:rPr>
                <w:rFonts w:ascii="Arial" w:cs="Arial" w:eastAsia="Arial" w:hAnsi="Arial"/>
                <w:sz w:val="18"/>
                <w:szCs w:val="18"/>
                <w:color w:val="auto"/>
              </w:rPr>
              <w:t>Conference I.D.:</w:t>
            </w:r>
          </w:p>
        </w:tc>
        <w:tc>
          <w:tcPr>
            <w:tcW w:w="2940" w:type="dxa"/>
            <w:vAlign w:val="bottom"/>
          </w:tcPr>
          <w:p>
            <w:pPr>
              <w:ind w:left="1700"/>
              <w:spacing w:after="0"/>
              <w:rPr>
                <w:sz w:val="20"/>
                <w:szCs w:val="20"/>
                <w:color w:val="auto"/>
              </w:rPr>
            </w:pPr>
            <w:r>
              <w:rPr>
                <w:rFonts w:ascii="Arial" w:cs="Arial" w:eastAsia="Arial" w:hAnsi="Arial"/>
                <w:sz w:val="18"/>
                <w:szCs w:val="18"/>
                <w:color w:val="auto"/>
              </w:rPr>
              <w:t>5370469</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18"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Veracyte (Nasdaq: VCYT) is a leading genomic diagnostics company that improves patient care by providing answers to clinical questions that inform diagnosis and treatment decisions without the need for costly, risky surgeries that are often unnecessary. The company's core products are uniquely developed with RNA whole-transcriptome sequencing and machine learning to deliver results that give patients and physicians a clear path forward. Since its founding in 2008, Veracyte has commercialized seven genomic tests and is transforming the diagnosis of thyroid cancer, lung cancer and idiopathic pulmonary fibrosis. In December 2019, Veracyte acquired the exclusive global diagnostic rights to the nCounter platform from NanoString Technologies, Inc., through which it plans to make its genomic tests available to physicians and their patients worldwide. These include commercial and in-development tests in breast cancer and lymphoma, respectively, which Veracyte also acquired through the transaction. Veracyte is based in South San Francisco, California. For more information, please visit www.veracyte.com and follow the company on Twitter (@veracyte).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regarding Veracyte’s financial and operational results for the first quarter ended March 31, 2020, the current and future impacts of COVID-19 on Veracyte’s business, actions Veracyte has taken in response to COVID-19, and Veracyte’s long-term outlook. Forward-looking statements are neither historical facts nor assurances of future performance, but are based only on our current beliefs, expectations and assumptions. These statements involve risks and uncertainties, which could cause actual results to differ materially from our predictions, and include, but are not limited to: the impact of COVID-19 on Veracyte’s business and operating results, specifically, and the healthcare system and economy more generally, Veracyte’s ability to achieve and maintain Medicare coverage for its tests; the benefits of Veracyte’s tests and the applicability of clinical results to actual outcomes; the laws and regulations applicable to Veracyte’s business, including potential regulation by the Food and Drug Administration or other regulatory bodies; Veracyte’s ability to successfully achieve and maintain adoption of and reimbursement for its products; the amount by which use of Veracyte’s products are able to reduce invasive procedures and misdiagnosis, and reduce healthcare costs; the occurrence and outcomes of clinical studies; and other risks set forth in Veracyte’s filings with the Securities and Exchange Commission, including the risks set forth in its quarterly report on Form 10-Q for the quarter ended March 31, 2020. These forward-looking statements speak only as of the date hereof and Veracyte specifically disclaims any obligation to update these forward-looking statements or reasons why actual results might differ, whether as a result of new information, future events or otherwise.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Prosigna, LymphMark, and the Veracyte logo are trademarks of Veracyte, Inc.</w:t>
      </w:r>
    </w:p>
    <w:p>
      <w:pPr>
        <w:sectPr>
          <w:pgSz w:w="11900" w:h="16838" w:orient="portrait"/>
          <w:cols w:equalWidth="0" w:num="1">
            <w:col w:w="11220"/>
          </w:cols>
          <w:pgMar w:left="320" w:top="1440"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8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Three Months Ended March 31,</w:t>
            </w:r>
          </w:p>
        </w:tc>
      </w:tr>
      <w:tr>
        <w:trPr>
          <w:trHeight w:val="250"/>
        </w:trPr>
        <w:tc>
          <w:tcPr>
            <w:tcW w:w="68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2019</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Revenues:</w:t>
            </w:r>
          </w:p>
        </w:tc>
        <w:tc>
          <w:tcPr>
            <w:tcW w:w="4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57"/>
        </w:trPr>
        <w:tc>
          <w:tcPr>
            <w:tcW w:w="6800" w:type="dxa"/>
            <w:vAlign w:val="bottom"/>
          </w:tcPr>
          <w:p>
            <w:pPr>
              <w:ind w:left="100"/>
              <w:spacing w:after="0"/>
              <w:rPr>
                <w:sz w:val="20"/>
                <w:szCs w:val="20"/>
                <w:color w:val="auto"/>
              </w:rPr>
            </w:pPr>
            <w:r>
              <w:rPr>
                <w:rFonts w:ascii="Arial" w:cs="Arial" w:eastAsia="Arial" w:hAnsi="Arial"/>
                <w:sz w:val="18"/>
                <w:szCs w:val="18"/>
                <w:color w:val="auto"/>
              </w:rPr>
              <w:t>Testing revenue</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26,991</w:t>
            </w:r>
          </w:p>
        </w:tc>
        <w:tc>
          <w:tcPr>
            <w:tcW w:w="32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25,389</w:t>
            </w:r>
          </w:p>
        </w:tc>
      </w:tr>
      <w:tr>
        <w:trPr>
          <w:trHeight w:val="256"/>
        </w:trPr>
        <w:tc>
          <w:tcPr>
            <w:tcW w:w="6800" w:type="dxa"/>
            <w:vAlign w:val="bottom"/>
          </w:tcPr>
          <w:p>
            <w:pPr>
              <w:ind w:left="100"/>
              <w:spacing w:after="0"/>
              <w:rPr>
                <w:sz w:val="20"/>
                <w:szCs w:val="20"/>
                <w:color w:val="auto"/>
              </w:rPr>
            </w:pPr>
            <w:r>
              <w:rPr>
                <w:rFonts w:ascii="Arial" w:cs="Arial" w:eastAsia="Arial" w:hAnsi="Arial"/>
                <w:sz w:val="18"/>
                <w:szCs w:val="18"/>
                <w:color w:val="auto"/>
              </w:rPr>
              <w:t>Product revenue</w:t>
            </w:r>
          </w:p>
        </w:tc>
        <w:tc>
          <w:tcPr>
            <w:tcW w:w="460" w:type="dxa"/>
            <w:vAlign w:val="bottom"/>
          </w:tcPr>
          <w:p>
            <w:pPr>
              <w:spacing w:after="0"/>
              <w:rPr>
                <w:sz w:val="22"/>
                <w:szCs w:val="22"/>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3,409</w:t>
            </w: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6800" w:type="dxa"/>
            <w:vAlign w:val="bottom"/>
          </w:tcPr>
          <w:p>
            <w:pPr>
              <w:ind w:left="100"/>
              <w:spacing w:after="0"/>
              <w:rPr>
                <w:sz w:val="20"/>
                <w:szCs w:val="20"/>
                <w:color w:val="auto"/>
              </w:rPr>
            </w:pPr>
            <w:r>
              <w:rPr>
                <w:rFonts w:ascii="Arial" w:cs="Arial" w:eastAsia="Arial" w:hAnsi="Arial"/>
                <w:sz w:val="18"/>
                <w:szCs w:val="18"/>
                <w:color w:val="auto"/>
              </w:rPr>
              <w:t>Biopharmaceutical revenue</w:t>
            </w:r>
          </w:p>
        </w:tc>
        <w:tc>
          <w:tcPr>
            <w:tcW w:w="4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722</w:t>
            </w:r>
          </w:p>
        </w:tc>
        <w:tc>
          <w:tcPr>
            <w:tcW w:w="3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4,140</w:t>
            </w:r>
          </w:p>
        </w:tc>
      </w:tr>
      <w:tr>
        <w:trPr>
          <w:trHeight w:val="250"/>
        </w:trPr>
        <w:tc>
          <w:tcPr>
            <w:tcW w:w="680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31,122</w:t>
            </w:r>
          </w:p>
        </w:tc>
        <w:tc>
          <w:tcPr>
            <w:tcW w:w="32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29,529</w:t>
            </w:r>
          </w:p>
        </w:tc>
      </w:tr>
      <w:tr>
        <w:trPr>
          <w:trHeight w:val="500"/>
        </w:trPr>
        <w:tc>
          <w:tcPr>
            <w:tcW w:w="680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7"/>
        </w:trPr>
        <w:tc>
          <w:tcPr>
            <w:tcW w:w="6800" w:type="dxa"/>
            <w:vAlign w:val="bottom"/>
          </w:tcPr>
          <w:p>
            <w:pPr>
              <w:ind w:left="100"/>
              <w:spacing w:after="0"/>
              <w:rPr>
                <w:sz w:val="20"/>
                <w:szCs w:val="20"/>
                <w:color w:val="auto"/>
              </w:rPr>
            </w:pPr>
            <w:r>
              <w:rPr>
                <w:rFonts w:ascii="Arial" w:cs="Arial" w:eastAsia="Arial" w:hAnsi="Arial"/>
                <w:sz w:val="18"/>
                <w:szCs w:val="18"/>
                <w:color w:val="auto"/>
              </w:rPr>
              <w:t>Cost of testing revenue</w:t>
            </w:r>
          </w:p>
        </w:tc>
        <w:tc>
          <w:tcPr>
            <w:tcW w:w="460" w:type="dxa"/>
            <w:vAlign w:val="bottom"/>
          </w:tcPr>
          <w:p>
            <w:pPr>
              <w:spacing w:after="0"/>
              <w:rPr>
                <w:sz w:val="22"/>
                <w:szCs w:val="22"/>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10,568</w:t>
            </w: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8,513</w:t>
            </w:r>
          </w:p>
        </w:tc>
      </w:tr>
      <w:tr>
        <w:trPr>
          <w:trHeight w:val="256"/>
        </w:trPr>
        <w:tc>
          <w:tcPr>
            <w:tcW w:w="6800" w:type="dxa"/>
            <w:vAlign w:val="bottom"/>
          </w:tcPr>
          <w:p>
            <w:pPr>
              <w:ind w:left="100"/>
              <w:spacing w:after="0"/>
              <w:rPr>
                <w:sz w:val="20"/>
                <w:szCs w:val="20"/>
                <w:color w:val="auto"/>
              </w:rPr>
            </w:pPr>
            <w:r>
              <w:rPr>
                <w:rFonts w:ascii="Arial" w:cs="Arial" w:eastAsia="Arial" w:hAnsi="Arial"/>
                <w:sz w:val="18"/>
                <w:szCs w:val="18"/>
                <w:color w:val="auto"/>
              </w:rPr>
              <w:t>Cost of product revenue</w:t>
            </w:r>
          </w:p>
        </w:tc>
        <w:tc>
          <w:tcPr>
            <w:tcW w:w="460" w:type="dxa"/>
            <w:vAlign w:val="bottom"/>
          </w:tcPr>
          <w:p>
            <w:pPr>
              <w:spacing w:after="0"/>
              <w:rPr>
                <w:sz w:val="22"/>
                <w:szCs w:val="22"/>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1,559</w:t>
            </w: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6800" w:type="dxa"/>
            <w:vAlign w:val="bottom"/>
          </w:tcPr>
          <w:p>
            <w:pPr>
              <w:ind w:left="100"/>
              <w:spacing w:after="0"/>
              <w:rPr>
                <w:sz w:val="20"/>
                <w:szCs w:val="20"/>
                <w:color w:val="auto"/>
              </w:rPr>
            </w:pPr>
            <w:r>
              <w:rPr>
                <w:rFonts w:ascii="Arial" w:cs="Arial" w:eastAsia="Arial" w:hAnsi="Arial"/>
                <w:sz w:val="18"/>
                <w:szCs w:val="18"/>
                <w:color w:val="auto"/>
              </w:rPr>
              <w:t>Cost of biopharmaceutical revenue</w:t>
            </w:r>
          </w:p>
        </w:tc>
        <w:tc>
          <w:tcPr>
            <w:tcW w:w="460" w:type="dxa"/>
            <w:vAlign w:val="bottom"/>
          </w:tcPr>
          <w:p>
            <w:pPr>
              <w:spacing w:after="0"/>
              <w:rPr>
                <w:sz w:val="22"/>
                <w:szCs w:val="22"/>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116</w:t>
            </w: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680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spacing w:after="0"/>
              <w:rPr>
                <w:sz w:val="22"/>
                <w:szCs w:val="22"/>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4,407</w:t>
            </w: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3,435</w:t>
            </w:r>
          </w:p>
        </w:tc>
      </w:tr>
      <w:tr>
        <w:trPr>
          <w:trHeight w:val="257"/>
        </w:trPr>
        <w:tc>
          <w:tcPr>
            <w:tcW w:w="6800" w:type="dxa"/>
            <w:vAlign w:val="bottom"/>
          </w:tcPr>
          <w:p>
            <w:pPr>
              <w:ind w:left="100"/>
              <w:spacing w:after="0"/>
              <w:rPr>
                <w:sz w:val="20"/>
                <w:szCs w:val="20"/>
                <w:color w:val="auto"/>
              </w:rPr>
            </w:pPr>
            <w:r>
              <w:rPr>
                <w:rFonts w:ascii="Arial" w:cs="Arial" w:eastAsia="Arial" w:hAnsi="Arial"/>
                <w:sz w:val="18"/>
                <w:szCs w:val="18"/>
                <w:color w:val="auto"/>
              </w:rPr>
              <w:t>Selling and marketing</w:t>
            </w:r>
          </w:p>
        </w:tc>
        <w:tc>
          <w:tcPr>
            <w:tcW w:w="460" w:type="dxa"/>
            <w:vAlign w:val="bottom"/>
          </w:tcPr>
          <w:p>
            <w:pPr>
              <w:spacing w:after="0"/>
              <w:rPr>
                <w:sz w:val="22"/>
                <w:szCs w:val="22"/>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17,584</w:t>
            </w: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12,477</w:t>
            </w:r>
          </w:p>
        </w:tc>
      </w:tr>
      <w:tr>
        <w:trPr>
          <w:trHeight w:val="257"/>
        </w:trPr>
        <w:tc>
          <w:tcPr>
            <w:tcW w:w="68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22"/>
                <w:szCs w:val="22"/>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7,813</w:t>
            </w: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6,904</w:t>
            </w:r>
          </w:p>
        </w:tc>
      </w:tr>
      <w:tr>
        <w:trPr>
          <w:trHeight w:val="256"/>
        </w:trPr>
        <w:tc>
          <w:tcPr>
            <w:tcW w:w="6800" w:type="dxa"/>
            <w:vAlign w:val="bottom"/>
          </w:tcPr>
          <w:p>
            <w:pPr>
              <w:ind w:left="100"/>
              <w:spacing w:after="0"/>
              <w:rPr>
                <w:sz w:val="20"/>
                <w:szCs w:val="20"/>
                <w:color w:val="auto"/>
              </w:rPr>
            </w:pPr>
            <w:r>
              <w:rPr>
                <w:rFonts w:ascii="Arial" w:cs="Arial" w:eastAsia="Arial" w:hAnsi="Arial"/>
                <w:sz w:val="18"/>
                <w:szCs w:val="18"/>
                <w:color w:val="auto"/>
              </w:rPr>
              <w:t>Intangible asset amortization</w:t>
            </w:r>
          </w:p>
        </w:tc>
        <w:tc>
          <w:tcPr>
            <w:tcW w:w="460" w:type="dxa"/>
            <w:vAlign w:val="bottom"/>
          </w:tcPr>
          <w:p>
            <w:pPr>
              <w:spacing w:after="0"/>
              <w:rPr>
                <w:sz w:val="22"/>
                <w:szCs w:val="22"/>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1,275</w:t>
            </w: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267</w:t>
            </w:r>
          </w:p>
        </w:tc>
      </w:tr>
      <w:tr>
        <w:trPr>
          <w:trHeight w:val="264"/>
        </w:trPr>
        <w:tc>
          <w:tcPr>
            <w:tcW w:w="68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43,322</w:t>
            </w:r>
          </w:p>
        </w:tc>
        <w:tc>
          <w:tcPr>
            <w:tcW w:w="3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31,596</w:t>
            </w:r>
          </w:p>
        </w:tc>
      </w:tr>
      <w:tr>
        <w:trPr>
          <w:trHeight w:val="250"/>
        </w:trPr>
        <w:tc>
          <w:tcPr>
            <w:tcW w:w="6800" w:type="dxa"/>
            <w:vAlign w:val="bottom"/>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(12,200)</w:t>
            </w:r>
          </w:p>
        </w:tc>
        <w:tc>
          <w:tcPr>
            <w:tcW w:w="3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(2,067)</w:t>
            </w:r>
          </w:p>
        </w:tc>
      </w:tr>
      <w:tr>
        <w:trPr>
          <w:trHeight w:val="243"/>
        </w:trPr>
        <w:tc>
          <w:tcPr>
            <w:tcW w:w="6800" w:type="dxa"/>
            <w:vAlign w:val="bottom"/>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(303)</w:t>
            </w:r>
          </w:p>
        </w:tc>
      </w:tr>
      <w:tr>
        <w:trPr>
          <w:trHeight w:val="263"/>
        </w:trPr>
        <w:tc>
          <w:tcPr>
            <w:tcW w:w="6800" w:type="dxa"/>
            <w:vAlign w:val="bottom"/>
          </w:tcPr>
          <w:p>
            <w:pPr>
              <w:spacing w:after="0"/>
              <w:rPr>
                <w:sz w:val="20"/>
                <w:szCs w:val="20"/>
                <w:color w:val="auto"/>
              </w:rPr>
            </w:pPr>
            <w:r>
              <w:rPr>
                <w:rFonts w:ascii="Arial" w:cs="Arial" w:eastAsia="Arial" w:hAnsi="Arial"/>
                <w:sz w:val="18"/>
                <w:szCs w:val="18"/>
                <w:color w:val="auto"/>
              </w:rPr>
              <w:t>Other income, net</w:t>
            </w:r>
          </w:p>
        </w:tc>
        <w:tc>
          <w:tcPr>
            <w:tcW w:w="4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539</w:t>
            </w:r>
          </w:p>
        </w:tc>
        <w:tc>
          <w:tcPr>
            <w:tcW w:w="3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453</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4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(11,716)</w:t>
            </w:r>
          </w:p>
        </w:tc>
        <w:tc>
          <w:tcPr>
            <w:tcW w:w="3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(1,917)</w:t>
            </w:r>
          </w:p>
        </w:tc>
      </w:tr>
      <w:tr>
        <w:trPr>
          <w:trHeight w:val="20"/>
        </w:trPr>
        <w:tc>
          <w:tcPr>
            <w:tcW w:w="6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680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(0.24)</w:t>
            </w:r>
          </w:p>
        </w:tc>
        <w:tc>
          <w:tcPr>
            <w:tcW w:w="32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r>
      <w:tr>
        <w:trPr>
          <w:trHeight w:val="20"/>
        </w:trPr>
        <w:tc>
          <w:tcPr>
            <w:tcW w:w="6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50"/>
        </w:trPr>
        <w:tc>
          <w:tcPr>
            <w:tcW w:w="6800" w:type="dxa"/>
            <w:vAlign w:val="bottom"/>
          </w:tcPr>
          <w:p>
            <w:pPr>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4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49,792,631</w:t>
            </w:r>
          </w:p>
        </w:tc>
        <w:tc>
          <w:tcPr>
            <w:tcW w:w="3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41,168,593</w:t>
            </w:r>
          </w:p>
        </w:tc>
      </w:tr>
      <w:tr>
        <w:trPr>
          <w:trHeight w:val="20"/>
        </w:trPr>
        <w:tc>
          <w:tcPr>
            <w:tcW w:w="6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40" w:top="1210"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60" w:type="dxa"/>
            <w:vAlign w:val="bottom"/>
            <w:gridSpan w:val="2"/>
          </w:tcPr>
          <w:p>
            <w:pPr>
              <w:ind w:left="300"/>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20"/>
                <w:szCs w:val="20"/>
                <w:color w:val="auto"/>
              </w:rPr>
            </w:pPr>
          </w:p>
        </w:tc>
        <w:tc>
          <w:tcPr>
            <w:tcW w:w="192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2019</w:t>
            </w:r>
          </w:p>
        </w:tc>
        <w:tc>
          <w:tcPr>
            <w:tcW w:w="0" w:type="dxa"/>
            <w:vAlign w:val="bottom"/>
          </w:tcPr>
          <w:p>
            <w:pPr>
              <w:spacing w:after="0"/>
              <w:rPr>
                <w:sz w:val="1"/>
                <w:szCs w:val="1"/>
                <w:color w:val="auto"/>
              </w:rPr>
            </w:pPr>
          </w:p>
        </w:tc>
      </w:tr>
      <w:tr>
        <w:trPr>
          <w:trHeight w:val="243"/>
        </w:trPr>
        <w:tc>
          <w:tcPr>
            <w:tcW w:w="6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jc w:val="center"/>
              <w:ind w:right="250"/>
              <w:spacing w:after="0"/>
              <w:rPr>
                <w:sz w:val="20"/>
                <w:szCs w:val="20"/>
                <w:color w:val="auto"/>
              </w:rPr>
            </w:pPr>
            <w:r>
              <w:rPr>
                <w:rFonts w:ascii="Arial" w:cs="Arial" w:eastAsia="Arial" w:hAnsi="Arial"/>
                <w:sz w:val="18"/>
                <w:szCs w:val="18"/>
                <w:color w:val="auto"/>
                <w:w w:val="99"/>
              </w:rPr>
              <w:t>(See Note 1)</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18"/>
                <w:szCs w:val="18"/>
                <w:color w:val="auto"/>
              </w:rPr>
              <w:t>Assets</w:t>
            </w:r>
          </w:p>
        </w:tc>
        <w:tc>
          <w:tcPr>
            <w:tcW w:w="4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42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20" w:type="dxa"/>
            <w:vAlign w:val="bottom"/>
          </w:tcPr>
          <w:p>
            <w:pPr>
              <w:ind w:left="10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153,132</w:t>
            </w:r>
          </w:p>
        </w:tc>
        <w:tc>
          <w:tcPr>
            <w:tcW w:w="3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159,317</w:t>
            </w:r>
          </w:p>
        </w:tc>
        <w:tc>
          <w:tcPr>
            <w:tcW w:w="0" w:type="dxa"/>
            <w:vAlign w:val="bottom"/>
          </w:tcPr>
          <w:p>
            <w:pPr>
              <w:spacing w:after="0"/>
              <w:rPr>
                <w:sz w:val="1"/>
                <w:szCs w:val="1"/>
                <w:color w:val="auto"/>
              </w:rPr>
            </w:pPr>
          </w:p>
        </w:tc>
      </w:tr>
      <w:tr>
        <w:trPr>
          <w:trHeight w:val="257"/>
        </w:trPr>
        <w:tc>
          <w:tcPr>
            <w:tcW w:w="642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19,091</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19,329</w:t>
            </w:r>
          </w:p>
        </w:tc>
        <w:tc>
          <w:tcPr>
            <w:tcW w:w="0" w:type="dxa"/>
            <w:vAlign w:val="bottom"/>
          </w:tcPr>
          <w:p>
            <w:pPr>
              <w:spacing w:after="0"/>
              <w:rPr>
                <w:sz w:val="1"/>
                <w:szCs w:val="1"/>
                <w:color w:val="auto"/>
              </w:rPr>
            </w:pPr>
          </w:p>
        </w:tc>
      </w:tr>
      <w:tr>
        <w:trPr>
          <w:trHeight w:val="257"/>
        </w:trPr>
        <w:tc>
          <w:tcPr>
            <w:tcW w:w="6420" w:type="dxa"/>
            <w:vAlign w:val="bottom"/>
          </w:tcPr>
          <w:p>
            <w:pPr>
              <w:ind w:left="100"/>
              <w:spacing w:after="0"/>
              <w:rPr>
                <w:sz w:val="20"/>
                <w:szCs w:val="20"/>
                <w:color w:val="auto"/>
              </w:rPr>
            </w:pPr>
            <w:r>
              <w:rPr>
                <w:rFonts w:ascii="Arial" w:cs="Arial" w:eastAsia="Arial" w:hAnsi="Arial"/>
                <w:sz w:val="18"/>
                <w:szCs w:val="18"/>
                <w:color w:val="auto"/>
              </w:rPr>
              <w:t>Supplies</w:t>
            </w:r>
          </w:p>
        </w:tc>
        <w:tc>
          <w:tcPr>
            <w:tcW w:w="40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6,094</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63"/>
        </w:trPr>
        <w:tc>
          <w:tcPr>
            <w:tcW w:w="6420" w:type="dxa"/>
            <w:vAlign w:val="bottom"/>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3,045</w:t>
            </w:r>
          </w:p>
        </w:tc>
        <w:tc>
          <w:tcPr>
            <w:tcW w:w="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181,362</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187,687</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0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8,788</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8,933</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18"/>
                <w:szCs w:val="18"/>
                <w:color w:val="auto"/>
              </w:rPr>
              <w:t>Right-of-use assets - operating lease</w:t>
            </w:r>
          </w:p>
        </w:tc>
        <w:tc>
          <w:tcPr>
            <w:tcW w:w="40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8,576</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8,808</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18"/>
                <w:szCs w:val="18"/>
                <w:color w:val="auto"/>
              </w:rPr>
              <w:t>Finite-lived intangible assets, net</w:t>
            </w:r>
          </w:p>
        </w:tc>
        <w:tc>
          <w:tcPr>
            <w:tcW w:w="40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63,744</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65,019</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2,725</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56"/>
        </w:trPr>
        <w:tc>
          <w:tcPr>
            <w:tcW w:w="6420" w:type="dxa"/>
            <w:vAlign w:val="bottom"/>
          </w:tcPr>
          <w:p>
            <w:pPr>
              <w:spacing w:after="0"/>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603</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64"/>
        </w:trPr>
        <w:tc>
          <w:tcPr>
            <w:tcW w:w="6420" w:type="dxa"/>
            <w:vAlign w:val="bottom"/>
          </w:tcPr>
          <w:p>
            <w:pPr>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1,302</w:t>
            </w:r>
          </w:p>
        </w:tc>
        <w:tc>
          <w:tcPr>
            <w:tcW w:w="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56"/>
        </w:trPr>
        <w:tc>
          <w:tcPr>
            <w:tcW w:w="642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267,100</w:t>
            </w:r>
          </w:p>
        </w:tc>
        <w:tc>
          <w:tcPr>
            <w:tcW w:w="3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275,212</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420" w:type="dxa"/>
            <w:vAlign w:val="bottom"/>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42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7,665</w:t>
            </w:r>
          </w:p>
        </w:tc>
        <w:tc>
          <w:tcPr>
            <w:tcW w:w="3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56"/>
        </w:trPr>
        <w:tc>
          <w:tcPr>
            <w:tcW w:w="642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10,079</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13,734</w:t>
            </w:r>
          </w:p>
        </w:tc>
        <w:tc>
          <w:tcPr>
            <w:tcW w:w="0" w:type="dxa"/>
            <w:vAlign w:val="bottom"/>
          </w:tcPr>
          <w:p>
            <w:pPr>
              <w:spacing w:after="0"/>
              <w:rPr>
                <w:sz w:val="1"/>
                <w:szCs w:val="1"/>
                <w:color w:val="auto"/>
              </w:rPr>
            </w:pPr>
          </w:p>
        </w:tc>
      </w:tr>
      <w:tr>
        <w:trPr>
          <w:trHeight w:val="263"/>
        </w:trPr>
        <w:tc>
          <w:tcPr>
            <w:tcW w:w="6420" w:type="dxa"/>
            <w:vAlign w:val="bottom"/>
          </w:tcPr>
          <w:p>
            <w:pPr>
              <w:ind w:left="100"/>
              <w:spacing w:after="0"/>
              <w:rPr>
                <w:sz w:val="20"/>
                <w:szCs w:val="20"/>
                <w:color w:val="auto"/>
              </w:rPr>
            </w:pPr>
            <w:r>
              <w:rPr>
                <w:rFonts w:ascii="Arial" w:cs="Arial" w:eastAsia="Arial" w:hAnsi="Arial"/>
                <w:sz w:val="18"/>
                <w:szCs w:val="18"/>
                <w:color w:val="auto"/>
              </w:rPr>
              <w:t>Current portion of operating lease liability</w:t>
            </w:r>
          </w:p>
        </w:tc>
        <w:tc>
          <w:tcPr>
            <w:tcW w:w="4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1,450</w:t>
            </w:r>
          </w:p>
        </w:tc>
        <w:tc>
          <w:tcPr>
            <w:tcW w:w="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40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19,194</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17,469</w:t>
            </w:r>
          </w:p>
        </w:tc>
        <w:tc>
          <w:tcPr>
            <w:tcW w:w="0" w:type="dxa"/>
            <w:vAlign w:val="bottom"/>
          </w:tcPr>
          <w:p>
            <w:pPr>
              <w:spacing w:after="0"/>
              <w:rPr>
                <w:sz w:val="1"/>
                <w:szCs w:val="1"/>
                <w:color w:val="auto"/>
              </w:rPr>
            </w:pPr>
          </w:p>
        </w:tc>
      </w:tr>
      <w:tr>
        <w:trPr>
          <w:trHeight w:val="256"/>
        </w:trPr>
        <w:tc>
          <w:tcPr>
            <w:tcW w:w="6420" w:type="dxa"/>
            <w:vAlign w:val="bottom"/>
          </w:tcPr>
          <w:p>
            <w:pPr>
              <w:spacing w:after="0"/>
              <w:rPr>
                <w:sz w:val="20"/>
                <w:szCs w:val="20"/>
                <w:color w:val="auto"/>
              </w:rPr>
            </w:pPr>
            <w:r>
              <w:rPr>
                <w:rFonts w:ascii="Arial" w:cs="Arial" w:eastAsia="Arial" w:hAnsi="Arial"/>
                <w:sz w:val="18"/>
                <w:szCs w:val="18"/>
                <w:color w:val="auto"/>
              </w:rPr>
              <w:t>Long-term debt</w:t>
            </w:r>
          </w:p>
        </w:tc>
        <w:tc>
          <w:tcPr>
            <w:tcW w:w="40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748</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18"/>
                <w:szCs w:val="18"/>
                <w:color w:val="auto"/>
              </w:rPr>
              <w:t>Acquisition related contingent consideration</w:t>
            </w:r>
          </w:p>
        </w:tc>
        <w:tc>
          <w:tcPr>
            <w:tcW w:w="400" w:type="dxa"/>
            <w:vAlign w:val="bottom"/>
          </w:tcPr>
          <w:p>
            <w:pPr>
              <w:spacing w:after="0"/>
              <w:rPr>
                <w:sz w:val="22"/>
                <w:szCs w:val="22"/>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5,604</w:t>
            </w: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4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11,132</w:t>
            </w:r>
          </w:p>
        </w:tc>
        <w:tc>
          <w:tcPr>
            <w:tcW w:w="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11,506</w:t>
            </w:r>
          </w:p>
        </w:tc>
        <w:tc>
          <w:tcPr>
            <w:tcW w:w="0" w:type="dxa"/>
            <w:vAlign w:val="bottom"/>
          </w:tcPr>
          <w:p>
            <w:pPr>
              <w:spacing w:after="0"/>
              <w:rPr>
                <w:sz w:val="1"/>
                <w:szCs w:val="1"/>
                <w:color w:val="auto"/>
              </w:rPr>
            </w:pPr>
          </w:p>
        </w:tc>
      </w:tr>
      <w:tr>
        <w:trPr>
          <w:trHeight w:val="243"/>
        </w:trPr>
        <w:tc>
          <w:tcPr>
            <w:tcW w:w="64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36,678</w:t>
            </w: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jc w:val="right"/>
              <w:ind w:right="70"/>
              <w:spacing w:after="0"/>
              <w:rPr>
                <w:sz w:val="20"/>
                <w:szCs w:val="20"/>
                <w:color w:val="auto"/>
              </w:rPr>
            </w:pPr>
            <w:r>
              <w:rPr>
                <w:rFonts w:ascii="Arial" w:cs="Arial" w:eastAsia="Arial" w:hAnsi="Arial"/>
                <w:sz w:val="18"/>
                <w:szCs w:val="18"/>
                <w:color w:val="auto"/>
              </w:rPr>
              <w:t>35,757</w:t>
            </w:r>
          </w:p>
        </w:tc>
        <w:tc>
          <w:tcPr>
            <w:tcW w:w="0" w:type="dxa"/>
            <w:vAlign w:val="bottom"/>
          </w:tcPr>
          <w:p>
            <w:pPr>
              <w:spacing w:after="0"/>
              <w:rPr>
                <w:sz w:val="1"/>
                <w:szCs w:val="1"/>
                <w:color w:val="auto"/>
              </w:rPr>
            </w:pPr>
          </w:p>
        </w:tc>
      </w:tr>
      <w:tr>
        <w:trPr>
          <w:trHeight w:val="263"/>
        </w:trPr>
        <w:tc>
          <w:tcPr>
            <w:tcW w:w="64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230,422</w:t>
            </w:r>
          </w:p>
        </w:tc>
        <w:tc>
          <w:tcPr>
            <w:tcW w:w="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239,455</w:t>
            </w:r>
          </w:p>
        </w:tc>
        <w:tc>
          <w:tcPr>
            <w:tcW w:w="0" w:type="dxa"/>
            <w:vAlign w:val="bottom"/>
          </w:tcPr>
          <w:p>
            <w:pPr>
              <w:spacing w:after="0"/>
              <w:rPr>
                <w:sz w:val="1"/>
                <w:szCs w:val="1"/>
                <w:color w:val="auto"/>
              </w:rPr>
            </w:pPr>
          </w:p>
        </w:tc>
      </w:tr>
      <w:tr>
        <w:trPr>
          <w:trHeight w:val="257"/>
        </w:trPr>
        <w:tc>
          <w:tcPr>
            <w:tcW w:w="642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267,100</w:t>
            </w:r>
          </w:p>
        </w:tc>
        <w:tc>
          <w:tcPr>
            <w:tcW w:w="3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275,212</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120" w:firstLine="6"/>
        <w:spacing w:after="0" w:line="246"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condensed balance sheet at December 31, 2019 has been derived from the audited financial statements at that date included in the Company's Form 10-K filed with the Securities and Exchange Commission dated February 25, 2020.</w:t>
      </w:r>
    </w:p>
    <w:p>
      <w:pPr>
        <w:sectPr>
          <w:pgSz w:w="11900" w:h="16838" w:orient="portrait"/>
          <w:cols w:equalWidth="0" w:num="1">
            <w:col w:w="11220"/>
          </w:cols>
          <w:pgMar w:left="340" w:top="1210"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4"/>
          <w:szCs w:val="14"/>
          <w:b w:val="1"/>
          <w:bCs w:val="1"/>
          <w:color w:val="auto"/>
        </w:rPr>
        <w:t>VERACYTE, INC.</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thousands of dollars)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9"/>
        </w:trPr>
        <w:tc>
          <w:tcPr>
            <w:tcW w:w="7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782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(11,716)</w:t>
            </w:r>
          </w:p>
        </w:tc>
        <w:tc>
          <w:tcPr>
            <w:tcW w:w="2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(1,917)</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820" w:type="dxa"/>
            <w:vAlign w:val="bottom"/>
          </w:tcPr>
          <w:p>
            <w:pPr>
              <w:ind w:left="10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1,972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216"/>
        </w:trPr>
        <w:tc>
          <w:tcPr>
            <w:tcW w:w="7820" w:type="dxa"/>
            <w:vAlign w:val="bottom"/>
          </w:tcPr>
          <w:p>
            <w:pPr>
              <w:ind w:left="100"/>
              <w:spacing w:after="0"/>
              <w:rPr>
                <w:sz w:val="20"/>
                <w:szCs w:val="20"/>
                <w:color w:val="auto"/>
              </w:rPr>
            </w:pPr>
            <w:r>
              <w:rPr>
                <w:rFonts w:ascii="Arial" w:cs="Arial" w:eastAsia="Arial" w:hAnsi="Arial"/>
                <w:sz w:val="14"/>
                <w:szCs w:val="14"/>
                <w:color w:val="auto"/>
              </w:rPr>
              <w:t>Gain on disposal of property and equipment</w:t>
            </w:r>
          </w:p>
        </w:tc>
        <w:tc>
          <w:tcPr>
            <w:tcW w:w="3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16"/>
        </w:trPr>
        <w:tc>
          <w:tcPr>
            <w:tcW w:w="7820" w:type="dxa"/>
            <w:vAlign w:val="bottom"/>
          </w:tcPr>
          <w:p>
            <w:pPr>
              <w:ind w:left="100"/>
              <w:spacing w:after="0"/>
              <w:rPr>
                <w:sz w:val="20"/>
                <w:szCs w:val="20"/>
                <w:color w:val="auto"/>
              </w:rPr>
            </w:pPr>
            <w:r>
              <w:rPr>
                <w:rFonts w:ascii="Arial" w:cs="Arial" w:eastAsia="Arial" w:hAnsi="Arial"/>
                <w:sz w:val="14"/>
                <w:szCs w:val="14"/>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2,905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1,759</w:t>
            </w:r>
          </w:p>
        </w:tc>
        <w:tc>
          <w:tcPr>
            <w:tcW w:w="0" w:type="dxa"/>
            <w:vAlign w:val="bottom"/>
          </w:tcPr>
          <w:p>
            <w:pPr>
              <w:spacing w:after="0"/>
              <w:rPr>
                <w:sz w:val="1"/>
                <w:szCs w:val="1"/>
                <w:color w:val="auto"/>
              </w:rPr>
            </w:pPr>
          </w:p>
        </w:tc>
      </w:tr>
      <w:tr>
        <w:trPr>
          <w:trHeight w:val="216"/>
        </w:trPr>
        <w:tc>
          <w:tcPr>
            <w:tcW w:w="7820" w:type="dxa"/>
            <w:vAlign w:val="bottom"/>
          </w:tcPr>
          <w:p>
            <w:pPr>
              <w:ind w:left="100"/>
              <w:spacing w:after="0"/>
              <w:rPr>
                <w:sz w:val="20"/>
                <w:szCs w:val="20"/>
                <w:color w:val="auto"/>
              </w:rPr>
            </w:pPr>
            <w:r>
              <w:rPr>
                <w:rFonts w:ascii="Arial" w:cs="Arial" w:eastAsia="Arial" w:hAnsi="Arial"/>
                <w:sz w:val="14"/>
                <w:szCs w:val="14"/>
                <w:color w:val="auto"/>
              </w:rPr>
              <w:t>Amortization of debt issuance costs</w:t>
            </w:r>
          </w:p>
        </w:tc>
        <w:tc>
          <w:tcPr>
            <w:tcW w:w="3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16"/>
        </w:trPr>
        <w:tc>
          <w:tcPr>
            <w:tcW w:w="7820" w:type="dxa"/>
            <w:vAlign w:val="bottom"/>
          </w:tcPr>
          <w:p>
            <w:pPr>
              <w:ind w:left="100"/>
              <w:spacing w:after="0"/>
              <w:rPr>
                <w:sz w:val="20"/>
                <w:szCs w:val="20"/>
                <w:color w:val="auto"/>
              </w:rPr>
            </w:pPr>
            <w:r>
              <w:rPr>
                <w:rFonts w:ascii="Arial" w:cs="Arial" w:eastAsia="Arial" w:hAnsi="Arial"/>
                <w:sz w:val="14"/>
                <w:szCs w:val="14"/>
                <w:color w:val="auto"/>
              </w:rPr>
              <w:t>Interest on end-of-term debt obligations</w:t>
            </w: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16"/>
        </w:trPr>
        <w:tc>
          <w:tcPr>
            <w:tcW w:w="7820" w:type="dxa"/>
            <w:vAlign w:val="bottom"/>
          </w:tcPr>
          <w:p>
            <w:pPr>
              <w:ind w:left="100"/>
              <w:spacing w:after="0"/>
              <w:rPr>
                <w:sz w:val="20"/>
                <w:szCs w:val="20"/>
                <w:color w:val="auto"/>
              </w:rPr>
            </w:pPr>
            <w:r>
              <w:rPr>
                <w:rFonts w:ascii="Arial" w:cs="Arial" w:eastAsia="Arial" w:hAnsi="Arial"/>
                <w:sz w:val="14"/>
                <w:szCs w:val="14"/>
                <w:color w:val="auto"/>
              </w:rPr>
              <w:t>Write-down of excess supplies</w:t>
            </w: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1,088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820" w:type="dxa"/>
            <w:vAlign w:val="bottom"/>
          </w:tcPr>
          <w:p>
            <w:pPr>
              <w:ind w:left="100"/>
              <w:spacing w:after="0"/>
              <w:rPr>
                <w:sz w:val="20"/>
                <w:szCs w:val="20"/>
                <w:color w:val="auto"/>
              </w:rPr>
            </w:pPr>
            <w:r>
              <w:rPr>
                <w:rFonts w:ascii="Arial" w:cs="Arial" w:eastAsia="Arial" w:hAnsi="Arial"/>
                <w:sz w:val="14"/>
                <w:szCs w:val="14"/>
                <w:color w:val="auto"/>
              </w:rPr>
              <w:t>Noncash lease expense</w:t>
            </w: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232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16"/>
        </w:trPr>
        <w:tc>
          <w:tcPr>
            <w:tcW w:w="7820" w:type="dxa"/>
            <w:vAlign w:val="bottom"/>
          </w:tcPr>
          <w:p>
            <w:pPr>
              <w:ind w:left="100"/>
              <w:spacing w:after="0"/>
              <w:rPr>
                <w:sz w:val="20"/>
                <w:szCs w:val="20"/>
                <w:color w:val="auto"/>
              </w:rPr>
            </w:pPr>
            <w:r>
              <w:rPr>
                <w:rFonts w:ascii="Arial" w:cs="Arial" w:eastAsia="Arial" w:hAnsi="Arial"/>
                <w:sz w:val="14"/>
                <w:szCs w:val="14"/>
                <w:color w:val="auto"/>
              </w:rPr>
              <w:t>Revaluation of acquisition related contingent consideration</w:t>
            </w: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(484)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7820" w:type="dxa"/>
            <w:vAlign w:val="bottom"/>
          </w:tcPr>
          <w:p>
            <w:pPr>
              <w:ind w:left="100"/>
              <w:spacing w:after="0"/>
              <w:rPr>
                <w:sz w:val="20"/>
                <w:szCs w:val="20"/>
                <w:color w:val="auto"/>
              </w:rPr>
            </w:pPr>
            <w:r>
              <w:rPr>
                <w:rFonts w:ascii="Arial" w:cs="Arial" w:eastAsia="Arial" w:hAnsi="Arial"/>
                <w:sz w:val="14"/>
                <w:szCs w:val="14"/>
                <w:color w:val="auto"/>
              </w:rPr>
              <w:t>Accounts receivable</w:t>
            </w: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238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(3,447)</w:t>
            </w:r>
          </w:p>
        </w:tc>
        <w:tc>
          <w:tcPr>
            <w:tcW w:w="0" w:type="dxa"/>
            <w:vAlign w:val="bottom"/>
          </w:tcPr>
          <w:p>
            <w:pPr>
              <w:spacing w:after="0"/>
              <w:rPr>
                <w:sz w:val="1"/>
                <w:szCs w:val="1"/>
                <w:color w:val="auto"/>
              </w:rPr>
            </w:pPr>
          </w:p>
        </w:tc>
      </w:tr>
      <w:tr>
        <w:trPr>
          <w:trHeight w:val="216"/>
        </w:trPr>
        <w:tc>
          <w:tcPr>
            <w:tcW w:w="7820" w:type="dxa"/>
            <w:vAlign w:val="bottom"/>
          </w:tcPr>
          <w:p>
            <w:pPr>
              <w:ind w:left="100"/>
              <w:spacing w:after="0"/>
              <w:rPr>
                <w:sz w:val="20"/>
                <w:szCs w:val="20"/>
                <w:color w:val="auto"/>
              </w:rPr>
            </w:pPr>
            <w:r>
              <w:rPr>
                <w:rFonts w:ascii="Arial" w:cs="Arial" w:eastAsia="Arial" w:hAnsi="Arial"/>
                <w:sz w:val="14"/>
                <w:szCs w:val="14"/>
                <w:color w:val="auto"/>
              </w:rPr>
              <w:t>Supplies</w:t>
            </w: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(376)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216"/>
        </w:trPr>
        <w:tc>
          <w:tcPr>
            <w:tcW w:w="7820" w:type="dxa"/>
            <w:vAlign w:val="bottom"/>
          </w:tcPr>
          <w:p>
            <w:pPr>
              <w:ind w:left="100"/>
              <w:spacing w:after="0"/>
              <w:rPr>
                <w:sz w:val="20"/>
                <w:szCs w:val="20"/>
                <w:color w:val="auto"/>
              </w:rPr>
            </w:pPr>
            <w:r>
              <w:rPr>
                <w:rFonts w:ascii="Arial" w:cs="Arial" w:eastAsia="Arial" w:hAnsi="Arial"/>
                <w:sz w:val="14"/>
                <w:szCs w:val="14"/>
                <w:color w:val="auto"/>
              </w:rPr>
              <w:t>Prepaid expenses and other current assets</w:t>
            </w: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(818)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6"/>
        </w:trPr>
        <w:tc>
          <w:tcPr>
            <w:tcW w:w="7820" w:type="dxa"/>
            <w:vAlign w:val="bottom"/>
          </w:tcPr>
          <w:p>
            <w:pPr>
              <w:ind w:left="100"/>
              <w:spacing w:after="0"/>
              <w:rPr>
                <w:sz w:val="20"/>
                <w:szCs w:val="20"/>
                <w:color w:val="auto"/>
              </w:rPr>
            </w:pPr>
            <w:r>
              <w:rPr>
                <w:rFonts w:ascii="Arial" w:cs="Arial" w:eastAsia="Arial" w:hAnsi="Arial"/>
                <w:sz w:val="14"/>
                <w:szCs w:val="14"/>
                <w:color w:val="auto"/>
              </w:rPr>
              <w:t>Operating lease liability</w:t>
            </w: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(331)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16"/>
        </w:trPr>
        <w:tc>
          <w:tcPr>
            <w:tcW w:w="7820" w:type="dxa"/>
            <w:vAlign w:val="bottom"/>
          </w:tcPr>
          <w:p>
            <w:pPr>
              <w:ind w:left="10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135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16"/>
        </w:trPr>
        <w:tc>
          <w:tcPr>
            <w:tcW w:w="7820" w:type="dxa"/>
            <w:vAlign w:val="bottom"/>
          </w:tcPr>
          <w:p>
            <w:pPr>
              <w:ind w:left="100"/>
              <w:spacing w:after="0"/>
              <w:rPr>
                <w:sz w:val="20"/>
                <w:szCs w:val="20"/>
                <w:color w:val="auto"/>
              </w:rPr>
            </w:pPr>
            <w:r>
              <w:rPr>
                <w:rFonts w:ascii="Arial" w:cs="Arial" w:eastAsia="Arial" w:hAnsi="Arial"/>
                <w:sz w:val="14"/>
                <w:szCs w:val="14"/>
                <w:color w:val="auto"/>
              </w:rPr>
              <w:t>Accounts payable</w:t>
            </w: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5,450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1,726</w:t>
            </w:r>
          </w:p>
        </w:tc>
        <w:tc>
          <w:tcPr>
            <w:tcW w:w="0" w:type="dxa"/>
            <w:vAlign w:val="bottom"/>
          </w:tcPr>
          <w:p>
            <w:pPr>
              <w:spacing w:after="0"/>
              <w:rPr>
                <w:sz w:val="1"/>
                <w:szCs w:val="1"/>
                <w:color w:val="auto"/>
              </w:rPr>
            </w:pPr>
          </w:p>
        </w:tc>
      </w:tr>
      <w:tr>
        <w:trPr>
          <w:trHeight w:val="222"/>
        </w:trPr>
        <w:tc>
          <w:tcPr>
            <w:tcW w:w="7820" w:type="dxa"/>
            <w:vAlign w:val="bottom"/>
          </w:tcPr>
          <w:p>
            <w:pPr>
              <w:ind w:left="100"/>
              <w:spacing w:after="0"/>
              <w:rPr>
                <w:sz w:val="20"/>
                <w:szCs w:val="20"/>
                <w:color w:val="auto"/>
              </w:rPr>
            </w:pPr>
            <w:r>
              <w:rPr>
                <w:rFonts w:ascii="Arial" w:cs="Arial" w:eastAsia="Arial" w:hAnsi="Arial"/>
                <w:sz w:val="14"/>
                <w:szCs w:val="14"/>
                <w:color w:val="auto"/>
              </w:rPr>
              <w:t>Accrued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(3,650)</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209"/>
        </w:trPr>
        <w:tc>
          <w:tcPr>
            <w:tcW w:w="7820" w:type="dxa"/>
            <w:vAlign w:val="bottom"/>
          </w:tcPr>
          <w:p>
            <w:pPr>
              <w:spacing w:after="0"/>
              <w:rPr>
                <w:sz w:val="20"/>
                <w:szCs w:val="20"/>
                <w:color w:val="auto"/>
              </w:rPr>
            </w:pPr>
            <w:r>
              <w:rPr>
                <w:rFonts w:ascii="Arial" w:cs="Arial" w:eastAsia="Arial" w:hAnsi="Arial"/>
                <w:sz w:val="14"/>
                <w:szCs w:val="14"/>
                <w:color w:val="auto"/>
              </w:rPr>
              <w:t>Net cash used in operating activities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(5,301)</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190"/>
        </w:trPr>
        <w:tc>
          <w:tcPr>
            <w:tcW w:w="782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(665)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22"/>
        </w:trPr>
        <w:tc>
          <w:tcPr>
            <w:tcW w:w="7820" w:type="dxa"/>
            <w:vAlign w:val="bottom"/>
          </w:tcPr>
          <w:p>
            <w:pPr>
              <w:spacing w:after="0"/>
              <w:rPr>
                <w:sz w:val="20"/>
                <w:szCs w:val="20"/>
                <w:color w:val="auto"/>
              </w:rPr>
            </w:pPr>
            <w:r>
              <w:rPr>
                <w:rFonts w:ascii="Arial" w:cs="Arial" w:eastAsia="Arial" w:hAnsi="Arial"/>
                <w:sz w:val="14"/>
                <w:szCs w:val="14"/>
                <w:color w:val="auto"/>
              </w:rPr>
              <w:t>Proceeds from disposal of property and equipment</w:t>
            </w:r>
          </w:p>
        </w:tc>
        <w:tc>
          <w:tcPr>
            <w:tcW w:w="360" w:type="dxa"/>
            <w:vAlign w:val="bottom"/>
          </w:tcPr>
          <w:p>
            <w:pPr>
              <w:spacing w:after="0"/>
              <w:rPr>
                <w:sz w:val="19"/>
                <w:szCs w:val="19"/>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9"/>
        </w:trPr>
        <w:tc>
          <w:tcPr>
            <w:tcW w:w="782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(665)</w:t>
            </w: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91"/>
        </w:trPr>
        <w:tc>
          <w:tcPr>
            <w:tcW w:w="782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4"/>
                <w:szCs w:val="14"/>
                <w:color w:val="auto"/>
              </w:rPr>
              <w:t>Payment of long-term debt</w:t>
            </w:r>
          </w:p>
        </w:tc>
        <w:tc>
          <w:tcPr>
            <w:tcW w:w="3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4"/>
                <w:szCs w:val="14"/>
                <w:color w:val="auto"/>
              </w:rPr>
              <w:t>Payment of financial lease liability</w:t>
            </w:r>
          </w:p>
        </w:tc>
        <w:tc>
          <w:tcPr>
            <w:tcW w:w="360" w:type="dxa"/>
            <w:vAlign w:val="bottom"/>
          </w:tcPr>
          <w:p>
            <w:pPr>
              <w:spacing w:after="0"/>
              <w:rPr>
                <w:sz w:val="18"/>
                <w:szCs w:val="18"/>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4"/>
                <w:szCs w:val="14"/>
                <w:color w:val="auto"/>
              </w:rPr>
              <w:t>Payment of taxes on vested restricted stock units</w:t>
            </w: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(2,304)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(556)</w:t>
            </w:r>
          </w:p>
        </w:tc>
        <w:tc>
          <w:tcPr>
            <w:tcW w:w="0" w:type="dxa"/>
            <w:vAlign w:val="bottom"/>
          </w:tcPr>
          <w:p>
            <w:pPr>
              <w:spacing w:after="0"/>
              <w:rPr>
                <w:sz w:val="1"/>
                <w:szCs w:val="1"/>
                <w:color w:val="auto"/>
              </w:rPr>
            </w:pPr>
          </w:p>
        </w:tc>
      </w:tr>
      <w:tr>
        <w:trPr>
          <w:trHeight w:val="221"/>
        </w:trPr>
        <w:tc>
          <w:tcPr>
            <w:tcW w:w="7820" w:type="dxa"/>
            <w:vAlign w:val="bottom"/>
          </w:tcPr>
          <w:p>
            <w:pPr>
              <w:spacing w:after="0"/>
              <w:rPr>
                <w:sz w:val="20"/>
                <w:szCs w:val="20"/>
                <w:color w:val="auto"/>
              </w:rPr>
            </w:pPr>
            <w:r>
              <w:rPr>
                <w:rFonts w:ascii="Arial" w:cs="Arial" w:eastAsia="Arial" w:hAnsi="Arial"/>
                <w:sz w:val="14"/>
                <w:szCs w:val="14"/>
                <w:color w:val="auto"/>
              </w:rPr>
              <w:t>Proceeds from the exercise of common stock options and employee stock purchases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2,085</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4,737</w:t>
            </w:r>
          </w:p>
        </w:tc>
        <w:tc>
          <w:tcPr>
            <w:tcW w:w="0" w:type="dxa"/>
            <w:vAlign w:val="bottom"/>
          </w:tcPr>
          <w:p>
            <w:pPr>
              <w:spacing w:after="0"/>
              <w:rPr>
                <w:sz w:val="1"/>
                <w:szCs w:val="1"/>
                <w:color w:val="auto"/>
              </w:rPr>
            </w:pPr>
          </w:p>
        </w:tc>
      </w:tr>
      <w:tr>
        <w:trPr>
          <w:trHeight w:val="210"/>
        </w:trPr>
        <w:tc>
          <w:tcPr>
            <w:tcW w:w="7820" w:type="dxa"/>
            <w:vAlign w:val="bottom"/>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(8,394)</w:t>
            </w:r>
          </w:p>
        </w:tc>
        <w:tc>
          <w:tcPr>
            <w:tcW w:w="0" w:type="dxa"/>
            <w:vAlign w:val="bottom"/>
          </w:tcPr>
          <w:p>
            <w:pPr>
              <w:spacing w:after="0"/>
              <w:rPr>
                <w:sz w:val="1"/>
                <w:szCs w:val="1"/>
                <w:color w:val="auto"/>
              </w:rPr>
            </w:pPr>
          </w:p>
        </w:tc>
      </w:tr>
      <w:tr>
        <w:trPr>
          <w:trHeight w:val="204"/>
        </w:trPr>
        <w:tc>
          <w:tcPr>
            <w:tcW w:w="7820" w:type="dxa"/>
            <w:vAlign w:val="bottom"/>
          </w:tcPr>
          <w:p>
            <w:pPr>
              <w:spacing w:after="0"/>
              <w:rPr>
                <w:sz w:val="20"/>
                <w:szCs w:val="20"/>
                <w:color w:val="auto"/>
              </w:rPr>
            </w:pPr>
            <w:r>
              <w:rPr>
                <w:rFonts w:ascii="Arial" w:cs="Arial" w:eastAsia="Arial" w:hAnsi="Arial"/>
                <w:sz w:val="14"/>
                <w:szCs w:val="14"/>
                <w:b w:val="1"/>
                <w:bCs w:val="1"/>
                <w:color w:val="auto"/>
              </w:rPr>
              <w:t>Net increase in cash, cash equivalents and restricted cash</w:t>
            </w:r>
          </w:p>
        </w:tc>
        <w:tc>
          <w:tcPr>
            <w:tcW w:w="36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(6,185)</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(10,154)</w:t>
            </w:r>
          </w:p>
        </w:tc>
        <w:tc>
          <w:tcPr>
            <w:tcW w:w="0" w:type="dxa"/>
            <w:vAlign w:val="bottom"/>
          </w:tcPr>
          <w:p>
            <w:pPr>
              <w:spacing w:after="0"/>
              <w:rPr>
                <w:sz w:val="1"/>
                <w:szCs w:val="1"/>
                <w:color w:val="auto"/>
              </w:rPr>
            </w:pPr>
          </w:p>
        </w:tc>
      </w:tr>
      <w:tr>
        <w:trPr>
          <w:trHeight w:val="222"/>
        </w:trPr>
        <w:tc>
          <w:tcPr>
            <w:tcW w:w="7820" w:type="dxa"/>
            <w:vAlign w:val="bottom"/>
          </w:tcPr>
          <w:p>
            <w:pPr>
              <w:spacing w:after="0"/>
              <w:rPr>
                <w:sz w:val="20"/>
                <w:szCs w:val="20"/>
                <w:color w:val="auto"/>
              </w:rPr>
            </w:pPr>
            <w:r>
              <w:rPr>
                <w:rFonts w:ascii="Arial" w:cs="Arial" w:eastAsia="Arial" w:hAnsi="Arial"/>
                <w:sz w:val="14"/>
                <w:szCs w:val="14"/>
                <w:b w:val="1"/>
                <w:bCs w:val="1"/>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159,920</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78,598</w:t>
            </w:r>
          </w:p>
        </w:tc>
        <w:tc>
          <w:tcPr>
            <w:tcW w:w="0" w:type="dxa"/>
            <w:vAlign w:val="bottom"/>
          </w:tcPr>
          <w:p>
            <w:pPr>
              <w:spacing w:after="0"/>
              <w:rPr>
                <w:sz w:val="1"/>
                <w:szCs w:val="1"/>
                <w:color w:val="auto"/>
              </w:rPr>
            </w:pPr>
          </w:p>
        </w:tc>
      </w:tr>
      <w:tr>
        <w:trPr>
          <w:trHeight w:val="215"/>
        </w:trPr>
        <w:tc>
          <w:tcPr>
            <w:tcW w:w="7820" w:type="dxa"/>
            <w:vAlign w:val="bottom"/>
          </w:tcPr>
          <w:p>
            <w:pPr>
              <w:spacing w:after="0"/>
              <w:rPr>
                <w:sz w:val="20"/>
                <w:szCs w:val="20"/>
                <w:color w:val="auto"/>
              </w:rPr>
            </w:pPr>
            <w:r>
              <w:rPr>
                <w:rFonts w:ascii="Arial" w:cs="Arial" w:eastAsia="Arial" w:hAnsi="Arial"/>
                <w:sz w:val="14"/>
                <w:szCs w:val="14"/>
                <w:b w:val="1"/>
                <w:bCs w:val="1"/>
                <w:color w:val="auto"/>
              </w:rPr>
              <w:t>Cash, cash equivalents and restricted cash at end of period</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153,735</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68,444</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4"/>
                <w:szCs w:val="14"/>
                <w:b w:val="1"/>
                <w:bCs w:val="1"/>
                <w:color w:val="auto"/>
              </w:rPr>
              <w:t>Supplementary cash flow information of non-cash investing and financing activities: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7"/>
        </w:trPr>
        <w:tc>
          <w:tcPr>
            <w:tcW w:w="78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4"/>
                <w:szCs w:val="14"/>
                <w:color w:val="auto"/>
              </w:rPr>
              <w:t>Purchases of property and equipment included in accounts payable and accrued liability</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113</w:t>
            </w:r>
          </w:p>
        </w:tc>
        <w:tc>
          <w:tcPr>
            <w:tcW w:w="2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4"/>
                <w:szCs w:val="14"/>
                <w:color w:val="auto"/>
              </w:rPr>
              <w:t>Interest paid on debt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28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bl>
    <w:p>
      <w:pPr>
        <w:sectPr>
          <w:pgSz w:w="11900" w:h="16838" w:orient="portrait"/>
          <w:cols w:equalWidth="0" w:num="1">
            <w:col w:w="11220"/>
          </w:cols>
          <w:pgMar w:left="340" w:top="122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6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2020</w:t>
            </w:r>
          </w:p>
        </w:tc>
        <w:tc>
          <w:tcPr>
            <w:tcW w:w="280" w:type="dxa"/>
            <w:vAlign w:val="bottom"/>
          </w:tcPr>
          <w:p>
            <w:pPr>
              <w:spacing w:after="0"/>
              <w:rPr>
                <w:sz w:val="21"/>
                <w:szCs w:val="21"/>
                <w:color w:val="auto"/>
              </w:rPr>
            </w:pPr>
          </w:p>
        </w:tc>
        <w:tc>
          <w:tcPr>
            <w:tcW w:w="216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 2019</w:t>
            </w:r>
          </w:p>
        </w:tc>
      </w:tr>
      <w:tr>
        <w:trPr>
          <w:trHeight w:val="243"/>
        </w:trPr>
        <w:tc>
          <w:tcPr>
            <w:tcW w:w="6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153,132</w:t>
            </w:r>
          </w:p>
        </w:tc>
        <w:tc>
          <w:tcPr>
            <w:tcW w:w="30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159,317</w:t>
            </w:r>
          </w:p>
        </w:tc>
      </w:tr>
      <w:tr>
        <w:trPr>
          <w:trHeight w:val="263"/>
        </w:trPr>
        <w:tc>
          <w:tcPr>
            <w:tcW w:w="6240" w:type="dxa"/>
            <w:vAlign w:val="bottom"/>
          </w:tcPr>
          <w:p>
            <w:pPr>
              <w:spacing w:after="0"/>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603</w:t>
            </w:r>
          </w:p>
        </w:tc>
        <w:tc>
          <w:tcPr>
            <w:tcW w:w="3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603</w:t>
            </w:r>
          </w:p>
        </w:tc>
      </w:tr>
      <w:tr>
        <w:trPr>
          <w:trHeight w:val="257"/>
        </w:trPr>
        <w:tc>
          <w:tcPr>
            <w:tcW w:w="624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153,735</w:t>
            </w:r>
          </w:p>
        </w:tc>
        <w:tc>
          <w:tcPr>
            <w:tcW w:w="3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159,920</w:t>
            </w:r>
          </w:p>
        </w:tc>
      </w:tr>
      <w:tr>
        <w:trPr>
          <w:trHeight w:val="21"/>
        </w:trPr>
        <w:tc>
          <w:tcPr>
            <w:tcW w:w="6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and Media Contact: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Corporate Communications</w:t>
      </w:r>
    </w:p>
    <w:p>
      <w:pPr>
        <w:spacing w:after="0" w:line="23" w:lineRule="exact"/>
        <w:rPr>
          <w:sz w:val="20"/>
          <w:szCs w:val="20"/>
          <w:color w:val="auto"/>
        </w:rPr>
      </w:pPr>
    </w:p>
    <w:p>
      <w:pPr>
        <w:ind w:right="9060" w:firstLine="8"/>
        <w:spacing w:after="0" w:line="294" w:lineRule="auto"/>
        <w:tabs>
          <w:tab w:leader="none" w:pos="17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Investor Relations 650-380-4413 </w:t>
      </w:r>
      <w:r>
        <w:rPr>
          <w:rFonts w:ascii="Arial" w:cs="Arial" w:eastAsia="Arial" w:hAnsi="Arial"/>
          <w:sz w:val="17"/>
          <w:szCs w:val="17"/>
          <w:u w:val="single" w:color="auto"/>
          <w:color w:val="auto"/>
        </w:rPr>
        <w:t>tracy.morris@veracyte.com</w:t>
      </w:r>
    </w:p>
    <w:sectPr>
      <w:pgSz w:w="11900" w:h="16838" w:orient="portrait"/>
      <w:cols w:equalWidth="0" w:num="1">
        <w:col w:w="11240"/>
      </w:cols>
      <w:pgMar w:left="320" w:top="12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2020-05-06T15:20:57Z</dcterms:created>
  <dcterms:modified xsi:type="dcterms:W3CDTF">2020-05-06T15:20:57Z</dcterms:modified>
</cp:coreProperties>
</file>