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2 )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92337F107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92337F107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3,869,070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4,114,031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4,114,031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5.8%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right="8140" w:hanging="587"/>
        <w:spacing w:after="0" w:line="334" w:lineRule="auto"/>
        <w:tabs>
          <w:tab w:leader="none" w:pos="150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Veracyte Inc</w:t>
      </w:r>
    </w:p>
    <w:p>
      <w:pPr>
        <w:spacing w:after="0" w:line="12" w:lineRule="exact"/>
        <w:rPr>
          <w:rFonts w:ascii="Arial" w:cs="Arial" w:eastAsia="Arial" w:hAnsi="Arial"/>
          <w:sz w:val="19"/>
          <w:szCs w:val="19"/>
          <w:b w:val="1"/>
          <w:bCs w:val="1"/>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6000 Shoreline Court, Suite 300, South San Francisco, CA 94080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92337F107</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4,114,031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5.8%</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3,869,070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4,114,031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328" w:lineRule="auto"/>
        <w:rPr>
          <w:sz w:val="20"/>
          <w:szCs w:val="20"/>
          <w:color w:val="auto"/>
        </w:rPr>
      </w:pPr>
      <w:r>
        <w:rPr>
          <w:rFonts w:ascii="Arial" w:cs="Arial" w:eastAsia="Arial" w:hAnsi="Arial"/>
          <w:sz w:val="19"/>
          <w:szCs w:val="19"/>
          <w:color w:val="auto"/>
        </w:rPr>
        <w:t>However, no one individual has greater than 5% economic ownership. The shareholders of the Fund have the right to receive or the power to direct the receipt of dividends and proceeds from the sale of securities listed above.</w:t>
      </w:r>
    </w:p>
    <w:p>
      <w:pPr>
        <w:spacing w:after="0" w:line="18" w:lineRule="exact"/>
        <w:rPr>
          <w:sz w:val="20"/>
          <w:szCs w:val="20"/>
          <w:color w:val="auto"/>
        </w:rPr>
      </w:pPr>
    </w:p>
    <w:p>
      <w:pPr>
        <w:ind w:left="920" w:right="38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Capital Management LLC</w:t>
      </w:r>
    </w:p>
    <w:p>
      <w:pPr>
        <w:spacing w:after="0" w:line="10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20"/>
          </w:cols>
          <w:pgMar w:left="400" w:top="112" w:right="4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February 09, 2022</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Head of Compliance</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2022-02-10T10:35:06Z</dcterms:created>
  <dcterms:modified xsi:type="dcterms:W3CDTF">2022-02-10T10:35:06Z</dcterms:modified>
</cp:coreProperties>
</file>