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74,849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Restricted stock units awarded on May 11, 2020 vest 18 months from May 1, 2020 subject to continuing employment of the Reporting Person on the vesting date.</w:t>
      </w:r>
    </w:p>
    <w:p>
      <w:pPr>
        <w:spacing w:after="0" w:line="6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awarded on May 11, 2020 vest 18 months from May 1, 2020 subject to continuing employment of the Reporting Person on the vesting 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10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2020-05-13T15:53:22Z</dcterms:created>
  <dcterms:modified xsi:type="dcterms:W3CDTF">2020-05-13T15:53:22Z</dcterms:modified>
</cp:coreProperties>
</file>