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590550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7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June 11, 2019</w:t>
      </w:r>
    </w:p>
    <w:p>
      <w:pPr>
        <w:spacing w:after="0" w:line="255"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VERACYTE, INC.</w:t>
      </w:r>
    </w:p>
    <w:p>
      <w:pPr>
        <w:sectPr>
          <w:pgSz w:w="11900" w:h="16838" w:orient="portrait"/>
          <w:cols w:equalWidth="0" w:num="1">
            <w:col w:w="11280"/>
          </w:cols>
          <w:pgMar w:left="240" w:top="1301" w:right="379" w:bottom="1440" w:gutter="0" w:footer="0" w:header="0"/>
        </w:sectPr>
      </w:pPr>
    </w:p>
    <w:p>
      <w:pPr>
        <w:spacing w:after="0" w:line="37" w:lineRule="exact"/>
        <w:rPr>
          <w:sz w:val="24"/>
          <w:szCs w:val="24"/>
          <w:color w:val="auto"/>
        </w:rPr>
      </w:pPr>
    </w:p>
    <w:tbl>
      <w:tblPr>
        <w:tblLayout w:type="fixed"/>
        <w:tblInd w:w="86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p>
        </w:tc>
        <w:tc>
          <w:tcPr>
            <w:tcW w:w="4300" w:type="dxa"/>
            <w:vAlign w:val="bottom"/>
          </w:tcPr>
          <w:p>
            <w:pPr>
              <w:ind w:left="400"/>
              <w:spacing w:after="0"/>
              <w:rPr>
                <w:sz w:val="20"/>
                <w:szCs w:val="20"/>
                <w:color w:val="auto"/>
              </w:rPr>
            </w:pPr>
            <w:r>
              <w:rPr>
                <w:rFonts w:ascii="Arial" w:cs="Arial" w:eastAsia="Arial" w:hAnsi="Arial"/>
                <w:sz w:val="19"/>
                <w:szCs w:val="19"/>
                <w:color w:val="auto"/>
                <w:w w:val="89"/>
              </w:rPr>
              <w:t>(Exact name of registrant as specified in its charter)</w:t>
            </w:r>
          </w:p>
        </w:tc>
      </w:tr>
      <w:tr>
        <w:trPr>
          <w:trHeight w:val="698"/>
        </w:trPr>
        <w:tc>
          <w:tcPr>
            <w:tcW w:w="2500" w:type="dxa"/>
            <w:vAlign w:val="bottom"/>
          </w:tcPr>
          <w:p>
            <w:pPr>
              <w:jc w:val="center"/>
              <w:ind w:right="350"/>
              <w:spacing w:after="0"/>
              <w:rPr>
                <w:sz w:val="20"/>
                <w:szCs w:val="20"/>
                <w:color w:val="auto"/>
              </w:rPr>
            </w:pPr>
            <w:r>
              <w:rPr>
                <w:rFonts w:ascii="Arial" w:cs="Arial" w:eastAsia="Arial" w:hAnsi="Arial"/>
                <w:sz w:val="18"/>
                <w:szCs w:val="18"/>
                <w:b w:val="1"/>
                <w:bCs w:val="1"/>
                <w:color w:val="auto"/>
                <w:w w:val="98"/>
              </w:rPr>
              <w:t>DELAWARE</w:t>
            </w:r>
          </w:p>
        </w:tc>
        <w:tc>
          <w:tcPr>
            <w:tcW w:w="4300" w:type="dxa"/>
            <w:vAlign w:val="bottom"/>
          </w:tcPr>
          <w:p>
            <w:pPr>
              <w:jc w:val="right"/>
              <w:ind w:right="1428"/>
              <w:spacing w:after="0"/>
              <w:rPr>
                <w:sz w:val="20"/>
                <w:szCs w:val="20"/>
                <w:color w:val="auto"/>
              </w:rPr>
            </w:pPr>
            <w:r>
              <w:rPr>
                <w:rFonts w:ascii="Arial" w:cs="Arial" w:eastAsia="Arial" w:hAnsi="Arial"/>
                <w:sz w:val="18"/>
                <w:szCs w:val="18"/>
                <w:b w:val="1"/>
                <w:bCs w:val="1"/>
                <w:color w:val="auto"/>
              </w:rPr>
              <w:t>001-36156</w:t>
            </w:r>
          </w:p>
        </w:tc>
      </w:tr>
      <w:tr>
        <w:trPr>
          <w:trHeight w:val="310"/>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4300" w:type="dxa"/>
            <w:vAlign w:val="bottom"/>
          </w:tcPr>
          <w:p>
            <w:pPr>
              <w:jc w:val="center"/>
              <w:ind w:left="388"/>
              <w:spacing w:after="0"/>
              <w:rPr>
                <w:sz w:val="20"/>
                <w:szCs w:val="20"/>
                <w:color w:val="auto"/>
              </w:rPr>
            </w:pPr>
            <w:r>
              <w:rPr>
                <w:rFonts w:ascii="Arial" w:cs="Arial" w:eastAsia="Arial" w:hAnsi="Arial"/>
                <w:sz w:val="18"/>
                <w:szCs w:val="18"/>
                <w:color w:val="auto"/>
                <w:w w:val="92"/>
              </w:rPr>
              <w:t>(Commission File Number)</w:t>
            </w:r>
          </w:p>
        </w:tc>
      </w:tr>
      <w:tr>
        <w:trPr>
          <w:trHeight w:val="230"/>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94"/>
              </w:rPr>
              <w:t>incorporation)</w:t>
            </w: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center"/>
        <w:ind w:right="3560"/>
        <w:spacing w:after="0"/>
        <w:rPr>
          <w:sz w:val="20"/>
          <w:szCs w:val="20"/>
          <w:color w:val="auto"/>
        </w:rPr>
      </w:pPr>
      <w:r>
        <w:rPr>
          <w:rFonts w:ascii="Arial" w:cs="Arial" w:eastAsia="Arial" w:hAnsi="Arial"/>
          <w:sz w:val="16"/>
          <w:szCs w:val="16"/>
          <w:b w:val="1"/>
          <w:bCs w:val="1"/>
          <w:color w:val="auto"/>
        </w:rPr>
        <w:t>6000 Shoreline Court, Suite 300, South San Francisco,</w:t>
      </w:r>
    </w:p>
    <w:p>
      <w:pPr>
        <w:spacing w:after="0" w:line="50" w:lineRule="exact"/>
        <w:rPr>
          <w:sz w:val="24"/>
          <w:szCs w:val="24"/>
          <w:color w:val="auto"/>
        </w:rPr>
      </w:pPr>
    </w:p>
    <w:p>
      <w:pPr>
        <w:jc w:val="center"/>
        <w:ind w:right="3560"/>
        <w:spacing w:after="0"/>
        <w:rPr>
          <w:sz w:val="20"/>
          <w:szCs w:val="20"/>
          <w:color w:val="auto"/>
        </w:rPr>
      </w:pPr>
      <w:r>
        <w:rPr>
          <w:rFonts w:ascii="Arial" w:cs="Arial" w:eastAsia="Arial" w:hAnsi="Arial"/>
          <w:sz w:val="18"/>
          <w:szCs w:val="18"/>
          <w:b w:val="1"/>
          <w:bCs w:val="1"/>
          <w:color w:val="auto"/>
        </w:rPr>
        <w:t>California</w:t>
      </w:r>
    </w:p>
    <w:p>
      <w:pPr>
        <w:spacing w:after="0" w:line="76" w:lineRule="exact"/>
        <w:rPr>
          <w:sz w:val="24"/>
          <w:szCs w:val="24"/>
          <w:color w:val="auto"/>
        </w:rPr>
      </w:pPr>
    </w:p>
    <w:p>
      <w:pPr>
        <w:ind w:left="860"/>
        <w:spacing w:after="0"/>
        <w:rPr>
          <w:sz w:val="20"/>
          <w:szCs w:val="20"/>
          <w:color w:val="auto"/>
        </w:rPr>
      </w:pPr>
      <w:r>
        <w:rPr>
          <w:rFonts w:ascii="Arial" w:cs="Arial" w:eastAsia="Arial" w:hAnsi="Arial"/>
          <w:sz w:val="18"/>
          <w:szCs w:val="18"/>
          <w:color w:val="auto"/>
        </w:rPr>
        <w:t>(Address of principal executive offices)</w:t>
      </w:r>
    </w:p>
    <w:p>
      <w:pPr>
        <w:spacing w:after="0" w:line="329" w:lineRule="exact"/>
        <w:rPr>
          <w:sz w:val="24"/>
          <w:szCs w:val="24"/>
          <w:color w:val="auto"/>
        </w:rPr>
      </w:pPr>
    </w:p>
    <w:p>
      <w:pPr>
        <w:jc w:val="center"/>
        <w:ind w:left="32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243-6300</w:t>
      </w:r>
    </w:p>
    <w:p>
      <w:pPr>
        <w:spacing w:after="0" w:line="50"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left="326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20-5455398</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w:t>
      </w:r>
    </w:p>
    <w:p>
      <w:pPr>
        <w:spacing w:after="0" w:line="46" w:lineRule="exact"/>
        <w:rPr>
          <w:sz w:val="24"/>
          <w:szCs w:val="24"/>
          <w:color w:val="auto"/>
        </w:rPr>
      </w:pPr>
    </w:p>
    <w:p>
      <w:pPr>
        <w:ind w:left="880"/>
        <w:spacing w:after="0"/>
        <w:rPr>
          <w:sz w:val="20"/>
          <w:szCs w:val="20"/>
          <w:color w:val="auto"/>
        </w:rPr>
      </w:pPr>
      <w:r>
        <w:rPr>
          <w:rFonts w:ascii="Arial" w:cs="Arial" w:eastAsia="Arial" w:hAnsi="Arial"/>
          <w:sz w:val="18"/>
          <w:szCs w:val="18"/>
          <w:color w:val="auto"/>
        </w:rPr>
        <w:t>No.)</w:t>
      </w:r>
    </w:p>
    <w:p>
      <w:pPr>
        <w:spacing w:after="0" w:line="207"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94080</w:t>
      </w:r>
    </w:p>
    <w:p>
      <w:pPr>
        <w:spacing w:after="0" w:line="310" w:lineRule="exact"/>
        <w:rPr>
          <w:sz w:val="24"/>
          <w:szCs w:val="24"/>
          <w:color w:val="auto"/>
        </w:rPr>
      </w:pPr>
    </w:p>
    <w:p>
      <w:pPr>
        <w:ind w:left="240"/>
        <w:spacing w:after="0"/>
        <w:rPr>
          <w:sz w:val="20"/>
          <w:szCs w:val="20"/>
          <w:color w:val="auto"/>
        </w:rPr>
      </w:pPr>
      <w:r>
        <w:rPr>
          <w:rFonts w:ascii="Arial" w:cs="Arial" w:eastAsia="Arial" w:hAnsi="Arial"/>
          <w:sz w:val="18"/>
          <w:szCs w:val="18"/>
          <w:color w:val="auto"/>
        </w:rPr>
        <w:t>(Zip Code)</w:t>
      </w:r>
    </w:p>
    <w:p>
      <w:pPr>
        <w:spacing w:after="0" w:line="1140" w:lineRule="exact"/>
        <w:rPr>
          <w:sz w:val="24"/>
          <w:szCs w:val="24"/>
          <w:color w:val="auto"/>
        </w:rPr>
      </w:pPr>
    </w:p>
    <w:p>
      <w:pPr>
        <w:sectPr>
          <w:pgSz w:w="11900" w:h="16838" w:orient="portrait"/>
          <w:cols w:equalWidth="0" w:num="2">
            <w:col w:w="8160" w:space="380"/>
            <w:col w:w="2740"/>
          </w:cols>
          <w:pgMar w:left="240" w:top="1301" w:right="379" w:bottom="1440" w:gutter="0" w:footer="0" w:header="0"/>
          <w:type w:val="continuous"/>
        </w:sectPr>
      </w:pPr>
    </w:p>
    <w:p>
      <w:pPr>
        <w:ind w:left="140" w:right="42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4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Title of each class</w:t>
            </w: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Trading Symbols (s)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60" w:type="dxa"/>
            <w:vAlign w:val="bottom"/>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6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gridSpan w:val="2"/>
          </w:tcPr>
          <w:p>
            <w:pPr>
              <w:ind w:left="780"/>
              <w:spacing w:after="0"/>
              <w:rPr>
                <w:sz w:val="20"/>
                <w:szCs w:val="20"/>
                <w:color w:val="auto"/>
              </w:rPr>
            </w:pPr>
            <w:r>
              <w:rPr>
                <w:rFonts w:ascii="Arial" w:cs="Arial" w:eastAsia="Arial" w:hAnsi="Arial"/>
                <w:sz w:val="18"/>
                <w:szCs w:val="18"/>
                <w:color w:val="auto"/>
              </w:rPr>
              <w:t>VCYT</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18" w:lineRule="exact"/>
        <w:rPr>
          <w:sz w:val="24"/>
          <w:szCs w:val="24"/>
          <w:color w:val="auto"/>
        </w:rPr>
      </w:pPr>
    </w:p>
    <w:p>
      <w:pPr>
        <w:ind w:left="160"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6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7"/>
          <w:szCs w:val="17"/>
          <w:color w:val="auto"/>
        </w:rPr>
        <w:t>o</w:t>
      </w:r>
    </w:p>
    <w:p>
      <w:pPr>
        <w:spacing w:after="0" w:line="117" w:lineRule="exact"/>
        <w:rPr>
          <w:sz w:val="24"/>
          <w:szCs w:val="24"/>
          <w:color w:val="auto"/>
        </w:rPr>
      </w:pPr>
    </w:p>
    <w:p>
      <w:pPr>
        <w:ind w:left="160" w:right="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293370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301"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actions were taken at the Annual Meeting of Stockholders of Veracyte, Inc. (the “Company”), held on June 11, 2019:</w:t>
      </w:r>
    </w:p>
    <w:p>
      <w:pPr>
        <w:spacing w:after="0" w:line="225" w:lineRule="exact"/>
        <w:rPr>
          <w:sz w:val="20"/>
          <w:szCs w:val="20"/>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Class III Directors were elected to serve until the 2022 Annual Meeting of Stockholders or until their successors are duly elected and qualified:</w:t>
      </w:r>
    </w:p>
    <w:p>
      <w:pPr>
        <w:spacing w:after="0" w:line="3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b w:val="1"/>
                <w:bCs w:val="1"/>
                <w:color w:val="auto"/>
              </w:rPr>
              <w:t>For</w:t>
            </w:r>
          </w:p>
        </w:tc>
        <w:tc>
          <w:tcPr>
            <w:tcW w:w="1980" w:type="dxa"/>
            <w:vAlign w:val="bottom"/>
            <w:gridSpan w:val="2"/>
          </w:tcPr>
          <w:p>
            <w:pPr>
              <w:ind w:left="460"/>
              <w:spacing w:after="0"/>
              <w:rPr>
                <w:sz w:val="20"/>
                <w:szCs w:val="20"/>
                <w:color w:val="auto"/>
              </w:rPr>
            </w:pPr>
            <w:r>
              <w:rPr>
                <w:rFonts w:ascii="Arial" w:cs="Arial" w:eastAsia="Arial" w:hAnsi="Arial"/>
                <w:sz w:val="18"/>
                <w:szCs w:val="18"/>
                <w:b w:val="1"/>
                <w:bCs w:val="1"/>
                <w:color w:val="auto"/>
              </w:rPr>
              <w:t>Withheld</w:t>
            </w: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46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Karin Eastham</w:t>
            </w:r>
          </w:p>
        </w:tc>
        <w:tc>
          <w:tcPr>
            <w:tcW w:w="1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29,863,452</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974,282</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6,749,748</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1580" w:type="dxa"/>
            <w:vAlign w:val="bottom"/>
          </w:tcPr>
          <w:p>
            <w:pPr>
              <w:ind w:left="660"/>
              <w:spacing w:after="0"/>
              <w:rPr>
                <w:sz w:val="20"/>
                <w:szCs w:val="20"/>
                <w:color w:val="auto"/>
              </w:rPr>
            </w:pPr>
            <w:r>
              <w:rPr>
                <w:rFonts w:ascii="Arial" w:cs="Arial" w:eastAsia="Arial" w:hAnsi="Arial"/>
                <w:sz w:val="18"/>
                <w:szCs w:val="18"/>
                <w:color w:val="auto"/>
                <w:w w:val="99"/>
              </w:rPr>
              <w:t>29,966,994</w:t>
            </w:r>
          </w:p>
        </w:tc>
        <w:tc>
          <w:tcPr>
            <w:tcW w:w="3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870,740</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6,749,748</w:t>
            </w:r>
          </w:p>
        </w:tc>
      </w:tr>
    </w:tbl>
    <w:p>
      <w:pPr>
        <w:spacing w:after="0" w:line="200" w:lineRule="exact"/>
        <w:rPr>
          <w:sz w:val="20"/>
          <w:szCs w:val="20"/>
          <w:color w:val="auto"/>
        </w:rPr>
      </w:pPr>
    </w:p>
    <w:p>
      <w:pPr>
        <w:spacing w:after="0" w:line="245" w:lineRule="exact"/>
        <w:rPr>
          <w:sz w:val="20"/>
          <w:szCs w:val="20"/>
          <w:color w:val="auto"/>
        </w:rPr>
      </w:pPr>
    </w:p>
    <w:p>
      <w:pPr>
        <w:ind w:left="820" w:right="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2019 was approved:</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60" w:type="dxa"/>
            <w:vAlign w:val="bottom"/>
            <w:gridSpan w:val="2"/>
          </w:tcPr>
          <w:p>
            <w:pPr>
              <w:ind w:left="1520"/>
              <w:spacing w:after="0"/>
              <w:rPr>
                <w:sz w:val="20"/>
                <w:szCs w:val="20"/>
                <w:color w:val="auto"/>
              </w:rPr>
            </w:pPr>
            <w:r>
              <w:rPr>
                <w:rFonts w:ascii="Arial" w:cs="Arial" w:eastAsia="Arial" w:hAnsi="Arial"/>
                <w:sz w:val="18"/>
                <w:szCs w:val="18"/>
                <w:b w:val="1"/>
                <w:bCs w:val="1"/>
                <w:color w:val="auto"/>
              </w:rPr>
              <w:t>For</w:t>
            </w:r>
          </w:p>
        </w:tc>
        <w:tc>
          <w:tcPr>
            <w:tcW w:w="3520" w:type="dxa"/>
            <w:vAlign w:val="bottom"/>
            <w:gridSpan w:val="2"/>
          </w:tcPr>
          <w:p>
            <w:pPr>
              <w:ind w:left="1300"/>
              <w:spacing w:after="0"/>
              <w:rPr>
                <w:sz w:val="20"/>
                <w:szCs w:val="20"/>
                <w:color w:val="auto"/>
              </w:rPr>
            </w:pPr>
            <w:r>
              <w:rPr>
                <w:rFonts w:ascii="Arial" w:cs="Arial" w:eastAsia="Arial" w:hAnsi="Arial"/>
                <w:sz w:val="18"/>
                <w:szCs w:val="18"/>
                <w:b w:val="1"/>
                <w:bCs w:val="1"/>
                <w:color w:val="auto"/>
              </w:rPr>
              <w:t>Against</w:t>
            </w:r>
          </w:p>
        </w:tc>
        <w:tc>
          <w:tcPr>
            <w:tcW w:w="3200" w:type="dxa"/>
            <w:vAlign w:val="bottom"/>
          </w:tcPr>
          <w:p>
            <w:pPr>
              <w:jc w:val="right"/>
              <w:ind w:right="1210"/>
              <w:spacing w:after="0"/>
              <w:rPr>
                <w:sz w:val="20"/>
                <w:szCs w:val="20"/>
                <w:color w:val="auto"/>
              </w:rPr>
            </w:pPr>
            <w:r>
              <w:rPr>
                <w:rFonts w:ascii="Arial" w:cs="Arial" w:eastAsia="Arial" w:hAnsi="Arial"/>
                <w:sz w:val="18"/>
                <w:szCs w:val="18"/>
                <w:b w:val="1"/>
                <w:bCs w:val="1"/>
                <w:color w:val="auto"/>
              </w:rPr>
              <w:t>Abstain</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3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37,567,023</w:t>
            </w:r>
          </w:p>
        </w:tc>
        <w:tc>
          <w:tcPr>
            <w:tcW w:w="340" w:type="dxa"/>
            <w:vAlign w:val="bottom"/>
            <w:shd w:val="clear" w:color="auto" w:fill="CCEEFF"/>
          </w:tcPr>
          <w:p>
            <w:pPr>
              <w:spacing w:after="0"/>
              <w:rPr>
                <w:sz w:val="20"/>
                <w:szCs w:val="20"/>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320" w:type="dxa"/>
            <w:vAlign w:val="bottom"/>
            <w:shd w:val="clear" w:color="auto" w:fill="CCEEFF"/>
          </w:tcPr>
          <w:p>
            <w:pPr>
              <w:spacing w:after="0"/>
              <w:rPr>
                <w:sz w:val="20"/>
                <w:szCs w:val="20"/>
                <w:color w:val="auto"/>
              </w:rPr>
            </w:pPr>
          </w:p>
        </w:tc>
        <w:tc>
          <w:tcPr>
            <w:tcW w:w="3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15,875</w:t>
            </w:r>
          </w:p>
        </w:tc>
      </w:tr>
      <w:tr>
        <w:trPr>
          <w:trHeight w:val="27"/>
        </w:trPr>
        <w:tc>
          <w:tcPr>
            <w:tcW w:w="3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on a non-binding advisory basis, of the compensation of our named executive officers:</w:t>
      </w:r>
    </w:p>
    <w:p>
      <w:pPr>
        <w:spacing w:after="0" w:line="3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80" w:type="dxa"/>
            <w:vAlign w:val="bottom"/>
            <w:gridSpan w:val="2"/>
          </w:tcPr>
          <w:p>
            <w:pPr>
              <w:ind w:left="1180"/>
              <w:spacing w:after="0"/>
              <w:rPr>
                <w:sz w:val="20"/>
                <w:szCs w:val="20"/>
                <w:color w:val="auto"/>
              </w:rPr>
            </w:pPr>
            <w:r>
              <w:rPr>
                <w:rFonts w:ascii="Arial" w:cs="Arial" w:eastAsia="Arial" w:hAnsi="Arial"/>
                <w:sz w:val="18"/>
                <w:szCs w:val="18"/>
                <w:b w:val="1"/>
                <w:bCs w:val="1"/>
                <w:color w:val="auto"/>
              </w:rPr>
              <w:t>For</w:t>
            </w:r>
          </w:p>
        </w:tc>
        <w:tc>
          <w:tcPr>
            <w:tcW w:w="2680" w:type="dxa"/>
            <w:vAlign w:val="bottom"/>
            <w:gridSpan w:val="2"/>
          </w:tcPr>
          <w:p>
            <w:pPr>
              <w:ind w:left="940"/>
              <w:spacing w:after="0"/>
              <w:rPr>
                <w:sz w:val="20"/>
                <w:szCs w:val="20"/>
                <w:color w:val="auto"/>
              </w:rPr>
            </w:pPr>
            <w:r>
              <w:rPr>
                <w:rFonts w:ascii="Arial" w:cs="Arial" w:eastAsia="Arial" w:hAnsi="Arial"/>
                <w:sz w:val="18"/>
                <w:szCs w:val="18"/>
                <w:b w:val="1"/>
                <w:bCs w:val="1"/>
                <w:color w:val="auto"/>
              </w:rPr>
              <w:t>Against</w:t>
            </w:r>
          </w:p>
        </w:tc>
        <w:tc>
          <w:tcPr>
            <w:tcW w:w="2680" w:type="dxa"/>
            <w:vAlign w:val="bottom"/>
            <w:gridSpan w:val="2"/>
          </w:tcPr>
          <w:p>
            <w:pPr>
              <w:ind w:left="920"/>
              <w:spacing w:after="0"/>
              <w:rPr>
                <w:sz w:val="20"/>
                <w:szCs w:val="20"/>
                <w:color w:val="auto"/>
              </w:rPr>
            </w:pPr>
            <w:r>
              <w:rPr>
                <w:rFonts w:ascii="Arial" w:cs="Arial" w:eastAsia="Arial" w:hAnsi="Arial"/>
                <w:sz w:val="18"/>
                <w:szCs w:val="18"/>
                <w:b w:val="1"/>
                <w:bCs w:val="1"/>
                <w:color w:val="auto"/>
              </w:rPr>
              <w:t>Abstain</w:t>
            </w:r>
          </w:p>
        </w:tc>
        <w:tc>
          <w:tcPr>
            <w:tcW w:w="2420" w:type="dxa"/>
            <w:vAlign w:val="bottom"/>
          </w:tcPr>
          <w:p>
            <w:pPr>
              <w:jc w:val="right"/>
              <w:ind w:right="43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2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29,216,453</w:t>
            </w:r>
          </w:p>
        </w:tc>
        <w:tc>
          <w:tcPr>
            <w:tcW w:w="220" w:type="dxa"/>
            <w:vAlign w:val="bottom"/>
            <w:shd w:val="clear" w:color="auto" w:fill="CCEEFF"/>
          </w:tcPr>
          <w:p>
            <w:pPr>
              <w:spacing w:after="0"/>
              <w:rPr>
                <w:sz w:val="20"/>
                <w:szCs w:val="20"/>
                <w:color w:val="auto"/>
              </w:rPr>
            </w:pPr>
          </w:p>
        </w:tc>
        <w:tc>
          <w:tcPr>
            <w:tcW w:w="2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1,605,736</w:t>
            </w:r>
          </w:p>
        </w:tc>
        <w:tc>
          <w:tcPr>
            <w:tcW w:w="220" w:type="dxa"/>
            <w:vAlign w:val="bottom"/>
            <w:shd w:val="clear" w:color="auto" w:fill="CCEEFF"/>
          </w:tcPr>
          <w:p>
            <w:pPr>
              <w:spacing w:after="0"/>
              <w:rPr>
                <w:sz w:val="20"/>
                <w:szCs w:val="20"/>
                <w:color w:val="auto"/>
              </w:rPr>
            </w:pPr>
          </w:p>
        </w:tc>
        <w:tc>
          <w:tcPr>
            <w:tcW w:w="2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15,545</w:t>
            </w:r>
          </w:p>
        </w:tc>
        <w:tc>
          <w:tcPr>
            <w:tcW w:w="220" w:type="dxa"/>
            <w:vAlign w:val="bottom"/>
            <w:shd w:val="clear" w:color="auto" w:fill="CCEEFF"/>
          </w:tcPr>
          <w:p>
            <w:pPr>
              <w:spacing w:after="0"/>
              <w:rPr>
                <w:sz w:val="20"/>
                <w:szCs w:val="20"/>
                <w:color w:val="auto"/>
              </w:rPr>
            </w:pPr>
          </w:p>
        </w:tc>
        <w:tc>
          <w:tcPr>
            <w:tcW w:w="2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6,749,748</w:t>
            </w:r>
          </w:p>
        </w:tc>
      </w:tr>
      <w:tr>
        <w:trPr>
          <w:trHeight w:val="27"/>
        </w:trPr>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820" w:hanging="488"/>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selection, on a non-binding advisory basis, whether future advisory votes on the compensation paid by us to our named executive officers should be held every one, two or three years:</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80" w:type="dxa"/>
            <w:vAlign w:val="bottom"/>
            <w:gridSpan w:val="2"/>
          </w:tcPr>
          <w:p>
            <w:pPr>
              <w:ind w:left="960"/>
              <w:spacing w:after="0"/>
              <w:rPr>
                <w:sz w:val="20"/>
                <w:szCs w:val="20"/>
                <w:color w:val="auto"/>
              </w:rPr>
            </w:pPr>
            <w:r>
              <w:rPr>
                <w:rFonts w:ascii="Arial" w:cs="Arial" w:eastAsia="Arial" w:hAnsi="Arial"/>
                <w:sz w:val="18"/>
                <w:szCs w:val="18"/>
                <w:b w:val="1"/>
                <w:bCs w:val="1"/>
                <w:color w:val="auto"/>
              </w:rPr>
              <w:t>One Year</w:t>
            </w:r>
          </w:p>
        </w:tc>
        <w:tc>
          <w:tcPr>
            <w:tcW w:w="2680" w:type="dxa"/>
            <w:vAlign w:val="bottom"/>
            <w:gridSpan w:val="2"/>
          </w:tcPr>
          <w:p>
            <w:pPr>
              <w:ind w:left="840"/>
              <w:spacing w:after="0"/>
              <w:rPr>
                <w:sz w:val="20"/>
                <w:szCs w:val="20"/>
                <w:color w:val="auto"/>
              </w:rPr>
            </w:pPr>
            <w:r>
              <w:rPr>
                <w:rFonts w:ascii="Arial" w:cs="Arial" w:eastAsia="Arial" w:hAnsi="Arial"/>
                <w:sz w:val="18"/>
                <w:szCs w:val="18"/>
                <w:b w:val="1"/>
                <w:bCs w:val="1"/>
                <w:color w:val="auto"/>
              </w:rPr>
              <w:t>Two Years</w:t>
            </w:r>
          </w:p>
        </w:tc>
        <w:tc>
          <w:tcPr>
            <w:tcW w:w="2680" w:type="dxa"/>
            <w:vAlign w:val="bottom"/>
            <w:gridSpan w:val="2"/>
          </w:tcPr>
          <w:p>
            <w:pPr>
              <w:ind w:left="760"/>
              <w:spacing w:after="0"/>
              <w:rPr>
                <w:sz w:val="20"/>
                <w:szCs w:val="20"/>
                <w:color w:val="auto"/>
              </w:rPr>
            </w:pPr>
            <w:r>
              <w:rPr>
                <w:rFonts w:ascii="Arial" w:cs="Arial" w:eastAsia="Arial" w:hAnsi="Arial"/>
                <w:sz w:val="18"/>
                <w:szCs w:val="18"/>
                <w:b w:val="1"/>
                <w:bCs w:val="1"/>
                <w:color w:val="auto"/>
              </w:rPr>
              <w:t>Three Years</w:t>
            </w:r>
          </w:p>
        </w:tc>
        <w:tc>
          <w:tcPr>
            <w:tcW w:w="2420" w:type="dxa"/>
            <w:vAlign w:val="bottom"/>
          </w:tcPr>
          <w:p>
            <w:pPr>
              <w:jc w:val="right"/>
              <w:ind w:right="830"/>
              <w:spacing w:after="0"/>
              <w:rPr>
                <w:sz w:val="20"/>
                <w:szCs w:val="20"/>
                <w:color w:val="auto"/>
              </w:rPr>
            </w:pPr>
            <w:r>
              <w:rPr>
                <w:rFonts w:ascii="Arial" w:cs="Arial" w:eastAsia="Arial" w:hAnsi="Arial"/>
                <w:sz w:val="18"/>
                <w:szCs w:val="18"/>
                <w:b w:val="1"/>
                <w:bCs w:val="1"/>
                <w:color w:val="auto"/>
              </w:rPr>
              <w:t>Abstain</w:t>
            </w:r>
          </w:p>
        </w:tc>
      </w:tr>
      <w:tr>
        <w:trPr>
          <w:trHeight w:val="27"/>
        </w:trPr>
        <w:tc>
          <w:tcPr>
            <w:tcW w:w="2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29,896,461</w:t>
            </w:r>
          </w:p>
        </w:tc>
        <w:tc>
          <w:tcPr>
            <w:tcW w:w="220" w:type="dxa"/>
            <w:vAlign w:val="bottom"/>
            <w:shd w:val="clear" w:color="auto" w:fill="CCEEFF"/>
          </w:tcPr>
          <w:p>
            <w:pPr>
              <w:spacing w:after="0"/>
              <w:rPr>
                <w:sz w:val="20"/>
                <w:szCs w:val="20"/>
                <w:color w:val="auto"/>
              </w:rPr>
            </w:pPr>
          </w:p>
        </w:tc>
        <w:tc>
          <w:tcPr>
            <w:tcW w:w="2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155,686</w:t>
            </w:r>
          </w:p>
        </w:tc>
        <w:tc>
          <w:tcPr>
            <w:tcW w:w="220" w:type="dxa"/>
            <w:vAlign w:val="bottom"/>
            <w:shd w:val="clear" w:color="auto" w:fill="CCEEFF"/>
          </w:tcPr>
          <w:p>
            <w:pPr>
              <w:spacing w:after="0"/>
              <w:rPr>
                <w:sz w:val="20"/>
                <w:szCs w:val="20"/>
                <w:color w:val="auto"/>
              </w:rPr>
            </w:pPr>
          </w:p>
        </w:tc>
        <w:tc>
          <w:tcPr>
            <w:tcW w:w="2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772,659</w:t>
            </w:r>
          </w:p>
        </w:tc>
        <w:tc>
          <w:tcPr>
            <w:tcW w:w="220" w:type="dxa"/>
            <w:vAlign w:val="bottom"/>
            <w:shd w:val="clear" w:color="auto" w:fill="CCEEFF"/>
          </w:tcPr>
          <w:p>
            <w:pPr>
              <w:spacing w:after="0"/>
              <w:rPr>
                <w:sz w:val="20"/>
                <w:szCs w:val="20"/>
                <w:color w:val="auto"/>
              </w:rPr>
            </w:pPr>
          </w:p>
        </w:tc>
        <w:tc>
          <w:tcPr>
            <w:tcW w:w="2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12,928</w:t>
            </w:r>
          </w:p>
        </w:tc>
      </w:tr>
      <w:tr>
        <w:trPr>
          <w:trHeight w:val="27"/>
        </w:trPr>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June 11, 2019</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2019-12-01T19:07:41Z</dcterms:created>
  <dcterms:modified xsi:type="dcterms:W3CDTF">2019-12-01T19:07:41Z</dcterms:modified>
</cp:coreProperties>
</file>