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001-36156</w:t>
            </w:r>
          </w:p>
        </w:tc>
        <w:tc>
          <w:tcPr>
            <w:tcW w:w="35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3860" w:type="dxa"/>
            <w:vAlign w:val="bottom"/>
          </w:tcPr>
          <w:p>
            <w:pPr>
              <w:jc w:val="center"/>
              <w:ind w:left="1750"/>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5"/>
              </w:rPr>
              <w:t>of incorporation)</w:t>
            </w:r>
          </w:p>
        </w:tc>
        <w:tc>
          <w:tcPr>
            <w:tcW w:w="3860" w:type="dxa"/>
            <w:vAlign w:val="bottom"/>
          </w:tcPr>
          <w:p>
            <w:pPr>
              <w:jc w:val="center"/>
              <w:ind w:left="1750"/>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80" w:type="dxa"/>
            <w:vAlign w:val="bottom"/>
          </w:tcPr>
          <w:p>
            <w:pPr>
              <w:spacing w:after="0"/>
              <w:rPr>
                <w:sz w:val="24"/>
                <w:szCs w:val="24"/>
                <w:color w:val="auto"/>
              </w:rPr>
            </w:pPr>
          </w:p>
        </w:tc>
        <w:tc>
          <w:tcPr>
            <w:tcW w:w="738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0"/>
              </w:rPr>
              <w:t>6000 Shoreline Court, Suite 300, South San Francisco, California 94080</w:t>
            </w:r>
          </w:p>
        </w:tc>
      </w:tr>
      <w:tr>
        <w:trPr>
          <w:trHeight w:val="230"/>
        </w:trPr>
        <w:tc>
          <w:tcPr>
            <w:tcW w:w="1980" w:type="dxa"/>
            <w:vAlign w:val="bottom"/>
          </w:tcPr>
          <w:p>
            <w:pPr>
              <w:spacing w:after="0"/>
              <w:rPr>
                <w:sz w:val="20"/>
                <w:szCs w:val="20"/>
                <w:color w:val="auto"/>
              </w:rPr>
            </w:pPr>
          </w:p>
        </w:tc>
        <w:tc>
          <w:tcPr>
            <w:tcW w:w="3860" w:type="dxa"/>
            <w:vAlign w:val="bottom"/>
          </w:tcPr>
          <w:p>
            <w:pPr>
              <w:ind w:left="960"/>
              <w:spacing w:after="0"/>
              <w:rPr>
                <w:sz w:val="20"/>
                <w:szCs w:val="20"/>
                <w:color w:val="auto"/>
              </w:rPr>
            </w:pPr>
            <w:r>
              <w:rPr>
                <w:rFonts w:ascii="Arial" w:cs="Arial" w:eastAsia="Arial" w:hAnsi="Arial"/>
                <w:sz w:val="18"/>
                <w:szCs w:val="18"/>
                <w:color w:val="auto"/>
                <w:w w:val="93"/>
              </w:rPr>
              <w:t>(Address of principal executive offices)</w:t>
            </w:r>
          </w:p>
        </w:tc>
        <w:tc>
          <w:tcPr>
            <w:tcW w:w="3520" w:type="dxa"/>
            <w:vAlign w:val="bottom"/>
          </w:tcPr>
          <w:p>
            <w:pPr>
              <w:ind w:left="4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On November 1, 2016, Veracyte, Inc. (the “Company”) entered into an underwriting agreement (the “Underwriting Agreement”) with Leerink Partners LLC, as representative of the several underwriters named therein (collectively, the “Underwriters”), relating to the public offering of 5,000,000 shares of the Company’s common stock, par value $0.001 per share (“Common Stock”), at a public offering price of $6.00 per share. The offering is scheduled to close on or about November 7, 2016, subject to customary closing conditions. The Company has granted the Underwriters an option, exercisable within 30 days from the date of the Underwriting Agreement, to purchase up to 750,000 additional shares of Common Stock. The offering is being made pursuant to the Company’s effective shelf registration statement on Form S-3 (File No. 333-205204) previously filed with the Securities and Exchange Commission, including the related prospectus dated July 10, 2015, as supplemented by the prospectus supplement dated November 1, 2016. The Underwriting Agreement is filed as Exhibit 1.1 hereto and is incorporated by reference herein. The description of the Underwriting Agreement in this report is a summary and is qualified in its entirety by the terms of the Underwriting Agreement.</w:t>
      </w:r>
    </w:p>
    <w:p>
      <w:pPr>
        <w:spacing w:after="0" w:line="182"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On November 2, 2016, the Company issued a press release announcing the pricing of the public offering. A copy of the press release is filed as Exhibit 99.1 to this report and is incorporated by reference herein.</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right="200" w:hanging="648"/>
        <w:spacing w:after="0" w:line="277" w:lineRule="auto"/>
        <w:rPr>
          <w:rFonts w:ascii="Arial" w:cs="Arial" w:eastAsia="Arial" w:hAnsi="Arial"/>
          <w:sz w:val="18"/>
          <w:szCs w:val="18"/>
          <w:color w:val="auto"/>
        </w:rPr>
      </w:pPr>
      <w:r>
        <w:rPr>
          <w:rFonts w:ascii="Arial" w:cs="Arial" w:eastAsia="Arial" w:hAnsi="Arial"/>
          <w:sz w:val="18"/>
          <w:szCs w:val="18"/>
          <w:color w:val="auto"/>
        </w:rPr>
        <w:t>1.1Underwriting Agreement dated as of November 1, 2016 between the Company and Leerink Partners LLC, as representative of the several Underwriters.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Opinion of Pillsbury Winthrop Shaw Pittman LLP.</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23.1    Consent of Pillsbury Winthrop Shaw Pittman LLP (included in Exhibit 5.1).</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99.1    Press Release dated November 2, 2016.</w:t>
      </w:r>
    </w:p>
    <w:p>
      <w:pPr>
        <w:sectPr>
          <w:pgSz w:w="11900" w:h="16838" w:orient="portrait"/>
          <w:cols w:equalWidth="0" w:num="1">
            <w:col w:w="11420"/>
          </w:cols>
          <w:pgMar w:left="240" w:top="544"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w:t>
      </w:r>
      <w:r>
        <w:rPr>
          <w:rFonts w:ascii="Arial" w:cs="Arial" w:eastAsia="Arial" w:hAnsi="Arial"/>
          <w:sz w:val="17"/>
          <w:szCs w:val="17"/>
          <w:b w:val="1"/>
          <w:bCs w:val="1"/>
          <w:color w:val="auto"/>
        </w:rPr>
        <w:t>N</w:t>
      </w:r>
      <w:r>
        <w:rPr>
          <w:rFonts w:ascii="Arial" w:cs="Arial" w:eastAsia="Arial" w:hAnsi="Arial"/>
          <w:sz w:val="18"/>
          <w:szCs w:val="18"/>
          <w:b w:val="1"/>
          <w:bCs w:val="1"/>
          <w:color w:val="auto"/>
        </w:rPr>
        <w:t>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November 2,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80" w:type="dxa"/>
            <w:vAlign w:val="bottom"/>
          </w:tcPr>
          <w:p>
            <w:pPr>
              <w:ind w:left="44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180" w:type="dxa"/>
            <w:vAlign w:val="bottom"/>
          </w:tcPr>
          <w:p>
            <w:pPr>
              <w:ind w:left="446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80" w:type="dxa"/>
            <w:vAlign w:val="bottom"/>
          </w:tcPr>
          <w:p>
            <w:pPr>
              <w:ind w:left="446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60" w:type="dxa"/>
            <w:vAlign w:val="bottom"/>
            <w:gridSpan w:val="2"/>
          </w:tcPr>
          <w:p>
            <w:pPr>
              <w:jc w:val="center"/>
              <w:ind w:left="3910"/>
              <w:spacing w:after="0"/>
              <w:rPr>
                <w:sz w:val="20"/>
                <w:szCs w:val="20"/>
                <w:color w:val="auto"/>
              </w:rPr>
            </w:pPr>
            <w:r>
              <w:rPr>
                <w:rFonts w:ascii="Arial" w:cs="Arial" w:eastAsia="Arial" w:hAnsi="Arial"/>
                <w:sz w:val="18"/>
                <w:szCs w:val="18"/>
                <w:color w:val="auto"/>
                <w:w w:val="99"/>
              </w:rPr>
              <w:t>3</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jc w:val="center"/>
              <w:ind w:left="3653"/>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160" w:type="dxa"/>
            <w:vAlign w:val="bottom"/>
            <w:gridSpan w:val="2"/>
            <w:vMerge w:val="restart"/>
          </w:tcPr>
          <w:p>
            <w:pPr>
              <w:ind w:left="448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10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w:t>
            </w:r>
          </w:p>
        </w:tc>
        <w:tc>
          <w:tcPr>
            <w:tcW w:w="280" w:type="dxa"/>
            <w:vAlign w:val="bottom"/>
          </w:tcPr>
          <w:p>
            <w:pPr>
              <w:spacing w:after="0"/>
              <w:rPr>
                <w:sz w:val="16"/>
                <w:szCs w:val="16"/>
                <w:color w:val="auto"/>
              </w:rPr>
            </w:pPr>
          </w:p>
        </w:tc>
        <w:tc>
          <w:tcPr>
            <w:tcW w:w="10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Underwriting Agreement dated as of November 1, 2016 between the Company and Leerink Partners LLC, as representative of the several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underwriters.</w:t>
            </w: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Opinion of Pillsbury Winthrop Shaw Pittman LLP.</w:t>
            </w: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10440" w:type="dxa"/>
            <w:vAlign w:val="bottom"/>
            <w:gridSpan w:val="3"/>
          </w:tcPr>
          <w:p>
            <w:pPr>
              <w:ind w:left="280"/>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Press Release dated November 2, 2016.</w:t>
            </w:r>
          </w:p>
        </w:tc>
        <w:tc>
          <w:tcPr>
            <w:tcW w:w="4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60" w:type="dxa"/>
            <w:vAlign w:val="bottom"/>
            <w:gridSpan w:val="2"/>
          </w:tcPr>
          <w:p>
            <w:pPr>
              <w:jc w:val="center"/>
              <w:ind w:left="3910"/>
              <w:spacing w:after="0"/>
              <w:rPr>
                <w:sz w:val="20"/>
                <w:szCs w:val="20"/>
                <w:color w:val="auto"/>
              </w:rPr>
            </w:pPr>
            <w:r>
              <w:rPr>
                <w:rFonts w:ascii="Arial" w:cs="Arial" w:eastAsia="Arial" w:hAnsi="Arial"/>
                <w:sz w:val="18"/>
                <w:szCs w:val="18"/>
                <w:color w:val="auto"/>
                <w:w w:val="99"/>
              </w:rPr>
              <w:t>4</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-1915795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-1915795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Draft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 Shares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November 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Veracyte,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confirms its agreement with Leerink Partners LLC (“</w:t>
      </w:r>
      <w:r>
        <w:rPr>
          <w:rFonts w:ascii="Arial" w:cs="Arial" w:eastAsia="Arial" w:hAnsi="Arial"/>
          <w:sz w:val="17"/>
          <w:szCs w:val="17"/>
          <w:u w:val="single" w:color="auto"/>
          <w:color w:val="auto"/>
        </w:rPr>
        <w:t>Leerink”)</w:t>
      </w:r>
      <w:r>
        <w:rPr>
          <w:rFonts w:ascii="Arial" w:cs="Arial" w:eastAsia="Arial" w:hAnsi="Arial"/>
          <w:sz w:val="17"/>
          <w:szCs w:val="17"/>
          <w:color w:val="auto"/>
        </w:rPr>
        <w:t xml:space="preserve">, and each of the other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which term shall also include any underwriter substituted as hereinafter provided in Section 10 hereof), for which Leerink is acting as representative (in such capacity, the “</w:t>
      </w:r>
      <w:r>
        <w:rPr>
          <w:rFonts w:ascii="Arial" w:cs="Arial" w:eastAsia="Arial" w:hAnsi="Arial"/>
          <w:sz w:val="17"/>
          <w:szCs w:val="17"/>
          <w:u w:val="single" w:color="auto"/>
          <w:color w:val="auto"/>
        </w:rPr>
        <w:t>Representative</w:t>
      </w:r>
      <w:r>
        <w:rPr>
          <w:rFonts w:ascii="Arial" w:cs="Arial" w:eastAsia="Arial" w:hAnsi="Arial"/>
          <w:sz w:val="17"/>
          <w:szCs w:val="17"/>
          <w:color w:val="auto"/>
        </w:rPr>
        <w:t>”), with respect to (i) the sale by the Company and the purchase by the Underwriters, acting severally and not jointly, of the respective numbers of shares of common stock, par value $0.001 per share, of the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and (ii) the grant by the Company to the Underwriters, acting severally and not jointly, of the option described in Section 2(b) hereof to purchase all or any part of 750,000 additional shares of Common Stock. The aforesaid 5,000,000 shares of Common Stock (the “</w:t>
      </w:r>
      <w:r>
        <w:rPr>
          <w:rFonts w:ascii="Arial" w:cs="Arial" w:eastAsia="Arial" w:hAnsi="Arial"/>
          <w:sz w:val="17"/>
          <w:szCs w:val="17"/>
          <w:u w:val="single" w:color="auto"/>
          <w:color w:val="auto"/>
        </w:rPr>
        <w:t>Initial Securities</w:t>
      </w:r>
      <w:r>
        <w:rPr>
          <w:rFonts w:ascii="Arial" w:cs="Arial" w:eastAsia="Arial" w:hAnsi="Arial"/>
          <w:sz w:val="17"/>
          <w:szCs w:val="17"/>
          <w:color w:val="auto"/>
        </w:rPr>
        <w:t>”) to be purchased by the Underwriters and all or any part of the 750,000 shares of Common Stock subject to the option described in Section 2(b) hereof (the “</w:t>
      </w:r>
      <w:r>
        <w:rPr>
          <w:rFonts w:ascii="Arial" w:cs="Arial" w:eastAsia="Arial" w:hAnsi="Arial"/>
          <w:sz w:val="17"/>
          <w:szCs w:val="17"/>
          <w:u w:val="single" w:color="auto"/>
          <w:color w:val="auto"/>
        </w:rPr>
        <w:t>Option Securities</w:t>
      </w:r>
      <w:r>
        <w:rPr>
          <w:rFonts w:ascii="Arial" w:cs="Arial" w:eastAsia="Arial" w:hAnsi="Arial"/>
          <w:sz w:val="17"/>
          <w:szCs w:val="17"/>
          <w:color w:val="auto"/>
        </w:rPr>
        <w:t>”) are herein called,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 deems advisable after this Underwriting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has been executed and delivered.</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registration statement on Form S-3 (No. 333-205204), including the related preliminary prospectus or prospectuses, covering the registration of the sale of the Securities under the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Promptly after execution and delivery of this Agreement, the Company will prepare and file a prospectus in accordance with the provisions of Rule 430A, 430B or 430C (collectively, “</w:t>
      </w:r>
      <w:r>
        <w:rPr>
          <w:rFonts w:ascii="Arial" w:cs="Arial" w:eastAsia="Arial" w:hAnsi="Arial"/>
          <w:sz w:val="17"/>
          <w:szCs w:val="17"/>
          <w:u w:val="single" w:color="auto"/>
          <w:color w:val="auto"/>
        </w:rPr>
        <w:t>Rule 430</w:t>
      </w:r>
      <w:r>
        <w:rPr>
          <w:rFonts w:ascii="Arial" w:cs="Arial" w:eastAsia="Arial" w:hAnsi="Arial"/>
          <w:sz w:val="17"/>
          <w:szCs w:val="17"/>
          <w:color w:val="auto"/>
        </w:rPr>
        <w:t>”) of the rules and regulations of the Commission under the 1933 Act (the “</w:t>
      </w:r>
      <w:r>
        <w:rPr>
          <w:rFonts w:ascii="Arial" w:cs="Arial" w:eastAsia="Arial" w:hAnsi="Arial"/>
          <w:sz w:val="17"/>
          <w:szCs w:val="17"/>
          <w:u w:val="single" w:color="auto"/>
          <w:color w:val="auto"/>
        </w:rPr>
        <w:t>1933 Act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Regulations</w:t>
      </w:r>
      <w:r>
        <w:rPr>
          <w:rFonts w:ascii="Arial" w:cs="Arial" w:eastAsia="Arial" w:hAnsi="Arial"/>
          <w:sz w:val="17"/>
          <w:szCs w:val="17"/>
          <w:color w:val="auto"/>
        </w:rPr>
        <w:t>”) and Rule 424(b) (“</w:t>
      </w:r>
      <w:r>
        <w:rPr>
          <w:rFonts w:ascii="Arial" w:cs="Arial" w:eastAsia="Arial" w:hAnsi="Arial"/>
          <w:sz w:val="17"/>
          <w:szCs w:val="17"/>
          <w:u w:val="single" w:color="auto"/>
          <w:color w:val="auto"/>
        </w:rPr>
        <w:t>Rule 424(b)</w:t>
      </w:r>
      <w:r>
        <w:rPr>
          <w:rFonts w:ascii="Arial" w:cs="Arial" w:eastAsia="Arial" w:hAnsi="Arial"/>
          <w:sz w:val="17"/>
          <w:szCs w:val="17"/>
          <w:color w:val="auto"/>
        </w:rPr>
        <w:t>”) of the 1933 Act Regulations. The information included or incorporated by reference in such prospectus that was omitted from such registration statement at the time it became effective but that is deemed to be part of such registration statement at the time it became effective pursuant to Rule 430 is herein called the “</w:t>
      </w:r>
      <w:r>
        <w:rPr>
          <w:rFonts w:ascii="Arial" w:cs="Arial" w:eastAsia="Arial" w:hAnsi="Arial"/>
          <w:sz w:val="17"/>
          <w:szCs w:val="17"/>
          <w:u w:val="single" w:color="auto"/>
          <w:color w:val="auto"/>
        </w:rPr>
        <w:t>Rule 430 Information</w:t>
      </w:r>
      <w:r>
        <w:rPr>
          <w:rFonts w:ascii="Arial" w:cs="Arial" w:eastAsia="Arial" w:hAnsi="Arial"/>
          <w:sz w:val="17"/>
          <w:szCs w:val="17"/>
          <w:color w:val="auto"/>
        </w:rPr>
        <w:t>.” Such registration statement, including the amendments thereto, the exhibits thereto and any schedules thereto at the time it became effective, and including the Rule 430 Information, is herein called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Any registration statement filed pursuant to Rule 462(b) of the 1933 Act Regulations is herein called the “</w:t>
      </w:r>
      <w:r>
        <w:rPr>
          <w:rFonts w:ascii="Arial" w:cs="Arial" w:eastAsia="Arial" w:hAnsi="Arial"/>
          <w:sz w:val="17"/>
          <w:szCs w:val="17"/>
          <w:u w:val="single" w:color="auto"/>
          <w:color w:val="auto"/>
        </w:rPr>
        <w:t>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462(b) Registration Statement</w:t>
      </w:r>
      <w:r>
        <w:rPr>
          <w:rFonts w:ascii="Arial" w:cs="Arial" w:eastAsia="Arial" w:hAnsi="Arial"/>
          <w:sz w:val="17"/>
          <w:szCs w:val="17"/>
          <w:color w:val="auto"/>
        </w:rPr>
        <w:t>” and, after such filing, the term “Registration Statement” shall include the Rule 462(b) Registration Statement. Each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prospectus used prior to the effectiveness of the Registration Statement, and each prospectus that omitted the Rule 430 Information that was used after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effectiveness and prior to the execution and delivery of this Agreement is herein called a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The final prospectus, in the form first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furnished to the Underwriters for use in connection with the offering of the Securities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For purposes of this Agreement,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references to the Registration Statement, any preliminary prospectus, the Prospectus or any amendment or supplement to any of the foregoing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deemed to include the copy filed with the Commission pursuant to its Electronic Data Gathering, Analysis and Retrieval system or any successor system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EDGAR</w:t>
      </w:r>
      <w:r>
        <w:rPr>
          <w:rFonts w:ascii="Arial" w:cs="Arial" w:eastAsia="Arial" w:hAnsi="Arial"/>
          <w:sz w:val="16"/>
          <w:szCs w:val="16"/>
          <w:color w:val="auto"/>
        </w:rPr>
        <w:t>”); all references to the Registration Statement, any preliminary prospectus or the Prospectus shall be deemed to refer to and include the documents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therein pursuant to Item 12 of Form S-3 under the 1933 Act, as of the effective date of the Registration Statement or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preliminary prospectus or the Prospectus, as the case may be; and any reference to “amend,” “amendment” or “supplement”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any preliminary prospectus or the Prospectus shall be deemed to refer to and include any documents filed after such date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Exchange Act of 1934, as amended (the “</w:t>
      </w:r>
      <w:r>
        <w:rPr>
          <w:rFonts w:ascii="Arial" w:cs="Arial" w:eastAsia="Arial" w:hAnsi="Arial"/>
          <w:sz w:val="16"/>
          <w:szCs w:val="16"/>
          <w:u w:val="single" w:color="auto"/>
          <w:color w:val="auto"/>
        </w:rPr>
        <w:t>1934 Act</w:t>
      </w:r>
      <w:r>
        <w:rPr>
          <w:rFonts w:ascii="Arial" w:cs="Arial" w:eastAsia="Arial" w:hAnsi="Arial"/>
          <w:sz w:val="16"/>
          <w:szCs w:val="16"/>
          <w:color w:val="auto"/>
        </w:rPr>
        <w:t>”), and the rules and regulations of the Commission thereunder (the “</w:t>
      </w:r>
      <w:r>
        <w:rPr>
          <w:rFonts w:ascii="Arial" w:cs="Arial" w:eastAsia="Arial" w:hAnsi="Arial"/>
          <w:sz w:val="16"/>
          <w:szCs w:val="16"/>
          <w:u w:val="single" w:color="auto"/>
          <w:color w:val="auto"/>
        </w:rPr>
        <w:t>1934 Act Regulations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are deemed to be incorporated by reference therein.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660" w:right="420" w:firstLine="648"/>
        <w:spacing w:after="0" w:line="277" w:lineRule="auto"/>
        <w:rPr>
          <w:sz w:val="20"/>
          <w:szCs w:val="20"/>
          <w:color w:val="auto"/>
        </w:rPr>
      </w:pPr>
      <w:r>
        <w:rPr>
          <w:rFonts w:ascii="Arial" w:cs="Arial" w:eastAsia="Arial" w:hAnsi="Arial"/>
          <w:sz w:val="18"/>
          <w:szCs w:val="18"/>
          <w:color w:val="auto"/>
        </w:rPr>
        <w:t>“Applicable Time” means 7:30 P.M., New York City time, on November 1, 2016 or such other time as agreed by the Company and the Representative.</w:t>
      </w:r>
    </w:p>
    <w:p>
      <w:pPr>
        <w:spacing w:after="0" w:line="170" w:lineRule="exact"/>
        <w:rPr>
          <w:sz w:val="20"/>
          <w:szCs w:val="20"/>
          <w:color w:val="auto"/>
        </w:rPr>
      </w:pPr>
    </w:p>
    <w:p>
      <w:pPr>
        <w:ind w:left="660" w:right="100" w:firstLine="648"/>
        <w:spacing w:after="0" w:line="264" w:lineRule="auto"/>
        <w:rPr>
          <w:sz w:val="20"/>
          <w:szCs w:val="20"/>
          <w:color w:val="auto"/>
        </w:rPr>
      </w:pPr>
      <w:r>
        <w:rPr>
          <w:rFonts w:ascii="Arial" w:cs="Arial" w:eastAsia="Arial" w:hAnsi="Arial"/>
          <w:sz w:val="18"/>
          <w:szCs w:val="18"/>
          <w:color w:val="auto"/>
        </w:rPr>
        <w:t xml:space="preserve">“General Disclosure Package” means any Issuer General Use Free Writing Prospectuses issued at or prior to the Applicable Time, the most recent preliminary prospectus that is distributed to investors prior to the Applicable Time and the information included on </w:t>
      </w:r>
      <w:r>
        <w:rPr>
          <w:rFonts w:ascii="Arial" w:cs="Arial" w:eastAsia="Arial" w:hAnsi="Arial"/>
          <w:sz w:val="18"/>
          <w:szCs w:val="18"/>
          <w:u w:val="single" w:color="auto"/>
          <w:color w:val="auto"/>
        </w:rPr>
        <w:t>Schedule B-1</w:t>
      </w:r>
      <w:r>
        <w:rPr>
          <w:rFonts w:ascii="Arial" w:cs="Arial" w:eastAsia="Arial" w:hAnsi="Arial"/>
          <w:sz w:val="18"/>
          <w:szCs w:val="18"/>
          <w:color w:val="auto"/>
        </w:rPr>
        <w:t xml:space="preserve"> hereto, all considered together.</w:t>
      </w:r>
    </w:p>
    <w:p>
      <w:pPr>
        <w:spacing w:after="0" w:line="181" w:lineRule="exact"/>
        <w:rPr>
          <w:sz w:val="20"/>
          <w:szCs w:val="20"/>
          <w:color w:val="auto"/>
        </w:rPr>
      </w:pPr>
    </w:p>
    <w:p>
      <w:pPr>
        <w:ind w:left="660" w:right="120" w:firstLine="648"/>
        <w:spacing w:after="0" w:line="297" w:lineRule="auto"/>
        <w:rPr>
          <w:sz w:val="20"/>
          <w:szCs w:val="20"/>
          <w:color w:val="auto"/>
        </w:rPr>
      </w:pPr>
      <w:r>
        <w:rPr>
          <w:rFonts w:ascii="Arial" w:cs="Arial" w:eastAsia="Arial" w:hAnsi="Arial"/>
          <w:sz w:val="16"/>
          <w:szCs w:val="16"/>
          <w:color w:val="auto"/>
        </w:rPr>
        <w:t>“Issuer Free Writing Prospectus” means any “issuer free writing prospectus,” as defined in Rule 433 of the 1933 Act Regulations (“</w:t>
      </w:r>
      <w:r>
        <w:rPr>
          <w:rFonts w:ascii="Arial" w:cs="Arial" w:eastAsia="Arial" w:hAnsi="Arial"/>
          <w:sz w:val="16"/>
          <w:szCs w:val="16"/>
          <w:u w:val="single" w:color="auto"/>
          <w:color w:val="auto"/>
        </w:rPr>
        <w:t>Rule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433</w:t>
      </w:r>
      <w:r>
        <w:rPr>
          <w:rFonts w:ascii="Arial" w:cs="Arial" w:eastAsia="Arial" w:hAnsi="Arial"/>
          <w:sz w:val="16"/>
          <w:szCs w:val="16"/>
          <w:color w:val="auto"/>
        </w:rPr>
        <w:t>”), including without limitation any “free writing prospectus” (as defined in Rule 405 of the 1933 Act Regulations (“</w:t>
      </w:r>
      <w:r>
        <w:rPr>
          <w:rFonts w:ascii="Arial" w:cs="Arial" w:eastAsia="Arial" w:hAnsi="Arial"/>
          <w:sz w:val="16"/>
          <w:szCs w:val="16"/>
          <w:u w:val="single" w:color="auto"/>
          <w:color w:val="auto"/>
        </w:rPr>
        <w:t>Rule 405</w:t>
      </w:r>
      <w:r>
        <w:rPr>
          <w:rFonts w:ascii="Arial" w:cs="Arial" w:eastAsia="Arial" w:hAnsi="Arial"/>
          <w:sz w:val="16"/>
          <w:szCs w:val="16"/>
          <w:color w:val="auto"/>
        </w:rPr>
        <w:t>”))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w:t>
      </w:r>
    </w:p>
    <w:p>
      <w:pPr>
        <w:sectPr>
          <w:pgSz w:w="11900" w:h="16838" w:orient="portrait"/>
          <w:cols w:equalWidth="0" w:num="1">
            <w:col w:w="11420"/>
          </w:cols>
          <w:pgMar w:left="240" w:top="121" w:right="239" w:bottom="0" w:gutter="0" w:footer="0" w:header="0"/>
        </w:sectPr>
      </w:pPr>
    </w:p>
    <w:bookmarkStart w:id="3" w:name="page4"/>
    <w:bookmarkEnd w:id="3"/>
    <w:p>
      <w:pPr>
        <w:spacing w:after="0" w:line="137"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filed or required to be filed with the Commission or, if not required to be filed, in the form retained in the Company’s records pursuant to Rule 433(g).</w:t>
      </w:r>
    </w:p>
    <w:p>
      <w:pPr>
        <w:spacing w:after="0" w:line="170" w:lineRule="exact"/>
        <w:rPr>
          <w:sz w:val="20"/>
          <w:szCs w:val="20"/>
          <w:color w:val="auto"/>
        </w:rPr>
      </w:pPr>
    </w:p>
    <w:p>
      <w:pPr>
        <w:ind w:left="4" w:firstLine="648"/>
        <w:spacing w:after="0" w:line="264"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(a “</w:t>
      </w:r>
      <w:r>
        <w:rPr>
          <w:rFonts w:ascii="Arial" w:cs="Arial" w:eastAsia="Arial" w:hAnsi="Arial"/>
          <w:sz w:val="18"/>
          <w:szCs w:val="18"/>
          <w:u w:val="single" w:color="auto"/>
          <w:color w:val="auto"/>
        </w:rPr>
        <w:t>Bona Fide Electronic Road Show</w:t>
      </w:r>
      <w:r>
        <w:rPr>
          <w:rFonts w:ascii="Arial" w:cs="Arial" w:eastAsia="Arial" w:hAnsi="Arial"/>
          <w:sz w:val="18"/>
          <w:szCs w:val="18"/>
          <w:color w:val="auto"/>
        </w:rPr>
        <w:t xml:space="preserve">”)), as evidenced by its being specified in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hereto.</w:t>
      </w:r>
    </w:p>
    <w:p>
      <w:pPr>
        <w:spacing w:after="0" w:line="181" w:lineRule="exact"/>
        <w:rPr>
          <w:sz w:val="20"/>
          <w:szCs w:val="20"/>
          <w:color w:val="auto"/>
        </w:rPr>
      </w:pPr>
    </w:p>
    <w:p>
      <w:pPr>
        <w:ind w:left="4" w:right="38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tabs>
          <w:tab w:leader="none" w:pos="1303"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left="644" w:hanging="644"/>
        <w:spacing w:after="0"/>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each Underwriter that:</w:t>
      </w:r>
    </w:p>
    <w:p>
      <w:pPr>
        <w:spacing w:after="0" w:line="225" w:lineRule="exact"/>
        <w:rPr>
          <w:rFonts w:ascii="Arial" w:cs="Arial" w:eastAsia="Arial" w:hAnsi="Arial"/>
          <w:sz w:val="18"/>
          <w:szCs w:val="18"/>
          <w:color w:val="auto"/>
        </w:rPr>
      </w:pPr>
    </w:p>
    <w:p>
      <w:pPr>
        <w:ind w:left="4" w:right="260" w:firstLine="645"/>
        <w:spacing w:after="0" w:line="342" w:lineRule="auto"/>
        <w:tabs>
          <w:tab w:leader="none" w:pos="1322"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123" w:lineRule="exact"/>
        <w:rPr>
          <w:rFonts w:ascii="Arial" w:cs="Arial" w:eastAsia="Arial" w:hAnsi="Arial"/>
          <w:sz w:val="16"/>
          <w:szCs w:val="16"/>
          <w:color w:val="auto"/>
        </w:rPr>
      </w:pPr>
    </w:p>
    <w:p>
      <w:pPr>
        <w:ind w:left="4" w:right="40" w:firstLine="645"/>
        <w:spacing w:after="0" w:line="285" w:lineRule="auto"/>
        <w:tabs>
          <w:tab w:leader="none" w:pos="1331" w:val="left"/>
        </w:tabs>
        <w:numPr>
          <w:ilvl w:val="1"/>
          <w:numId w:val="3"/>
        </w:numPr>
        <w:rPr>
          <w:rFonts w:ascii="Arial" w:cs="Arial" w:eastAsia="Arial" w:hAnsi="Arial"/>
          <w:sz w:val="16"/>
          <w:szCs w:val="16"/>
          <w:color w:val="auto"/>
        </w:rPr>
      </w:pPr>
      <w:r>
        <w:rPr>
          <w:rFonts w:ascii="Arial" w:cs="Arial" w:eastAsia="Arial" w:hAnsi="Arial"/>
          <w:sz w:val="16"/>
          <w:szCs w:val="16"/>
          <w:color w:val="auto"/>
        </w:rPr>
        <w:t>(A) Each document, if any, filed or to be filed pursuant to the 1934 Act and incorporated by reference in the General Disclosure Package or the Prospectus complied or will comply when so filed in all material respects with the 1934 Act and the applicable rules and regulations of the Commission thereunder; (B) each part of the Registration Statement, when such part became effective, did not contain, and each such part, as amended or supplemented, if applicable, will not contain, as of the date of such amendment or supplement, any untrue statement of a material fact or omit to state a material fact required to be stated therein or necessary in order to make the statements therein not misleading; (C) the Registration Statement as of the date hereof does not contain any untrue statement of a material fact or omit to state a material fact required to be stated therein or necessary in order to make the statements therein not misleading; (D) the Registration Statement and the Prospectus comply and, as amended or supplemented, if applicable, will, as of the date of such amendment or supplement, comply in all material respects with the 1933 Act and the applicable rules and regulations of the Commission thereunder; (E) the General Disclosure Package does not, and at the time of each sale of the Securities in connection with the offering when the Prospectus is not yet available to prospective purchasers and at the Closing Time (as defined in Section 2), the General Disclosure Package, as then amended or supplemented by the Company, if applicable, will not, contain any untrue statement of a material fact or omit to state a material fact necessary in order to make the statements therein, in the light of the circumstances under which they were made, not misleading; (F) each broadly available road show, if any, when considered together with the General Disclosure Package, does not contain any untrue statement of a material fact or omit to state a material fact necessary in order to make the statements therein, in the light of the circumstances under which they were made, not misleading and (G) the Prospectus, as of its date, does not contain and, as amended or supplemented, if applicable, will not contain, as of its date and as of the Closing Time and each Date of Delivery (as defined in Section 2), any untrue statement of a material fact or omit to state a material fact necessary in order to make the statements therein, in the light of the circumstances under which they were made, not misleading, except that the representations and warranties set forth in this paragraph do not apply to statements or omissions in the Registration Statement, the General Disclosure Package or the Prospectus based upon information relating to any Underwriter furnished to the Company in writing by such Underwriter through you expressly for use therein.</w:t>
      </w:r>
    </w:p>
    <w:p>
      <w:pPr>
        <w:spacing w:after="0" w:line="168" w:lineRule="exact"/>
        <w:rPr>
          <w:rFonts w:ascii="Arial" w:cs="Arial" w:eastAsia="Arial" w:hAnsi="Arial"/>
          <w:sz w:val="16"/>
          <w:szCs w:val="16"/>
          <w:color w:val="auto"/>
        </w:rPr>
      </w:pPr>
    </w:p>
    <w:p>
      <w:pPr>
        <w:ind w:left="4" w:right="40" w:firstLine="645"/>
        <w:spacing w:after="0" w:line="272" w:lineRule="auto"/>
        <w:tabs>
          <w:tab w:leader="none" w:pos="1341"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 Company is not an “ineligible issuer” in connection with the offering pursuant to Rules 164, 405 and 433 under the 1933 Act. Any free writing prospectus that the Company is required to file pursuant to Rule 433(d) under the 1933 Act has been, or will be, filed with the Commission in accordance with the requirements of the 1933 Act and the applicable rules and regulations of the Commission thereunder. Each free writing prospectus that the Company has filed, or is required to file, pursuant to Rule 433(d) under the 1933 Act or that was prepared by or on behalf of or used or referred to by the Company complies or will, as of the time of such filing, comply in all material respects with the requirements of the 1933 Act and the applicable rules and regulations of the Commission thereunder. Except for the Issuer Free Writing Prospectuses, if any, identified in </w:t>
      </w:r>
      <w:r>
        <w:rPr>
          <w:rFonts w:ascii="Arial" w:cs="Arial" w:eastAsia="Arial" w:hAnsi="Arial"/>
          <w:sz w:val="17"/>
          <w:szCs w:val="17"/>
          <w:u w:val="single" w:color="auto"/>
          <w:color w:val="auto"/>
        </w:rPr>
        <w:t>Schedule B-2</w:t>
      </w:r>
      <w:r>
        <w:rPr>
          <w:rFonts w:ascii="Arial" w:cs="Arial" w:eastAsia="Arial" w:hAnsi="Arial"/>
          <w:sz w:val="17"/>
          <w:szCs w:val="17"/>
          <w:color w:val="auto"/>
        </w:rPr>
        <w:t xml:space="preserve"> hereto, and electronic road shows, if any,</w:t>
      </w:r>
    </w:p>
    <w:p>
      <w:pPr>
        <w:spacing w:after="0" w:line="17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each furnished to you before first use, the Company has not prepared, used or referred to, and will not, without your prior consent, prepare, use or refer to, any Issuer Free Writing Prospectus.</w:t>
      </w:r>
    </w:p>
    <w:p>
      <w:pPr>
        <w:spacing w:after="0" w:line="170" w:lineRule="exact"/>
        <w:rPr>
          <w:sz w:val="20"/>
          <w:szCs w:val="20"/>
          <w:color w:val="auto"/>
        </w:rPr>
      </w:pPr>
    </w:p>
    <w:p>
      <w:pPr>
        <w:ind w:left="4" w:firstLine="645"/>
        <w:spacing w:after="0" w:line="276" w:lineRule="auto"/>
        <w:tabs>
          <w:tab w:leader="none" w:pos="131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has the corporate power and authority to own its property and to conduct its business as described in the General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The Company does not have any subsidiaries.</w:t>
      </w:r>
    </w:p>
    <w:p>
      <w:pPr>
        <w:spacing w:after="0" w:line="172" w:lineRule="exact"/>
        <w:rPr>
          <w:rFonts w:ascii="Arial" w:cs="Arial" w:eastAsia="Arial" w:hAnsi="Arial"/>
          <w:sz w:val="17"/>
          <w:szCs w:val="17"/>
          <w:color w:val="auto"/>
        </w:rPr>
      </w:pPr>
    </w:p>
    <w:p>
      <w:pPr>
        <w:ind w:left="1304" w:hanging="655"/>
        <w:spacing w:after="0"/>
        <w:tabs>
          <w:tab w:leader="none" w:pos="1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4" w:right="60" w:firstLine="645"/>
        <w:spacing w:after="0" w:line="277" w:lineRule="auto"/>
        <w:tabs>
          <w:tab w:leader="none" w:pos="1317"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the Closing Time and each Date of Delivery, the authorized capital stock of the Company will conform as to legal matters to the description thereof contained in each of the General Disclosure Package and the Prospectus.</w:t>
      </w:r>
    </w:p>
    <w:p>
      <w:pPr>
        <w:spacing w:after="0" w:line="170" w:lineRule="exact"/>
        <w:rPr>
          <w:rFonts w:ascii="Arial" w:cs="Arial" w:eastAsia="Arial" w:hAnsi="Arial"/>
          <w:sz w:val="18"/>
          <w:szCs w:val="18"/>
          <w:color w:val="auto"/>
        </w:rPr>
      </w:pPr>
    </w:p>
    <w:p>
      <w:pPr>
        <w:ind w:left="4" w:right="100" w:firstLine="645"/>
        <w:spacing w:after="0" w:line="277" w:lineRule="auto"/>
        <w:tabs>
          <w:tab w:leader="none" w:pos="1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Securities have been duly authorized and are validly issued, fully paid and non-assessable.</w:t>
      </w:r>
    </w:p>
    <w:p>
      <w:pPr>
        <w:spacing w:after="0" w:line="170" w:lineRule="exact"/>
        <w:rPr>
          <w:rFonts w:ascii="Arial" w:cs="Arial" w:eastAsia="Arial" w:hAnsi="Arial"/>
          <w:sz w:val="18"/>
          <w:szCs w:val="18"/>
          <w:color w:val="auto"/>
        </w:rPr>
      </w:pPr>
    </w:p>
    <w:p>
      <w:pPr>
        <w:ind w:left="4" w:right="120" w:firstLine="645"/>
        <w:spacing w:after="0" w:line="342" w:lineRule="auto"/>
        <w:tabs>
          <w:tab w:leader="none" w:pos="133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issued and delivered in accordance with the terms of this Agreement, will be validly issued, fully paid and non-assessable, and the issuance of such Securities will not be subject to any preemptive or similar rights.</w:t>
      </w:r>
    </w:p>
    <w:p>
      <w:pPr>
        <w:spacing w:after="0" w:line="123" w:lineRule="exact"/>
        <w:rPr>
          <w:rFonts w:ascii="Arial" w:cs="Arial" w:eastAsia="Arial" w:hAnsi="Arial"/>
          <w:sz w:val="16"/>
          <w:szCs w:val="16"/>
          <w:color w:val="auto"/>
        </w:rPr>
      </w:pPr>
    </w:p>
    <w:p>
      <w:pPr>
        <w:ind w:left="4" w:right="40" w:firstLine="645"/>
        <w:spacing w:after="0" w:line="342" w:lineRule="auto"/>
        <w:tabs>
          <w:tab w:leader="none" w:pos="131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w:t>
      </w:r>
    </w:p>
    <w:p>
      <w:pPr>
        <w:sectPr>
          <w:pgSz w:w="11900" w:h="16975" w:orient="portrait"/>
          <w:cols w:equalWidth="0" w:num="1">
            <w:col w:w="10764"/>
          </w:cols>
          <w:pgMar w:left="896" w:top="125" w:right="239" w:bottom="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t>instrument binding upon the Company that is material to the Company or (iv) any judgment, order or decree of any governmental body, agency or court having jurisdiction over the Company, except that in the case of clauses (i), (iii) and (iv) as would not, individually or in the aggregate, have a material adverse effect on the Company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or foreign jurisdictions or the rules and regulations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in connection with the offer and sale of the Securities.</w:t>
      </w:r>
    </w:p>
    <w:p>
      <w:pPr>
        <w:spacing w:after="0" w:line="189" w:lineRule="exact"/>
        <w:rPr>
          <w:sz w:val="20"/>
          <w:szCs w:val="20"/>
          <w:color w:val="auto"/>
        </w:rPr>
      </w:pPr>
    </w:p>
    <w:p>
      <w:pPr>
        <w:ind w:right="120" w:firstLine="645"/>
        <w:spacing w:after="0" w:line="264" w:lineRule="auto"/>
        <w:tabs>
          <w:tab w:leader="none" w:pos="1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reasonably likely to result in a prospective material adverse change, in the condition, financial or otherwise, or in the earnings, business or operations of the Company from that set forth in the General Disclosure Package.</w:t>
      </w:r>
    </w:p>
    <w:p>
      <w:pPr>
        <w:spacing w:after="0" w:line="181" w:lineRule="exact"/>
        <w:rPr>
          <w:rFonts w:ascii="Arial" w:cs="Arial" w:eastAsia="Arial" w:hAnsi="Arial"/>
          <w:sz w:val="18"/>
          <w:szCs w:val="18"/>
          <w:color w:val="auto"/>
        </w:rPr>
      </w:pPr>
    </w:p>
    <w:p>
      <w:pPr>
        <w:ind w:right="20" w:firstLine="645"/>
        <w:spacing w:after="0" w:line="259"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the General Disclosure Package or proceedings that would not reasonably be expected to have a material adverse effect on the Company or on the power or ability of the Company to perform its</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obligations under this Agreement or to consummate the transactions contemplated by the General Disclosure Package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71" w:lineRule="exact"/>
        <w:rPr>
          <w:sz w:val="20"/>
          <w:szCs w:val="20"/>
          <w:color w:val="auto"/>
        </w:rPr>
      </w:pPr>
    </w:p>
    <w:p>
      <w:pPr>
        <w:ind w:right="140" w:firstLine="645"/>
        <w:spacing w:after="0" w:line="264" w:lineRule="auto"/>
        <w:tabs>
          <w:tab w:leader="none" w:pos="1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1933 Act, complied when so filed in all material respects with the 1933 Act and the applicable rules and regulations of the Commission thereunder.</w:t>
      </w:r>
    </w:p>
    <w:p>
      <w:pPr>
        <w:spacing w:after="0" w:line="181" w:lineRule="exact"/>
        <w:rPr>
          <w:rFonts w:ascii="Arial" w:cs="Arial" w:eastAsia="Arial" w:hAnsi="Arial"/>
          <w:sz w:val="18"/>
          <w:szCs w:val="18"/>
          <w:color w:val="auto"/>
        </w:rPr>
      </w:pPr>
    </w:p>
    <w:p>
      <w:pPr>
        <w:ind w:right="60" w:firstLine="645"/>
        <w:spacing w:after="0" w:line="264" w:lineRule="auto"/>
        <w:tabs>
          <w:tab w:leader="none" w:pos="1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181" w:lineRule="exact"/>
        <w:rPr>
          <w:rFonts w:ascii="Arial" w:cs="Arial" w:eastAsia="Arial" w:hAnsi="Arial"/>
          <w:sz w:val="18"/>
          <w:szCs w:val="18"/>
          <w:color w:val="auto"/>
        </w:rPr>
      </w:pPr>
    </w:p>
    <w:p>
      <w:pPr>
        <w:ind w:right="160" w:firstLine="645"/>
        <w:spacing w:after="0" w:line="293" w:lineRule="auto"/>
        <w:tabs>
          <w:tab w:leader="none" w:pos="130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 (ii) has received all permits, licenses or other approvals required of them under applicable Environmental Laws to conduct their respective 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164" w:lineRule="exact"/>
        <w:rPr>
          <w:rFonts w:ascii="Arial" w:cs="Arial" w:eastAsia="Arial" w:hAnsi="Arial"/>
          <w:sz w:val="16"/>
          <w:szCs w:val="16"/>
          <w:color w:val="auto"/>
        </w:rPr>
      </w:pPr>
    </w:p>
    <w:p>
      <w:pPr>
        <w:ind w:right="340" w:firstLine="645"/>
        <w:spacing w:after="0" w:line="259" w:lineRule="auto"/>
        <w:tabs>
          <w:tab w:leader="none" w:pos="129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86" w:lineRule="exact"/>
        <w:rPr>
          <w:rFonts w:ascii="Arial" w:cs="Arial" w:eastAsia="Arial" w:hAnsi="Arial"/>
          <w:sz w:val="18"/>
          <w:szCs w:val="18"/>
          <w:color w:val="auto"/>
        </w:rPr>
      </w:pPr>
    </w:p>
    <w:p>
      <w:pPr>
        <w:ind w:right="80" w:firstLine="645"/>
        <w:spacing w:after="0" w:line="259" w:lineRule="auto"/>
        <w:tabs>
          <w:tab w:leader="none" w:pos="1309"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described in the General Disclosure Package and the Prospectus, there are no contracts, agreements or understandings between the Company and any person granting such person the right to require the Company to file a registration statement under the 1933 Act with respect to any securities of the Company or to require the Company to include such securities with the Securities registered pursuant to the Registration Statement.</w:t>
      </w:r>
    </w:p>
    <w:p>
      <w:pPr>
        <w:spacing w:after="0" w:line="186" w:lineRule="exact"/>
        <w:rPr>
          <w:rFonts w:ascii="Arial" w:cs="Arial" w:eastAsia="Arial" w:hAnsi="Arial"/>
          <w:sz w:val="18"/>
          <w:szCs w:val="18"/>
          <w:color w:val="auto"/>
        </w:rPr>
      </w:pPr>
    </w:p>
    <w:p>
      <w:pPr>
        <w:ind w:firstLine="645"/>
        <w:spacing w:after="0" w:line="273" w:lineRule="auto"/>
        <w:tabs>
          <w:tab w:leader="none" w:pos="1318"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to the Company’s knowledge, any director, officer, employee, agent, affiliate or representative thereof, has taken (or has any plans to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illegally influence official action or secure an improper advantage for the Company; and the Company has conducted its business in compliance with</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applicable anti-corruption laws and has instituted and maintains (and has no intent to discontinue) policies and procedures designed to promote and achieve compliance with such laws.</w:t>
      </w:r>
    </w:p>
    <w:p>
      <w:pPr>
        <w:spacing w:after="0" w:line="170" w:lineRule="exact"/>
        <w:rPr>
          <w:sz w:val="20"/>
          <w:szCs w:val="20"/>
          <w:color w:val="auto"/>
        </w:rPr>
      </w:pPr>
    </w:p>
    <w:p>
      <w:pPr>
        <w:ind w:right="240" w:firstLine="645"/>
        <w:spacing w:after="0" w:line="291" w:lineRule="auto"/>
        <w:tabs>
          <w:tab w:leader="none" w:pos="1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67" w:lineRule="exact"/>
        <w:rPr>
          <w:rFonts w:ascii="Arial" w:cs="Arial" w:eastAsia="Arial" w:hAnsi="Arial"/>
          <w:sz w:val="16"/>
          <w:szCs w:val="16"/>
          <w:color w:val="auto"/>
        </w:rPr>
      </w:pPr>
    </w:p>
    <w:p>
      <w:pPr>
        <w:ind w:right="460" w:firstLine="645"/>
        <w:spacing w:after="0" w:line="277" w:lineRule="auto"/>
        <w:tabs>
          <w:tab w:leader="none" w:pos="1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Neither the Company nor, to the Company’s knowledge, any director, officer, employee, agent, affiliate or representative thereof, is an individual or entity (“</w:t>
      </w:r>
      <w:r>
        <w:rPr>
          <w:rFonts w:ascii="Arial" w:cs="Arial" w:eastAsia="Arial" w:hAnsi="Arial"/>
          <w:sz w:val="18"/>
          <w:szCs w:val="18"/>
          <w:u w:val="single" w:color="auto"/>
          <w:color w:val="auto"/>
        </w:rPr>
        <w:t>Person</w:t>
      </w:r>
      <w:r>
        <w:rPr>
          <w:rFonts w:ascii="Arial" w:cs="Arial" w:eastAsia="Arial" w:hAnsi="Arial"/>
          <w:sz w:val="18"/>
          <w:szCs w:val="18"/>
          <w:color w:val="auto"/>
        </w:rPr>
        <w:t>”) that is, or is owned or controlled by a Person that is:</w:t>
      </w:r>
    </w:p>
    <w:p>
      <w:pPr>
        <w:sectPr>
          <w:pgSz w:w="11900" w:h="16838" w:orient="portrait"/>
          <w:cols w:equalWidth="0" w:num="1">
            <w:col w:w="10760"/>
          </w:cols>
          <w:pgMar w:left="900" w:top="125" w:right="239" w:bottom="0" w:gutter="0" w:footer="0" w:header="0"/>
        </w:sectPr>
      </w:pPr>
    </w:p>
    <w:bookmarkStart w:id="5" w:name="page6"/>
    <w:bookmarkEnd w:id="5"/>
    <w:p>
      <w:pPr>
        <w:spacing w:after="0" w:line="137" w:lineRule="exact"/>
        <w:rPr>
          <w:sz w:val="20"/>
          <w:szCs w:val="20"/>
          <w:color w:val="auto"/>
        </w:rPr>
      </w:pPr>
    </w:p>
    <w:p>
      <w:pPr>
        <w:ind w:left="1780" w:right="240" w:hanging="487"/>
        <w:spacing w:after="0" w:line="264" w:lineRule="auto"/>
        <w:tabs>
          <w:tab w:leader="none" w:pos="177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the United Nations Security Council (“</w:t>
      </w:r>
      <w:r>
        <w:rPr>
          <w:rFonts w:ascii="Arial" w:cs="Arial" w:eastAsia="Arial" w:hAnsi="Arial"/>
          <w:sz w:val="18"/>
          <w:szCs w:val="18"/>
          <w:u w:val="single" w:color="auto"/>
          <w:color w:val="auto"/>
        </w:rPr>
        <w:t>UNSC</w:t>
      </w:r>
      <w:r>
        <w:rPr>
          <w:rFonts w:ascii="Arial" w:cs="Arial" w:eastAsia="Arial" w:hAnsi="Arial"/>
          <w:sz w:val="18"/>
          <w:szCs w:val="18"/>
          <w:color w:val="auto"/>
        </w:rPr>
        <w:t>”), the European Union (“</w:t>
      </w:r>
      <w:r>
        <w:rPr>
          <w:rFonts w:ascii="Arial" w:cs="Arial" w:eastAsia="Arial" w:hAnsi="Arial"/>
          <w:sz w:val="18"/>
          <w:szCs w:val="18"/>
          <w:u w:val="single" w:color="auto"/>
          <w:color w:val="auto"/>
        </w:rPr>
        <w:t>EU</w:t>
      </w:r>
      <w:r>
        <w:rPr>
          <w:rFonts w:ascii="Arial" w:cs="Arial" w:eastAsia="Arial" w:hAnsi="Arial"/>
          <w:sz w:val="18"/>
          <w:szCs w:val="18"/>
          <w:color w:val="auto"/>
        </w:rPr>
        <w:t>”),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w:t>
      </w:r>
    </w:p>
    <w:p>
      <w:pPr>
        <w:spacing w:after="0" w:line="181" w:lineRule="exact"/>
        <w:rPr>
          <w:rFonts w:ascii="Arial" w:cs="Arial" w:eastAsia="Arial" w:hAnsi="Arial"/>
          <w:sz w:val="18"/>
          <w:szCs w:val="18"/>
          <w:color w:val="auto"/>
        </w:rPr>
      </w:pPr>
    </w:p>
    <w:p>
      <w:pPr>
        <w:ind w:left="1780" w:right="180" w:hanging="487"/>
        <w:spacing w:after="0" w:line="277" w:lineRule="auto"/>
        <w:tabs>
          <w:tab w:leader="none" w:pos="1787"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North Korea, Sudan and Syria).</w:t>
      </w:r>
    </w:p>
    <w:p>
      <w:pPr>
        <w:spacing w:after="0" w:line="170" w:lineRule="exact"/>
        <w:rPr>
          <w:sz w:val="20"/>
          <w:szCs w:val="20"/>
          <w:color w:val="auto"/>
        </w:rPr>
      </w:pPr>
    </w:p>
    <w:p>
      <w:pPr>
        <w:ind w:right="120" w:firstLine="1293"/>
        <w:spacing w:after="0" w:line="277" w:lineRule="auto"/>
        <w:tabs>
          <w:tab w:leader="none" w:pos="16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sz w:val="20"/>
          <w:szCs w:val="20"/>
          <w:color w:val="auto"/>
        </w:rPr>
      </w:pPr>
    </w:p>
    <w:p>
      <w:pPr>
        <w:ind w:left="1780" w:right="320" w:hanging="487"/>
        <w:spacing w:after="0" w:line="277" w:lineRule="auto"/>
        <w:tabs>
          <w:tab w:leader="none" w:pos="17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780" w:right="420" w:hanging="487"/>
        <w:spacing w:after="0" w:line="277" w:lineRule="auto"/>
        <w:tabs>
          <w:tab w:leader="none" w:pos="17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sz w:val="20"/>
          <w:szCs w:val="20"/>
          <w:color w:val="auto"/>
        </w:rPr>
      </w:pPr>
    </w:p>
    <w:p>
      <w:pPr>
        <w:ind w:right="220" w:firstLine="1293"/>
        <w:spacing w:after="0" w:line="264" w:lineRule="auto"/>
        <w:tabs>
          <w:tab w:leader="none" w:pos="1627"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 past 5 years, the Company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jc w:val="both"/>
        <w:ind w:right="120" w:firstLine="645"/>
        <w:spacing w:after="0" w:line="259" w:lineRule="auto"/>
        <w:tabs>
          <w:tab w:leader="none" w:pos="12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each of the Registration Statement, the General Disclosure Package and the Prospectus, (i) the Company has not incurred any material liability or obligation, direct or contingent, nor entered into any material transaction; (ii) the Company has not purchased any of its outstanding capital stock (other than pursuant to agreements that permit the Company to repurchase Common Stock upon an employee</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or service provider’s termination of employment or services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short-term debt or long-term debt of the Company, except in each case as described in each of the Registration Statement, the General Disclosure Package and the Prospectus, respectively.</w:t>
      </w:r>
    </w:p>
    <w:p>
      <w:pPr>
        <w:spacing w:after="0" w:line="171" w:lineRule="exact"/>
        <w:rPr>
          <w:sz w:val="20"/>
          <w:szCs w:val="20"/>
          <w:color w:val="auto"/>
        </w:rPr>
      </w:pPr>
    </w:p>
    <w:p>
      <w:pPr>
        <w:ind w:right="100" w:firstLine="645"/>
        <w:spacing w:after="0" w:line="255" w:lineRule="auto"/>
        <w:tabs>
          <w:tab w:leader="none" w:pos="13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does not own any real property. The Company has good and marketable title to all personal property owned by it that is material to the business of the Company, in each case free and clear of all liens, encumbrances and defects except such as are described in the General Disclosure Package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General Disclosure Package.</w:t>
      </w:r>
    </w:p>
    <w:p>
      <w:pPr>
        <w:spacing w:after="0" w:line="189" w:lineRule="exact"/>
        <w:rPr>
          <w:rFonts w:ascii="Arial" w:cs="Arial" w:eastAsia="Arial" w:hAnsi="Arial"/>
          <w:sz w:val="18"/>
          <w:szCs w:val="18"/>
          <w:color w:val="auto"/>
        </w:rPr>
      </w:pPr>
    </w:p>
    <w:p>
      <w:pPr>
        <w:ind w:firstLine="645"/>
        <w:spacing w:after="0" w:line="268" w:lineRule="auto"/>
        <w:tabs>
          <w:tab w:leader="none" w:pos="13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owns or possesses, or can acquire on commercially reasonable terms, valid and enforceable rights to use all material patents, patent rights, licenses, inventions, copyrights, know-how (including trade secrets and other unpatented and/or unpatentable proprietary or confidential information, systems or procedures), software, databases, domain names, trademarks, service marks, trade names, and other intellectual property and similar rights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reasonably necessary for the conduct of its business as currently conducted or as currently proposed to be conducted. Except as described in the General Disclosure Package, (i) the Company has not received any notice of infringement of or conflict with asserted rights of others with respect to any of the foregoing and (ii) to the Company’s knowledge, the conduct of the Company’s business as currently conducted does not, and the Company’s business as currently proposed to be conducted would not reasonably be expected to, infringe, misappropriate or otherwise violate any such rights of others, which in either case, singly or in the aggregate, if the subject of an unfavorable decision, ruling or finding, would reasonably be expected to have a material adverse effect on the Company. The Company has taken reasonable steps to protect, maintain and safeguard the Intellectual Property owned by or, to the extent the Company has rights to do so, licensed to the Company, including, without limitation, the execution of appropriate nondisclosure and invention assignment agreements. There are no rights of third parties to any of the Intellectual Property owned by the Company, and there is no infringement by third parties of any Intellectual Property owned by or, to the Company’s knowledge, licensed to the Company, except as would not reasonably be expected to have a material adverse effect on the Company. 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w:t>
      </w:r>
    </w:p>
    <w:p>
      <w:pPr>
        <w:spacing w:after="0" w:line="180" w:lineRule="exact"/>
        <w:rPr>
          <w:rFonts w:ascii="Arial" w:cs="Arial" w:eastAsia="Arial" w:hAnsi="Arial"/>
          <w:sz w:val="17"/>
          <w:szCs w:val="17"/>
          <w:color w:val="auto"/>
        </w:rPr>
      </w:pPr>
    </w:p>
    <w:p>
      <w:pPr>
        <w:ind w:right="20" w:firstLine="645"/>
        <w:spacing w:after="0" w:line="259" w:lineRule="auto"/>
        <w:tabs>
          <w:tab w:leader="none" w:pos="1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exists, except as described in the General Disclosure Package, or, to the knowledge of the Company, is imminent; and the Company is not aware of any existing, threatened or imminent labor disturbance by the employees of any of its principal suppliers, manufacturers or contractors (including, without limitation, Thyroid Cytopathology Partners, P.A. (“</w:t>
      </w:r>
      <w:r>
        <w:rPr>
          <w:rFonts w:ascii="Arial" w:cs="Arial" w:eastAsia="Arial" w:hAnsi="Arial"/>
          <w:sz w:val="18"/>
          <w:szCs w:val="18"/>
          <w:u w:val="single" w:color="auto"/>
          <w:color w:val="auto"/>
        </w:rPr>
        <w:t>TCP</w:t>
      </w:r>
      <w:r>
        <w:rPr>
          <w:rFonts w:ascii="Arial" w:cs="Arial" w:eastAsia="Arial" w:hAnsi="Arial"/>
          <w:sz w:val="18"/>
          <w:szCs w:val="18"/>
          <w:color w:val="auto"/>
        </w:rPr>
        <w:t>”)) that would reasonably be expected to have a material adverse effect on the Company.</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97" w:lineRule="auto"/>
        <w:tabs>
          <w:tab w:leader="none" w:pos="13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is insured by insurers of recognized financial responsibility against such losses and risks and in such amounts as are, in the reasonable judgment of the Company, prudent and customary in the business in which it is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except as described in the General Disclosure Package.</w:t>
      </w:r>
    </w:p>
    <w:p>
      <w:pPr>
        <w:spacing w:after="0" w:line="158" w:lineRule="exact"/>
        <w:rPr>
          <w:rFonts w:ascii="Arial" w:cs="Arial" w:eastAsia="Arial" w:hAnsi="Arial"/>
          <w:sz w:val="16"/>
          <w:szCs w:val="16"/>
          <w:color w:val="auto"/>
        </w:rPr>
      </w:pPr>
    </w:p>
    <w:p>
      <w:pPr>
        <w:ind w:right="280" w:firstLine="645"/>
        <w:spacing w:after="0" w:line="342" w:lineRule="auto"/>
        <w:tabs>
          <w:tab w:leader="none" w:pos="12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possesses and, to the knowledge of the Company, TCP possesses all licenses, certificates, authorizations, registrations, clearances, approvals, exemptions, certifications, accreditations, provider or supplier numbers and permits (“</w:t>
      </w:r>
      <w:r>
        <w:rPr>
          <w:rFonts w:ascii="Arial" w:cs="Arial" w:eastAsia="Arial" w:hAnsi="Arial"/>
          <w:sz w:val="16"/>
          <w:szCs w:val="16"/>
          <w:u w:val="single" w:color="auto"/>
          <w:color w:val="auto"/>
        </w:rPr>
        <w:t>Permits</w:t>
      </w:r>
      <w:r>
        <w:rPr>
          <w:rFonts w:ascii="Arial" w:cs="Arial" w:eastAsia="Arial" w:hAnsi="Arial"/>
          <w:sz w:val="16"/>
          <w:szCs w:val="16"/>
          <w:color w:val="auto"/>
        </w:rPr>
        <w:t>”) issued by the</w:t>
      </w:r>
    </w:p>
    <w:p>
      <w:pPr>
        <w:sectPr>
          <w:pgSz w:w="11900" w:h="16975" w:orient="portrait"/>
          <w:cols w:equalWidth="0" w:num="1">
            <w:col w:w="10760"/>
          </w:cols>
          <w:pgMar w:left="900" w:top="125" w:right="239" w:bottom="0" w:gutter="0" w:footer="0" w:header="0"/>
        </w:sectPr>
      </w:pPr>
    </w:p>
    <w:bookmarkStart w:id="6" w:name="page7"/>
    <w:bookmarkEnd w:id="6"/>
    <w:p>
      <w:pPr>
        <w:spacing w:after="0" w:line="1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appropriate federal, state or foreign governmental or regulatory authorities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necessary to conduct its business, including, without limitation, all such Permits required by any Regulatory Authority, except where the failure to obtain such Permits would not, singly or in the aggregate, be reasonably expected to have a material adverse effect on the Company; and the Company and, to the knowledge of the Company, TCP, have not received any notice of proceedings relating to the revocation, suspension, limitation or modification of any such Permit nor does the Company have any reason to believe that any such Permit will not be renewed in the future, which, singly or in the aggregate, if the subject of an unfavorable decision, ruling or finding, would reasonably be expected to have a material adverse effect on the Company, except as described in the General Disclosure Package.</w:t>
      </w:r>
    </w:p>
    <w:p>
      <w:pPr>
        <w:spacing w:after="0" w:line="189" w:lineRule="exact"/>
        <w:rPr>
          <w:sz w:val="20"/>
          <w:szCs w:val="20"/>
          <w:color w:val="auto"/>
        </w:rPr>
      </w:pPr>
    </w:p>
    <w:p>
      <w:pPr>
        <w:ind w:right="60" w:firstLine="645"/>
        <w:spacing w:after="0" w:line="289" w:lineRule="auto"/>
        <w:tabs>
          <w:tab w:leader="none" w:pos="130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U.S. generally accepted accounting principles (“</w:t>
      </w:r>
      <w:r>
        <w:rPr>
          <w:rFonts w:ascii="Arial" w:cs="Arial" w:eastAsia="Arial" w:hAnsi="Arial"/>
          <w:sz w:val="16"/>
          <w:szCs w:val="16"/>
          <w:u w:val="single" w:color="auto"/>
          <w:color w:val="auto"/>
        </w:rPr>
        <w:t>U.S. GAAP</w:t>
      </w:r>
      <w:r>
        <w:rPr>
          <w:rFonts w:ascii="Arial" w:cs="Arial" w:eastAsia="Arial" w:hAnsi="Arial"/>
          <w:sz w:val="16"/>
          <w:szCs w:val="16"/>
          <w:color w:val="auto"/>
        </w:rPr>
        <w:t>”)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is accurate. Except as described in the General Disclosure Package,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66" w:lineRule="exact"/>
        <w:rPr>
          <w:rFonts w:ascii="Arial" w:cs="Arial" w:eastAsia="Arial" w:hAnsi="Arial"/>
          <w:sz w:val="16"/>
          <w:szCs w:val="16"/>
          <w:color w:val="auto"/>
        </w:rPr>
      </w:pPr>
    </w:p>
    <w:p>
      <w:pPr>
        <w:ind w:right="320" w:firstLine="645"/>
        <w:spacing w:after="0" w:line="264" w:lineRule="auto"/>
        <w:tabs>
          <w:tab w:leader="none" w:pos="1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jc w:val="both"/>
        <w:ind w:right="260" w:firstLine="645"/>
        <w:spacing w:after="0" w:line="259" w:lineRule="auto"/>
        <w:tabs>
          <w:tab w:leader="none" w:pos="1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described in the General Disclosure Package, the Company has not sold, issued or distributed any shares of Common Stock during the six-month period preceding the date hereof, including any sales pursuant to Rule 144A under, or Regulation D or S of, the 1933 Act, other than shares issued pursuant to employee benefit plans, stock option plans or other employee compensation plans or pursuant to outstanding options, rights or warrants.</w:t>
      </w:r>
    </w:p>
    <w:p>
      <w:pPr>
        <w:spacing w:after="0" w:line="186" w:lineRule="exact"/>
        <w:rPr>
          <w:rFonts w:ascii="Arial" w:cs="Arial" w:eastAsia="Arial" w:hAnsi="Arial"/>
          <w:sz w:val="18"/>
          <w:szCs w:val="18"/>
          <w:color w:val="auto"/>
        </w:rPr>
      </w:pPr>
    </w:p>
    <w:p>
      <w:pPr>
        <w:ind w:firstLine="645"/>
        <w:spacing w:after="0" w:line="277" w:lineRule="auto"/>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filed all federal, state, local and foreign tax returns required to be filed through the date of this Agreement or has requested extensions thereof (except where the</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failure to file would not, individually or in the aggregate, be reasonably expected to have a material adverse effect on the Company) and have paid all taxes required to be paid thereon (except for cases in which the failure to pay would not be reasonably expected to have a material adverse effect on the Company or except as are currently being contested in good faith and for which reserves required by U.S. GAAP have been created in the financial statements of the Company), and no unpaid tax deficiency has been determined adversely to the Company which has had (nor does the Company have any notice or knowledge of any unpaid tax deficiency which could reasonably be expected to be determined adversely to the Company and which would reasonably be expected to have) a material adverse effect on the Company.</w:t>
      </w:r>
    </w:p>
    <w:p>
      <w:pPr>
        <w:spacing w:after="0" w:line="178" w:lineRule="exact"/>
        <w:rPr>
          <w:sz w:val="20"/>
          <w:szCs w:val="20"/>
          <w:color w:val="auto"/>
        </w:rPr>
      </w:pPr>
    </w:p>
    <w:p>
      <w:pPr>
        <w:ind w:left="1300" w:hanging="655"/>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is an “emerging growth company,” as defined in Section 2(a) of the 1933 Act (an “</w:t>
      </w:r>
      <w:r>
        <w:rPr>
          <w:rFonts w:ascii="Arial" w:cs="Arial" w:eastAsia="Arial" w:hAnsi="Arial"/>
          <w:sz w:val="16"/>
          <w:szCs w:val="16"/>
          <w:u w:val="single" w:color="auto"/>
          <w:color w:val="auto"/>
        </w:rPr>
        <w:t>Emerging Growth Company</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right="80" w:firstLine="645"/>
        <w:spacing w:after="0" w:line="302" w:lineRule="auto"/>
        <w:tabs>
          <w:tab w:leader="none" w:pos="13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the time of each sale of the Securities in connection with the offering when the Prospectus is not yet available to prospective purchasers, none of (A) the General Disclosure Package and (B) any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54" w:lineRule="exact"/>
        <w:rPr>
          <w:rFonts w:ascii="Arial" w:cs="Arial" w:eastAsia="Arial" w:hAnsi="Arial"/>
          <w:sz w:val="16"/>
          <w:szCs w:val="16"/>
          <w:color w:val="auto"/>
        </w:rPr>
      </w:pPr>
    </w:p>
    <w:p>
      <w:pPr>
        <w:ind w:firstLine="645"/>
        <w:spacing w:after="0" w:line="285" w:lineRule="auto"/>
        <w:tabs>
          <w:tab w:leader="none" w:pos="13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and, to the knowledge of the Company, TCP, have operated and currently are in material compliance with all applicable health care laws, including, without limitation, the federal Anti-Kickback Statute (42 U.S.C. § 1320a-7b(b)), the Physician Payments Sunshine Act (42 U.S.C. § 1320a-7h), the Civil Monetary Penalties Law (42 U.S.C. § 1320a-7a), the civil False Claims Act (31 U.S.C. §§ 3729 et seq.), the criminal False Claims Law (42 U.S.C. § 1320a-7b(a)), the Stark Law (42 U.S.C. § 1395nn), all applicable criminal laws relating to healthcare fraud and abuse, including but not limited to 18 U.S.C. sections 286 and 287, the healthcare fraud criminal provisions under the U.S. Health Insurance Portability and Accountability Act of 1996 (“</w:t>
      </w:r>
      <w:r>
        <w:rPr>
          <w:rFonts w:ascii="Arial" w:cs="Arial" w:eastAsia="Arial" w:hAnsi="Arial"/>
          <w:sz w:val="16"/>
          <w:szCs w:val="16"/>
          <w:u w:val="single" w:color="auto"/>
          <w:color w:val="auto"/>
        </w:rPr>
        <w:t>HIPAA</w:t>
      </w:r>
      <w:r>
        <w:rPr>
          <w:rFonts w:ascii="Arial" w:cs="Arial" w:eastAsia="Arial" w:hAnsi="Arial"/>
          <w:sz w:val="16"/>
          <w:szCs w:val="16"/>
          <w:color w:val="auto"/>
        </w:rPr>
        <w:t>”) (42 U.S.C. §§ 1320d et seq.), HIPAA,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of 1998 (42 U.S.C. § 263a et seq.), and any other applicable similar local, state or federal laws or other applicable laws of federal, state and foreign governmental agencies or bodies engaged in regulation of clinical laboratories, and the applicable regulations promulgated pursuant to all such laws, each as amended from time to time (“</w:t>
      </w:r>
      <w:r>
        <w:rPr>
          <w:rFonts w:ascii="Arial" w:cs="Arial" w:eastAsia="Arial" w:hAnsi="Arial"/>
          <w:sz w:val="16"/>
          <w:szCs w:val="16"/>
          <w:u w:val="single" w:color="auto"/>
          <w:color w:val="auto"/>
        </w:rPr>
        <w:t>Health Care Laws</w:t>
      </w:r>
      <w:r>
        <w:rPr>
          <w:rFonts w:ascii="Arial" w:cs="Arial" w:eastAsia="Arial" w:hAnsi="Arial"/>
          <w:sz w:val="16"/>
          <w:szCs w:val="16"/>
          <w:color w:val="auto"/>
        </w:rPr>
        <w:t>”). To the knowledge of the Company, neither the Company nor any of its officers, directors, employees or agents has engaged in activities which are, as applicable, cause for false claims liability, civil penalties, or mandatory or permissive exclusion from Medicare, Medicaid, or any other state or federal healthcare program (collectively, the “Programs”). Neither the Company nor, to the knowledge of the Company, TCP, has received any notice, correspondence or other communication, including notification of any pending or threatened claim, action, suit, audit, survey, proceeding, hearing, enforcement, investigation, arbitration or other action (“Action”) from any Regulatory Authority, of potential or actual non-compliance by, or liability of, the Company or TCP under any Health Care Laws, including, without limitation, FDA Form 483s, Warning Letters, untitled letters, or similar written correspondence from the FDA. To the knowledge of the Company, there are no facts or circumstances that would reasonably be expected to give rise to material liability of the Company under any Health Care Laws. The Company is not party to or has any ongoing reporting obligations pursuant to any corporate integrity agreement, deferred prosecution agreement, monitoring agreement, consent decree, settlement order, plan of correction or similar agreement imposed by any Regulatory Authority.</w:t>
      </w:r>
    </w:p>
    <w:p>
      <w:pPr>
        <w:spacing w:after="0" w:line="38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None of the Company or, to the knowledge of the Company, TCP, or the Company’s employees, officers or directors, or, to the knowledge of the Company, TCP’s employees, officers or directors, has been excluded, suspended or debarred from participation in any Program or, to the knowledge</w:t>
      </w:r>
    </w:p>
    <w:p>
      <w:pPr>
        <w:sectPr>
          <w:pgSz w:w="11900" w:h="16975" w:orient="portrait"/>
          <w:cols w:equalWidth="0" w:num="1">
            <w:col w:w="10760"/>
          </w:cols>
          <w:pgMar w:left="900" w:top="125" w:right="239" w:bottom="0" w:gutter="0" w:footer="0" w:header="0"/>
        </w:sectPr>
      </w:pPr>
    </w:p>
    <w:bookmarkStart w:id="7" w:name="page8"/>
    <w:bookmarkEnd w:id="7"/>
    <w:p>
      <w:pPr>
        <w:ind w:left="4" w:right="40"/>
        <w:spacing w:after="0" w:line="277" w:lineRule="auto"/>
        <w:rPr>
          <w:sz w:val="20"/>
          <w:szCs w:val="20"/>
          <w:color w:val="auto"/>
        </w:rPr>
      </w:pPr>
      <w:r>
        <w:rPr>
          <w:rFonts w:ascii="Arial" w:cs="Arial" w:eastAsia="Arial" w:hAnsi="Arial"/>
          <w:sz w:val="18"/>
          <w:szCs w:val="18"/>
          <w:color w:val="auto"/>
        </w:rPr>
        <w:t>of the Company, is subject to a governmental inquiry, investigation, proceeding, or other similar action that could reasonably be expected to result in debarment, suspension, or exclusion.</w:t>
      </w:r>
    </w:p>
    <w:p>
      <w:pPr>
        <w:spacing w:after="0" w:line="170" w:lineRule="exact"/>
        <w:rPr>
          <w:sz w:val="20"/>
          <w:szCs w:val="20"/>
          <w:color w:val="auto"/>
        </w:rPr>
      </w:pPr>
    </w:p>
    <w:p>
      <w:pPr>
        <w:ind w:left="4" w:firstLine="645"/>
        <w:spacing w:after="0" w:line="270" w:lineRule="auto"/>
        <w:tabs>
          <w:tab w:leader="none" w:pos="132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has not received, and is not aware of, any notice from any Regulatory Authority requiring the termination, suspension, clinical hold or material modification of any tests, studies or trials conducted by or on behalf of the Company or in which the Company’s products have participated. The clinical studies and tests and clinical trials conducted by on behalf of the Company or in which the Company’s products participated were and are being conducted in all material respects in accordance with experimental protocols, procedures and controls pursuant to any applicable professional and scientific standards for products and product candidates comparable to those being developed by the Company and all applicable laws, rules, and regulations, and the description of such studies, tests or trials, and the results thereof included in the General Disclosure Package and the Prospectus are accurate and complete in all material respects. The Company is not aware of any tests, studies or trials not described in the General Disclosure Package and the Prospectus, the results of which reasonably call into question the results of the tests, studies and trials described in the General Disclosure Package and the Prospectus.</w:t>
      </w:r>
    </w:p>
    <w:p>
      <w:pPr>
        <w:spacing w:after="0" w:line="181" w:lineRule="exact"/>
        <w:rPr>
          <w:rFonts w:ascii="Arial" w:cs="Arial" w:eastAsia="Arial" w:hAnsi="Arial"/>
          <w:sz w:val="17"/>
          <w:szCs w:val="17"/>
          <w:color w:val="auto"/>
        </w:rPr>
      </w:pPr>
    </w:p>
    <w:p>
      <w:pPr>
        <w:ind w:left="4" w:right="40" w:firstLine="645"/>
        <w:spacing w:after="0" w:line="272" w:lineRule="auto"/>
        <w:tabs>
          <w:tab w:leader="none" w:pos="13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meets all Program requirements and conditions of participation and is a party to valid participation or other agreements required for payment by such Programs and other third-party payor programs. There are no material suspensions, offsets or recoupments of any Program or third-party payor payments being sought, requested or claimed, or to the Company’s knowledge, threatened against the Company. As of the date of this Agreement, the Company has not received any notice of denial of payment or overpayment from any Program or other third-party payor in excess of $250,000. There is no Action pending or, to the knowledge of the Company, threatened, against the Company which relates to a violation of any applicable legal requirement pertaining to the Programs or which would reasonably be expected to result in the imposition of material penalties, termination or the exclusion of the Company from participation in any Programs.</w:t>
      </w:r>
    </w:p>
    <w:p>
      <w:pPr>
        <w:spacing w:after="0" w:line="177" w:lineRule="exact"/>
        <w:rPr>
          <w:rFonts w:ascii="Arial" w:cs="Arial" w:eastAsia="Arial" w:hAnsi="Arial"/>
          <w:sz w:val="17"/>
          <w:szCs w:val="17"/>
          <w:color w:val="auto"/>
        </w:rPr>
      </w:pPr>
    </w:p>
    <w:p>
      <w:pPr>
        <w:ind w:left="4" w:firstLine="645"/>
        <w:spacing w:after="0" w:line="293" w:lineRule="auto"/>
        <w:tabs>
          <w:tab w:leader="none" w:pos="129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has complied, and is presently in compliance with its privacy policies regarding the collection, use, transfer, storage, protection, disposal and disclosure by the Company of personally identifiable information. The Company has taken commercially reasonable steps to protect its information technology systems and the data used in the operation of its business. The Company has used commercially reasonable efforts to establish, and has established, commercially reasonable disaster recovery and security plans and procedures for its business, including, without limitation, for its information technology systems. To its knowledge, the Company has not experienced a security breach or other compromise of its information technology systems or data requiring notice to any third party under applicable state or federal law.</w:t>
      </w:r>
    </w:p>
    <w:p>
      <w:pPr>
        <w:spacing w:after="0" w:line="164" w:lineRule="exact"/>
        <w:rPr>
          <w:rFonts w:ascii="Arial" w:cs="Arial" w:eastAsia="Arial" w:hAnsi="Arial"/>
          <w:sz w:val="16"/>
          <w:szCs w:val="16"/>
          <w:color w:val="auto"/>
        </w:rPr>
      </w:pPr>
    </w:p>
    <w:p>
      <w:pPr>
        <w:ind w:left="4" w:right="120" w:firstLine="645"/>
        <w:spacing w:after="0" w:line="302" w:lineRule="auto"/>
        <w:tabs>
          <w:tab w:leader="none" w:pos="13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extent required under applicable rules, the Company maintains disclosure controls and procedures (as defined in Rule 13a-15 under the 1934 Act), that comply with the requirements of the 1934 Act; such disclosure controls and procedures have been designed to ensure that material information relating to the Company is made known to the Company’s principal executive officer and principal financial officer in accordance with any such applicable requirements; and such disclosure controls and procedures are effective in all material respects.</w:t>
      </w:r>
    </w:p>
    <w:p>
      <w:pPr>
        <w:spacing w:after="0" w:line="154" w:lineRule="exact"/>
        <w:rPr>
          <w:sz w:val="20"/>
          <w:szCs w:val="20"/>
          <w:color w:val="auto"/>
        </w:rPr>
      </w:pPr>
    </w:p>
    <w:p>
      <w:pPr>
        <w:jc w:val="center"/>
        <w:ind w:right="61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firstLine="645"/>
        <w:spacing w:after="0" w:line="302" w:lineRule="auto"/>
        <w:tabs>
          <w:tab w:leader="none" w:pos="13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to the Company’s knowledge, any of the Company’s directors or officers, in their capacities as such, to comply in all material respects with the provisions of the Sarbanes-Oxley Act of 2002 and the rules and regulations promulgated in connection therewith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currently applicable to it, and the Company is taking steps to ensure that it will be in compliance with the provisions of the Sarbanes-Oxley Act that are, or will become, applicable to the Company after the date hereof.</w:t>
      </w:r>
    </w:p>
    <w:p>
      <w:pPr>
        <w:spacing w:after="0" w:line="154" w:lineRule="exact"/>
        <w:rPr>
          <w:rFonts w:ascii="Arial" w:cs="Arial" w:eastAsia="Arial" w:hAnsi="Arial"/>
          <w:sz w:val="16"/>
          <w:szCs w:val="16"/>
          <w:color w:val="auto"/>
        </w:rPr>
      </w:pPr>
    </w:p>
    <w:p>
      <w:pPr>
        <w:ind w:left="4" w:right="100" w:firstLine="645"/>
        <w:spacing w:after="0" w:line="259" w:lineRule="auto"/>
        <w:tabs>
          <w:tab w:leader="none" w:pos="1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statements of the Company filed with the Commission as part of the Registration Statement and included in each of the General Disclosure Package and the Prospectus present fairly the financial position of the Company as of the dates indicated therein and the results of its operations and cash flows for the periods specified therein. Such financial statements have been prepared in conformity with U.S. GAAP and applied on a consistent basis throughout the periods involved.</w:t>
      </w:r>
    </w:p>
    <w:p>
      <w:pPr>
        <w:spacing w:after="0" w:line="186" w:lineRule="exact"/>
        <w:rPr>
          <w:rFonts w:ascii="Arial" w:cs="Arial" w:eastAsia="Arial" w:hAnsi="Arial"/>
          <w:sz w:val="18"/>
          <w:szCs w:val="18"/>
          <w:color w:val="auto"/>
        </w:rPr>
      </w:pPr>
    </w:p>
    <w:p>
      <w:pPr>
        <w:jc w:val="both"/>
        <w:ind w:left="4" w:right="160" w:firstLine="645"/>
        <w:spacing w:after="0" w:line="264" w:lineRule="auto"/>
        <w:tabs>
          <w:tab w:leader="none" w:pos="1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statistical, industry related and market related data included in the General Disclosure Package and the Prospectus are based on or derived from sources which the Company reasonably and in good faith believes are reliable and are accurate, and such data is consistent with the sources from which they are derived.</w:t>
      </w:r>
    </w:p>
    <w:p>
      <w:pPr>
        <w:sectPr>
          <w:pgSz w:w="11900" w:h="16838" w:orient="portrait"/>
          <w:cols w:equalWidth="0" w:num="1">
            <w:col w:w="10744"/>
          </w:cols>
          <w:pgMar w:left="896" w:top="125" w:right="259" w:bottom="0" w:gutter="0" w:footer="0" w:header="0"/>
        </w:sectPr>
      </w:pP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(xl)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have been approved for listing, subject to notice of issuance, on The NASDAQ Global Market.</w:t>
      </w:r>
    </w:p>
    <w:p>
      <w:pPr>
        <w:spacing w:after="0" w:line="222" w:lineRule="exact"/>
        <w:rPr>
          <w:sz w:val="20"/>
          <w:szCs w:val="20"/>
          <w:color w:val="auto"/>
        </w:rPr>
      </w:pPr>
    </w:p>
    <w:p>
      <w:pPr>
        <w:sectPr>
          <w:pgSz w:w="11900" w:h="16838" w:orient="portrait"/>
          <w:cols w:equalWidth="0" w:num="2">
            <w:col w:w="904" w:space="400"/>
            <w:col w:w="9440"/>
          </w:cols>
          <w:pgMar w:left="896" w:top="125" w:right="259" w:bottom="0" w:gutter="0" w:footer="0" w:header="0"/>
          <w:type w:val="continuous"/>
        </w:sectPr>
      </w:pPr>
    </w:p>
    <w:p>
      <w:pPr>
        <w:spacing w:after="0" w:line="25" w:lineRule="exact"/>
        <w:rPr>
          <w:sz w:val="20"/>
          <w:szCs w:val="20"/>
          <w:color w:val="auto"/>
        </w:rPr>
      </w:pPr>
    </w:p>
    <w:p>
      <w:pPr>
        <w:ind w:left="644"/>
        <w:spacing w:after="0"/>
        <w:tabs>
          <w:tab w:leader="none" w:pos="1303" w:val="left"/>
        </w:tabs>
        <w:rPr>
          <w:sz w:val="20"/>
          <w:szCs w:val="20"/>
          <w:color w:val="auto"/>
        </w:rPr>
      </w:pPr>
      <w:r>
        <w:rPr>
          <w:rFonts w:ascii="Arial" w:cs="Arial" w:eastAsia="Arial" w:hAnsi="Arial"/>
          <w:sz w:val="16"/>
          <w:szCs w:val="16"/>
          <w:color w:val="auto"/>
        </w:rPr>
        <w:t>(xli)</w:t>
      </w:r>
      <w:r>
        <w:rPr>
          <w:sz w:val="20"/>
          <w:szCs w:val="20"/>
          <w:color w:val="auto"/>
        </w:rPr>
        <w:tab/>
      </w:r>
      <w:r>
        <w:rPr>
          <w:rFonts w:ascii="Arial" w:cs="Arial" w:eastAsia="Arial" w:hAnsi="Arial"/>
          <w:sz w:val="16"/>
          <w:szCs w:val="16"/>
          <w:color w:val="auto"/>
        </w:rPr>
        <w:t>The Company has not taken and will not take, directly or indirectly, any action designed to or that could reasonably be expected to</w:t>
      </w:r>
    </w:p>
    <w:p>
      <w:pPr>
        <w:sectPr>
          <w:pgSz w:w="11900" w:h="16838" w:orient="portrait"/>
          <w:cols w:equalWidth="0" w:num="1">
            <w:col w:w="10744"/>
          </w:cols>
          <w:pgMar w:left="896" w:top="125" w:right="259" w:bottom="0" w:gutter="0" w:footer="0" w:header="0"/>
          <w:type w:val="continuous"/>
        </w:sectPr>
      </w:pP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cause or result in any stabilization or manipulation of the price of the Securities.</w:t>
      </w:r>
    </w:p>
    <w:p>
      <w:pPr>
        <w:spacing w:after="0" w:line="211" w:lineRule="exact"/>
        <w:rPr>
          <w:sz w:val="20"/>
          <w:szCs w:val="20"/>
          <w:color w:val="auto"/>
        </w:rPr>
      </w:pPr>
    </w:p>
    <w:p>
      <w:pPr>
        <w:ind w:left="-656" w:right="820" w:firstLine="656"/>
        <w:spacing w:after="0" w:line="308" w:lineRule="auto"/>
        <w:tabs>
          <w:tab w:leader="none" w:pos="64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Officer’s Certificates</w:t>
      </w:r>
      <w:r>
        <w:rPr>
          <w:rFonts w:ascii="Arial" w:cs="Arial" w:eastAsia="Arial" w:hAnsi="Arial"/>
          <w:sz w:val="17"/>
          <w:szCs w:val="17"/>
          <w:color w:val="auto"/>
        </w:rPr>
        <w:t>. Any certificate signed by any officer of the Company delivered to the Representative or to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shall be deemed a representation and warranty by the Company to each Underwriter as to the matters covered thereby.</w:t>
      </w:r>
    </w:p>
    <w:p>
      <w:pPr>
        <w:spacing w:after="0" w:line="147" w:lineRule="exact"/>
        <w:rPr>
          <w:sz w:val="20"/>
          <w:szCs w:val="20"/>
          <w:color w:val="auto"/>
        </w:rPr>
      </w:pPr>
    </w:p>
    <w:p>
      <w:pPr>
        <w:ind w:left="4"/>
        <w:spacing w:after="0"/>
        <w:tabs>
          <w:tab w:leader="none" w:pos="1303"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25" w:lineRule="exact"/>
        <w:rPr>
          <w:sz w:val="20"/>
          <w:szCs w:val="20"/>
          <w:color w:val="auto"/>
        </w:rPr>
      </w:pPr>
    </w:p>
    <w:p>
      <w:pPr>
        <w:ind w:left="-656" w:firstLine="656"/>
        <w:spacing w:after="0" w:line="255" w:lineRule="auto"/>
        <w:tabs>
          <w:tab w:leader="none" w:pos="637"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forth, the Company agrees to sell to each Underwriter, severally and not jointly, and each Underwriter, severally and not jointly, agrees to purchase from the Company, at the price per share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that number of Initial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w:t>
      </w:r>
    </w:p>
    <w:p>
      <w:pPr>
        <w:spacing w:after="0" w:line="193" w:lineRule="exact"/>
        <w:rPr>
          <w:rFonts w:ascii="Arial" w:cs="Arial" w:eastAsia="Arial" w:hAnsi="Arial"/>
          <w:sz w:val="18"/>
          <w:szCs w:val="18"/>
          <w:color w:val="auto"/>
        </w:rPr>
      </w:pPr>
    </w:p>
    <w:p>
      <w:pPr>
        <w:ind w:left="-656" w:right="80" w:firstLine="656"/>
        <w:spacing w:after="0" w:line="255"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Option Securities</w:t>
      </w:r>
      <w:r>
        <w:rPr>
          <w:rFonts w:ascii="Arial" w:cs="Arial" w:eastAsia="Arial" w:hAnsi="Arial"/>
          <w:sz w:val="18"/>
          <w:szCs w:val="18"/>
          <w:color w:val="auto"/>
        </w:rPr>
        <w:t>. In addition, on the basis of the representations and warranties herein contained and subject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herein set forth, the Company hereby grants an option to the Underwriters, severally and not jointly, to purchase up to an additional 750,000 shares of Common Stock, at the price per share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w:t>
      </w:r>
    </w:p>
    <w:p>
      <w:pPr>
        <w:sectPr>
          <w:pgSz w:w="11900" w:h="16838" w:orient="portrait"/>
          <w:cols w:equalWidth="0" w:num="1">
            <w:col w:w="10744"/>
          </w:cols>
          <w:pgMar w:left="896" w:top="125" w:right="25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time and date of delivery (a “</w:t>
      </w:r>
      <w:r>
        <w:rPr>
          <w:rFonts w:ascii="Arial" w:cs="Arial" w:eastAsia="Arial" w:hAnsi="Arial"/>
          <w:sz w:val="18"/>
          <w:szCs w:val="18"/>
          <w:u w:val="single" w:color="auto"/>
          <w:color w:val="auto"/>
        </w:rPr>
        <w:t>Date of Delivery</w:t>
      </w:r>
      <w:r>
        <w:rPr>
          <w:rFonts w:ascii="Arial" w:cs="Arial" w:eastAsia="Arial" w:hAnsi="Arial"/>
          <w:sz w:val="18"/>
          <w:szCs w:val="18"/>
          <w:color w:val="auto"/>
        </w:rPr>
        <w:t xml:space="preserve">”) shall be determined by the Representative, but any Date of Delivery after the Closing Time shall not be later than seven full business days nor earlier than two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such Underwriter bears to the total number of Initial Securities, subject, in each case, to such adjustments as the Representative in its sole discretion shall make to eliminate any sales or purchases of fractional shares.</w:t>
      </w:r>
    </w:p>
    <w:p>
      <w:pPr>
        <w:spacing w:after="0" w:line="193" w:lineRule="exact"/>
        <w:rPr>
          <w:sz w:val="20"/>
          <w:szCs w:val="20"/>
          <w:color w:val="auto"/>
        </w:rPr>
      </w:pPr>
    </w:p>
    <w:p>
      <w:pPr>
        <w:ind w:firstLine="656"/>
        <w:spacing w:after="0" w:line="255" w:lineRule="auto"/>
        <w:tabs>
          <w:tab w:leader="none" w:pos="130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electronic records for, the Initial Securities shall be made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of Latham &amp; Watkins LLP, 12670 High Bluff Drive, San Diego, CA 92130, or at such other place as shall be agreed upon by the Representative and the Company, at 10:00 A.M. (New York City time) on the third (fourth,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Arial" w:cs="Arial" w:eastAsia="Arial" w:hAnsi="Arial"/>
          <w:sz w:val="18"/>
          <w:szCs w:val="18"/>
          <w:u w:val="single" w:color="auto"/>
          <w:color w:val="auto"/>
        </w:rPr>
        <w:t>Closing Time</w:t>
      </w:r>
      <w:r>
        <w:rPr>
          <w:rFonts w:ascii="Arial" w:cs="Arial" w:eastAsia="Arial" w:hAnsi="Arial"/>
          <w:sz w:val="18"/>
          <w:szCs w:val="18"/>
          <w:color w:val="auto"/>
        </w:rPr>
        <w:t>”). Delivery of the Initial Securities at the Closing Time shall be made through the facilities of The Depository Trust Company unless the Representative shall otherwise instruct.</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certificates or electronic records for, such Option Securities shall be made at the above-mentioned offices, or at such other place as shall be agreed upon by the Representative and the Company, on each Date of Delivery as specified in the notice from the Representative to the Company. Delivery of the Option Securities on each such Date of Delivery shall be made through the facilities of The Depository Trust Company unless the Representative shall otherwise instruct.</w:t>
      </w:r>
    </w:p>
    <w:p>
      <w:pPr>
        <w:spacing w:after="0" w:line="18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Payment shall be made to the Company by wire transfer of immediately available funds to a bank account designated by the Company against delivery to the Representative for the respective accounts of the Underwriters of certificates or electronic records for the Securities to be purchased by them. It is understood that each Underwriter has authorized the Representative, for their accounts, to accept delivery of, receipt for, and make payment of the purchase price for, the Initial Securities and the Option Securities, if any, which it has agreed to purchase. Leerink,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ind w:right="40" w:firstLine="656"/>
        <w:spacing w:after="0" w:line="293" w:lineRule="auto"/>
        <w:tabs>
          <w:tab w:leader="none" w:pos="1294"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 and will notify the Representative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178" w:lineRule="exact"/>
        <w:rPr>
          <w:sz w:val="20"/>
          <w:szCs w:val="20"/>
          <w:color w:val="auto"/>
        </w:rPr>
      </w:pPr>
    </w:p>
    <w:p>
      <w:pPr>
        <w:ind w:firstLine="656"/>
        <w:spacing w:after="0" w:line="284" w:lineRule="auto"/>
        <w:tabs>
          <w:tab w:leader="none" w:pos="1304"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and the 1933 Act Regulations so as to permit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Arial" w:cs="Arial" w:eastAsia="Arial" w:hAnsi="Arial"/>
          <w:sz w:val="16"/>
          <w:szCs w:val="16"/>
          <w:u w:val="single" w:color="auto"/>
          <w:color w:val="auto"/>
        </w:rPr>
        <w:t>Rule 172</w:t>
      </w:r>
      <w:r>
        <w:rPr>
          <w:rFonts w:ascii="Arial" w:cs="Arial" w:eastAsia="Arial" w:hAnsi="Arial"/>
          <w:sz w:val="16"/>
          <w:szCs w:val="16"/>
          <w:color w:val="auto"/>
        </w:rPr>
        <w:t>”), would be) required by the 1933 Act to be delivered in connection with sales of the Securities, any event shall occur or condition shall exist, whether before or after the time that the Registration Statement becomes effective,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reasonably object. The Company will furnish to the Underwriters such number of copies of such amendment or supplement as the Underwriters may reasonably request. The Company has given the Representative notice of any filings made pursuant to the 1934 Act or the 1934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provide the Representatives a reasonable opportunity to comment thereon; and the Company will file promptly all reports and any definitive proxy or information statements required to be filed by the Company with the Commission pursuant to Section 13(a),</w:t>
      </w:r>
    </w:p>
    <w:p>
      <w:pPr>
        <w:sectPr>
          <w:pgSz w:w="11900" w:h="16838" w:orient="portrait"/>
          <w:cols w:equalWidth="0" w:num="1">
            <w:col w:w="11400"/>
          </w:cols>
          <w:pgMar w:left="240" w:top="125" w:right="259" w:bottom="0" w:gutter="0" w:footer="0" w:header="0"/>
        </w:sectPr>
      </w:pPr>
    </w:p>
    <w:bookmarkStart w:id="9" w:name="page10"/>
    <w:bookmarkEnd w:id="9"/>
    <w:p>
      <w:pPr>
        <w:ind w:right="220"/>
        <w:spacing w:after="0" w:line="277" w:lineRule="auto"/>
        <w:rPr>
          <w:sz w:val="20"/>
          <w:szCs w:val="20"/>
          <w:color w:val="auto"/>
        </w:rPr>
      </w:pPr>
      <w:r>
        <w:rPr>
          <w:rFonts w:ascii="Arial" w:cs="Arial" w:eastAsia="Arial" w:hAnsi="Arial"/>
          <w:sz w:val="18"/>
          <w:szCs w:val="18"/>
          <w:color w:val="auto"/>
        </w:rPr>
        <w:t>13(c), 14 or 15(d) of the 1934 Act subsequent to the date of the Prospectus and for so long as the delivery of a prospectus is required in connection with the offering or sale of the Securities.</w:t>
      </w:r>
    </w:p>
    <w:p>
      <w:pPr>
        <w:spacing w:after="0" w:line="170" w:lineRule="exact"/>
        <w:rPr>
          <w:sz w:val="20"/>
          <w:szCs w:val="20"/>
          <w:color w:val="auto"/>
        </w:rPr>
      </w:pPr>
    </w:p>
    <w:p>
      <w:pPr>
        <w:ind w:right="120" w:firstLine="656"/>
        <w:spacing w:after="0" w:line="264" w:lineRule="auto"/>
        <w:tabs>
          <w:tab w:leader="none" w:pos="1307"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w:t>
      </w:r>
      <w:r>
        <w:rPr>
          <w:rFonts w:ascii="Arial" w:cs="Arial" w:eastAsia="Arial" w:hAnsi="Arial"/>
          <w:sz w:val="18"/>
          <w:szCs w:val="18"/>
          <w:color w:val="auto"/>
        </w:rPr>
        <w:t>. To the extent not available on EDGAR, the Company has furnished or will deliver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and counsel for the Underwriters, without charge, signed copies of the Registration Statement as originally filed and each amendment thereto (including exhibits filed therewith) and signed copies of all consents and certificates of experts, and 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3" w:lineRule="exact"/>
        <w:rPr>
          <w:sz w:val="20"/>
          <w:szCs w:val="20"/>
          <w:color w:val="auto"/>
        </w:rPr>
      </w:pPr>
    </w:p>
    <w:p>
      <w:pPr>
        <w:ind w:firstLine="656"/>
        <w:spacing w:after="0" w:line="272" w:lineRule="auto"/>
        <w:tabs>
          <w:tab w:leader="none" w:pos="1304"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Delivery of Prospectuses</w:t>
      </w:r>
      <w:r>
        <w:rPr>
          <w:rFonts w:ascii="Arial" w:cs="Arial" w:eastAsia="Arial" w:hAnsi="Arial"/>
          <w:sz w:val="17"/>
          <w:szCs w:val="17"/>
          <w:color w:val="auto"/>
        </w:rPr>
        <w:t>. The Company has delivered to each Underwriter, without charge, as many copies of each preliminary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or documents incorporated by reference therein, as such Underwriter may reasonably request. The Prospectus and any amendments or supplements thereto or documents incorporated by reference therein furnished to the Underwriters will be identical to the electronically transmitted copies thereof filed with the Commission pursuant to EDGAR, except to the extent permitted by Regulation S-T.</w:t>
      </w:r>
    </w:p>
    <w:p>
      <w:pPr>
        <w:spacing w:after="0" w:line="177" w:lineRule="exact"/>
        <w:rPr>
          <w:rFonts w:ascii="Arial" w:cs="Arial" w:eastAsia="Arial" w:hAnsi="Arial"/>
          <w:sz w:val="17"/>
          <w:szCs w:val="17"/>
          <w:color w:val="auto"/>
        </w:rPr>
      </w:pPr>
    </w:p>
    <w:p>
      <w:pPr>
        <w:ind w:right="100" w:firstLine="656"/>
        <w:spacing w:after="0" w:line="297" w:lineRule="auto"/>
        <w:tabs>
          <w:tab w:leader="none" w:pos="1307"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commercially reasonable efforts, in cooperation with the Underwriters, to qualify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for offering and sale under the applicable securities laws of such states and other jurisdictions (domestic or foreign) as the Representative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8" w:lineRule="exact"/>
        <w:rPr>
          <w:rFonts w:ascii="Arial" w:cs="Arial" w:eastAsia="Arial" w:hAnsi="Arial"/>
          <w:sz w:val="16"/>
          <w:szCs w:val="16"/>
          <w:color w:val="auto"/>
        </w:rPr>
      </w:pPr>
    </w:p>
    <w:p>
      <w:pPr>
        <w:ind w:right="200" w:firstLine="656"/>
        <w:spacing w:after="0" w:line="264" w:lineRule="auto"/>
        <w:tabs>
          <w:tab w:leader="none" w:pos="1301"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81" w:lineRule="exact"/>
        <w:rPr>
          <w:rFonts w:ascii="Arial" w:cs="Arial" w:eastAsia="Arial" w:hAnsi="Arial"/>
          <w:sz w:val="18"/>
          <w:szCs w:val="18"/>
          <w:color w:val="auto"/>
        </w:rPr>
      </w:pPr>
    </w:p>
    <w:p>
      <w:pPr>
        <w:ind w:firstLine="656"/>
        <w:spacing w:after="0" w:line="308" w:lineRule="auto"/>
        <w:tabs>
          <w:tab w:leader="none" w:pos="1317"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use the net proceeds received by it from the sale of the Securities in all material respects in the manner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in the Registration Statement, the General Disclosure Package and the Prospectus under the heading “Use of Proceeds.”</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best efforts to effect and maintain the listing of the Common Stock (including the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Global Market.</w:t>
      </w:r>
    </w:p>
    <w:p>
      <w:pPr>
        <w:spacing w:after="0" w:line="170" w:lineRule="exact"/>
        <w:rPr>
          <w:rFonts w:ascii="Arial" w:cs="Arial" w:eastAsia="Arial" w:hAnsi="Arial"/>
          <w:sz w:val="18"/>
          <w:szCs w:val="18"/>
          <w:color w:val="auto"/>
        </w:rPr>
      </w:pPr>
    </w:p>
    <w:p>
      <w:pPr>
        <w:ind w:right="20" w:firstLine="656"/>
        <w:spacing w:after="0" w:line="254" w:lineRule="auto"/>
        <w:tabs>
          <w:tab w:leader="none" w:pos="131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Restriction on Sale of Securities</w:t>
      </w:r>
      <w:r>
        <w:rPr>
          <w:rFonts w:ascii="Arial" w:cs="Arial" w:eastAsia="Arial" w:hAnsi="Arial"/>
          <w:sz w:val="18"/>
          <w:szCs w:val="18"/>
          <w:color w:val="auto"/>
        </w:rPr>
        <w:t>. During a period of 90 days from the date of the Prospectus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without the prior written consent of the Representative,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foregoing sentence shall not apply to (A) the Securities to be sold hereunder; (B) any shares of Common Stock issued by the Company upon the exercise of an option or warrant or the conversion of a convertible security outstanding on the date hereof and referred to in the Registration Statement, the General Disclosure Package and the Prospectus; (C) any shares of Common Stock issued or options to purchase Common Stock granted pursuant to existing employee benefit plans of the Company referred to in the Registration Statement, the General Disclosure Package and the Prospectus; (D) any shares of Common Stock issued pursuant to any existing non-employee director stock plan or dividend reinvestment plan referred to in the Registration Statement, the General Disclosure Package and the Prospectus; (E) the sale or issuance of or entry into an agreement providing for the issuance of shares of Common Stock or any security convertible into or exercisable for shares of Common Stock in connection with the acquisition by the Company of the securities, business or assets of another person or entity or pursuant to an employee benefit plan assumed by the Company in connection with such acquisition, or in connection with joint ventures,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you, on or prior to such issuance,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(F) establishment of a trading plan pursuant to Rule 10b5-1 under the 1934 Act for the transfer of shares of Common Stock, provided that (i) such plan does not provide for the transfer of Common Stock during the Restricted Period and (ii) to the extent a public announcement or filing under the 1934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78" w:lineRule="exact"/>
        <w:rPr>
          <w:sz w:val="20"/>
          <w:szCs w:val="20"/>
          <w:color w:val="auto"/>
        </w:rPr>
      </w:pPr>
    </w:p>
    <w:p>
      <w:pPr>
        <w:ind w:right="40" w:firstLine="656"/>
        <w:spacing w:after="0" w:line="264"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w:t>
      </w:r>
      <w:r>
        <w:rPr>
          <w:rFonts w:ascii="Arial" w:cs="Arial" w:eastAsia="Arial" w:hAnsi="Arial"/>
          <w:sz w:val="18"/>
          <w:szCs w:val="18"/>
          <w:i w:val="1"/>
          <w:iCs w:val="1"/>
          <w:color w:val="auto"/>
        </w:rPr>
        <w:t xml:space="preserve"> </w:t>
      </w:r>
      <w:r>
        <w:rPr>
          <w:rFonts w:ascii="Arial" w:cs="Arial" w:eastAsia="Arial" w:hAnsi="Arial"/>
          <w:sz w:val="18"/>
          <w:szCs w:val="18"/>
          <w:color w:val="auto"/>
        </w:rPr>
        <w:t>by Rule 172, would be) required to be delivered under the 1933 Act, will file all documents required to be filed with the Commission pursuant to the 1934 Act within the time periods required by the 1934 Act and 1934 Act Regulations.</w:t>
      </w:r>
    </w:p>
    <w:p>
      <w:pPr>
        <w:sectPr>
          <w:pgSz w:w="11900" w:h="16838" w:orient="portrait"/>
          <w:cols w:equalWidth="0" w:num="1">
            <w:col w:w="11420"/>
          </w:cols>
          <w:pgMar w:left="240" w:top="125" w:right="239" w:bottom="0" w:gutter="0" w:footer="0" w:header="0"/>
        </w:sectPr>
      </w:pPr>
    </w:p>
    <w:bookmarkStart w:id="10" w:name="page11"/>
    <w:bookmarkEnd w:id="10"/>
    <w:p>
      <w:pPr>
        <w:spacing w:after="0" w:line="137" w:lineRule="exact"/>
        <w:rPr>
          <w:sz w:val="20"/>
          <w:szCs w:val="20"/>
          <w:color w:val="auto"/>
        </w:rPr>
      </w:pPr>
    </w:p>
    <w:p>
      <w:pPr>
        <w:ind w:right="100" w:firstLine="656"/>
        <w:spacing w:after="0" w:line="286" w:lineRule="auto"/>
        <w:tabs>
          <w:tab w:leader="none" w:pos="130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Representative,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w:t>
      </w:r>
      <w:r>
        <w:rPr>
          <w:rFonts w:ascii="Arial" w:cs="Arial" w:eastAsia="Arial" w:hAnsi="Arial"/>
          <w:sz w:val="16"/>
          <w:szCs w:val="16"/>
          <w:u w:val="single" w:color="auto"/>
          <w:color w:val="auto"/>
        </w:rPr>
        <w:t>Schedule B-2</w:t>
      </w:r>
      <w:r>
        <w:rPr>
          <w:rFonts w:ascii="Arial" w:cs="Arial" w:eastAsia="Arial" w:hAnsi="Arial"/>
          <w:sz w:val="16"/>
          <w:szCs w:val="16"/>
          <w:color w:val="auto"/>
        </w:rPr>
        <w:t xml:space="preserve"> hereto and any “road show that is a written communication” within the meaning of Rule 433(d)(8)(i) that has been provided to the Representative or counsel to the Underwriters.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64" w:lineRule="auto"/>
        <w:tabs>
          <w:tab w:leader="none" w:pos="131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will promptly notify the Representative if the Company ceases to be an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Company at any time prior to the later of (i) completion of the distribution of the Securities within the meaning of the 1933 Act and (ii) completion of the 90-day restricted period referred to in Section 3(i).</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67" w:lineRule="auto"/>
        <w:tabs>
          <w:tab w:leader="none" w:pos="1294"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The Company will pay or cause to be paid all expenses incident to the performance of its obligations under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if any,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and documented fees and disbursements of counsel for the Underwriters in connection therewith and in connection with the preparation of a “Blue Sky Survey” and any supplement thereto (up to a maximum aggregate amount of $2,500 for the reasonable and documented fees and disbursements of counsel for the Underwriters),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one-half of the cost of aircraft and other transportation chartered in connection with the road show, (viii) the filing fees incident to, and the reasonable and documented fees and disbursements of counsel to the Underwriters in connection with, the review by FINRA of the terms of the sale of the Securities (up to a maximum aggregate amount of $15,000 for the reasonable and documented fees and disbursements of counsel for the Underwriters), (ix) the fees and expenses incurred in connection with the listing of the Securities on the NASDAQ Global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 (ii).</w:t>
      </w:r>
    </w:p>
    <w:p>
      <w:pPr>
        <w:spacing w:after="0" w:line="188" w:lineRule="exact"/>
        <w:rPr>
          <w:rFonts w:ascii="Arial" w:cs="Arial" w:eastAsia="Arial" w:hAnsi="Arial"/>
          <w:sz w:val="17"/>
          <w:szCs w:val="17"/>
          <w:color w:val="auto"/>
        </w:rPr>
      </w:pPr>
    </w:p>
    <w:p>
      <w:pPr>
        <w:ind w:right="60" w:firstLine="656"/>
        <w:spacing w:after="0" w:line="255"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Representative in accordance with the provisions of Section 5,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9(a)(i), Section 9(a)(iii) or Section 10 hereof, the Company shall reimburse the Underwriters for all of their reasonably documented out-of-pocket expenses, including the reasonable fees and disbursements of counsel for the Underwriters; provided that if this Agreement is terminated pursuant to Section 10 by reason of the default of one or more Underwriters, the Company shall not be obligated to reimburse any defaulting Underwriter on account of expenses to the extent incurred by such defaulting Underwriter; provided further that the foregoing shall not limit any reimbursement obligation of the Company to any non-defaulting Underwriter under Section 10.</w:t>
      </w:r>
    </w:p>
    <w:p>
      <w:pPr>
        <w:spacing w:after="0" w:line="19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obligations of the several Underwriters hereunder are subject to the accuracy of the representations and warranties of the Company contained herein or in certificates of any officer of the Company delivered pursuant to the provisions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hereof, to the performance by the Company of its covenants and other obligations hereunder, and to the following further conditions:</w:t>
      </w:r>
    </w:p>
    <w:p>
      <w:pPr>
        <w:spacing w:after="0" w:line="225" w:lineRule="exact"/>
        <w:rPr>
          <w:sz w:val="20"/>
          <w:szCs w:val="20"/>
          <w:color w:val="auto"/>
        </w:rPr>
      </w:pPr>
    </w:p>
    <w:p>
      <w:pPr>
        <w:ind w:right="140" w:firstLine="656"/>
        <w:spacing w:after="0" w:line="271" w:lineRule="auto"/>
        <w:tabs>
          <w:tab w:leader="none" w:pos="1294"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 Rule 430 Information</w:t>
      </w:r>
      <w:r>
        <w:rPr>
          <w:rFonts w:ascii="Arial" w:cs="Arial" w:eastAsia="Arial" w:hAnsi="Arial"/>
          <w:sz w:val="17"/>
          <w:szCs w:val="17"/>
          <w:color w:val="auto"/>
        </w:rPr>
        <w:t>. The Registration Statement, including any Rule 462(b)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A prospectus containing the Rule 430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w:t>
      </w:r>
    </w:p>
    <w:p>
      <w:pPr>
        <w:spacing w:after="0" w:line="178" w:lineRule="exact"/>
        <w:rPr>
          <w:rFonts w:ascii="Arial" w:cs="Arial" w:eastAsia="Arial" w:hAnsi="Arial"/>
          <w:sz w:val="17"/>
          <w:szCs w:val="17"/>
          <w:color w:val="auto"/>
        </w:rPr>
      </w:pPr>
    </w:p>
    <w:p>
      <w:pPr>
        <w:ind w:right="280" w:firstLine="656"/>
        <w:spacing w:after="0" w:line="264"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At the Closing Time, the Representative shall have received the opinion and negative assurance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Closing Time, of Pillsbury Winthrop Shaw Pittman LLP, counsel for the Company, in form and substance satisfactory to counsel for the Underwriters, together with signed or reproduced copies of such letter for each of the other Underwriters.</w:t>
      </w:r>
    </w:p>
    <w:p>
      <w:pPr>
        <w:spacing w:after="0" w:line="181" w:lineRule="exact"/>
        <w:rPr>
          <w:rFonts w:ascii="Arial" w:cs="Arial" w:eastAsia="Arial" w:hAnsi="Arial"/>
          <w:sz w:val="18"/>
          <w:szCs w:val="18"/>
          <w:color w:val="auto"/>
        </w:rPr>
      </w:pPr>
    </w:p>
    <w:p>
      <w:pPr>
        <w:ind w:right="20" w:firstLine="656"/>
        <w:spacing w:after="0" w:line="342" w:lineRule="auto"/>
        <w:tabs>
          <w:tab w:leader="none" w:pos="130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Opinion of Counsel for Underwriters</w:t>
      </w:r>
      <w:r>
        <w:rPr>
          <w:rFonts w:ascii="Arial" w:cs="Arial" w:eastAsia="Arial" w:hAnsi="Arial"/>
          <w:sz w:val="16"/>
          <w:szCs w:val="16"/>
          <w:color w:val="auto"/>
        </w:rPr>
        <w:t>. At the Closing Time, the Representative shall have received the opinion, and negative assurance</w:t>
      </w:r>
      <w:r>
        <w:rPr>
          <w:rFonts w:ascii="Arial" w:cs="Arial" w:eastAsia="Arial" w:hAnsi="Arial"/>
          <w:sz w:val="16"/>
          <w:szCs w:val="16"/>
          <w:i w:val="1"/>
          <w:iCs w:val="1"/>
          <w:color w:val="auto"/>
        </w:rPr>
        <w:t xml:space="preserve"> </w:t>
      </w:r>
      <w:r>
        <w:rPr>
          <w:rFonts w:ascii="Arial" w:cs="Arial" w:eastAsia="Arial" w:hAnsi="Arial"/>
          <w:sz w:val="16"/>
          <w:szCs w:val="16"/>
          <w:color w:val="auto"/>
        </w:rPr>
        <w:t>letter, each dated the Closing Time, of Latham &amp; Watkins LLP, counsel for the Underwriters, together with signed or reproduced copies of such letter for each</w:t>
      </w:r>
    </w:p>
    <w:p>
      <w:pPr>
        <w:sectPr>
          <w:pgSz w:w="11900" w:h="16975" w:orient="portrait"/>
          <w:cols w:equalWidth="0" w:num="1">
            <w:col w:w="11420"/>
          </w:cols>
          <w:pgMar w:left="240" w:top="125" w:right="239" w:bottom="0" w:gutter="0" w:footer="0" w:header="0"/>
        </w:sectPr>
      </w:pPr>
    </w:p>
    <w:bookmarkStart w:id="11" w:name="page12"/>
    <w:bookmarkEnd w:id="11"/>
    <w:p>
      <w:pPr>
        <w:ind w:right="80"/>
        <w:spacing w:after="0" w:line="257" w:lineRule="auto"/>
        <w:rPr>
          <w:sz w:val="20"/>
          <w:szCs w:val="20"/>
          <w:color w:val="auto"/>
        </w:rPr>
      </w:pPr>
      <w:r>
        <w:rPr>
          <w:rFonts w:ascii="Arial" w:cs="Arial" w:eastAsia="Arial" w:hAnsi="Arial"/>
          <w:sz w:val="18"/>
          <w:szCs w:val="18"/>
          <w:color w:val="auto"/>
        </w:rPr>
        <w:t>of the other Underwriters with respect to such matters as the Representative may reasonably request.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 Such counsel may also state that, insofar as such opinion involves factual matters, they have relied, to the extent they deem proper, upon certificates of officers and other representatives of the Company and certificates of public officials.</w:t>
      </w:r>
    </w:p>
    <w:p>
      <w:pPr>
        <w:spacing w:after="0" w:line="188" w:lineRule="exact"/>
        <w:rPr>
          <w:sz w:val="20"/>
          <w:szCs w:val="20"/>
          <w:color w:val="auto"/>
        </w:rPr>
      </w:pPr>
    </w:p>
    <w:p>
      <w:pPr>
        <w:ind w:right="80" w:firstLine="656"/>
        <w:spacing w:after="0" w:line="289" w:lineRule="auto"/>
        <w:tabs>
          <w:tab w:leader="none" w:pos="1304"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and the Representative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66" w:lineRule="exact"/>
        <w:rPr>
          <w:rFonts w:ascii="Arial" w:cs="Arial" w:eastAsia="Arial" w:hAnsi="Arial"/>
          <w:sz w:val="16"/>
          <w:szCs w:val="16"/>
          <w:color w:val="auto"/>
        </w:rPr>
      </w:pPr>
    </w:p>
    <w:p>
      <w:pPr>
        <w:ind w:right="120" w:firstLine="656"/>
        <w:spacing w:after="0" w:line="259" w:lineRule="auto"/>
        <w:tabs>
          <w:tab w:leader="none" w:pos="1307"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 shall have received from each of Ernst &amp;</w:t>
      </w:r>
      <w:r>
        <w:rPr>
          <w:rFonts w:ascii="Arial" w:cs="Arial" w:eastAsia="Arial" w:hAnsi="Arial"/>
          <w:sz w:val="18"/>
          <w:szCs w:val="18"/>
          <w:i w:val="1"/>
          <w:iCs w:val="1"/>
          <w:color w:val="auto"/>
        </w:rPr>
        <w:t xml:space="preserve"> </w:t>
      </w:r>
      <w:r>
        <w:rPr>
          <w:rFonts w:ascii="Arial" w:cs="Arial" w:eastAsia="Arial" w:hAnsi="Arial"/>
          <w:sz w:val="18"/>
          <w:szCs w:val="18"/>
          <w:color w:val="auto"/>
        </w:rPr>
        <w:t>Young LLP and Pricewaterhouse Coopers LLP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and certain financial information contained in the Registration Statement, the General Disclosure Package and the Prospectus.</w:t>
      </w:r>
    </w:p>
    <w:p>
      <w:pPr>
        <w:spacing w:after="0" w:line="237" w:lineRule="exact"/>
        <w:rPr>
          <w:sz w:val="20"/>
          <w:szCs w:val="20"/>
          <w:color w:val="auto"/>
        </w:rPr>
      </w:pPr>
    </w:p>
    <w:p>
      <w:pPr>
        <w:ind w:right="320" w:firstLine="656"/>
        <w:spacing w:after="0" w:line="312" w:lineRule="auto"/>
        <w:tabs>
          <w:tab w:leader="none" w:pos="1301"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Bring-down Comfort Letter</w:t>
      </w:r>
      <w:r>
        <w:rPr>
          <w:rFonts w:ascii="Arial" w:cs="Arial" w:eastAsia="Arial" w:hAnsi="Arial"/>
          <w:sz w:val="16"/>
          <w:szCs w:val="16"/>
          <w:color w:val="auto"/>
        </w:rPr>
        <w:t>. At the Closing Time, the Representative shall have received from each of Ernst &amp; Young LLP and</w:t>
      </w:r>
      <w:r>
        <w:rPr>
          <w:rFonts w:ascii="Arial" w:cs="Arial" w:eastAsia="Arial" w:hAnsi="Arial"/>
          <w:sz w:val="16"/>
          <w:szCs w:val="16"/>
          <w:i w:val="1"/>
          <w:iCs w:val="1"/>
          <w:color w:val="auto"/>
        </w:rPr>
        <w:t xml:space="preserve"> </w:t>
      </w:r>
      <w:r>
        <w:rPr>
          <w:rFonts w:ascii="Arial" w:cs="Arial" w:eastAsia="Arial" w:hAnsi="Arial"/>
          <w:sz w:val="16"/>
          <w:szCs w:val="16"/>
          <w:color w:val="auto"/>
        </w:rPr>
        <w:t>Pricewaterhouse Coopers LLP a letter, dated as of the 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46" w:lineRule="exact"/>
        <w:rPr>
          <w:rFonts w:ascii="Arial" w:cs="Arial" w:eastAsia="Arial" w:hAnsi="Arial"/>
          <w:sz w:val="16"/>
          <w:szCs w:val="16"/>
          <w:color w:val="auto"/>
        </w:rPr>
      </w:pPr>
    </w:p>
    <w:p>
      <w:pPr>
        <w:ind w:right="80" w:firstLine="656"/>
        <w:spacing w:after="0" w:line="308"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Chief Financial Officer Certificate</w:t>
      </w:r>
      <w:r>
        <w:rPr>
          <w:rFonts w:ascii="Arial" w:cs="Arial" w:eastAsia="Arial" w:hAnsi="Arial"/>
          <w:sz w:val="17"/>
          <w:szCs w:val="17"/>
          <w:color w:val="auto"/>
        </w:rPr>
        <w:t>. At the time of execution of this Agreement and at Closing Time, the Representative shall have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chief financial officer of the Company a certificate, dated the Closing Time, in a form reasonably satisfactory to the Representative.</w:t>
      </w:r>
    </w:p>
    <w:p>
      <w:pPr>
        <w:spacing w:after="0" w:line="146" w:lineRule="exact"/>
        <w:rPr>
          <w:rFonts w:ascii="Arial" w:cs="Arial" w:eastAsia="Arial" w:hAnsi="Arial"/>
          <w:sz w:val="17"/>
          <w:szCs w:val="17"/>
          <w:color w:val="auto"/>
        </w:rPr>
      </w:pPr>
    </w:p>
    <w:p>
      <w:pPr>
        <w:ind w:right="80" w:firstLine="656"/>
        <w:spacing w:after="0" w:line="277" w:lineRule="auto"/>
        <w:tabs>
          <w:tab w:leader="none" w:pos="122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Market, subject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official notice of issuance.</w:t>
      </w:r>
    </w:p>
    <w:p>
      <w:pPr>
        <w:spacing w:after="0" w:line="170" w:lineRule="exact"/>
        <w:rPr>
          <w:rFonts w:ascii="Arial" w:cs="Arial" w:eastAsia="Arial" w:hAnsi="Arial"/>
          <w:sz w:val="18"/>
          <w:szCs w:val="18"/>
          <w:color w:val="auto"/>
        </w:rPr>
      </w:pPr>
    </w:p>
    <w:p>
      <w:pPr>
        <w:jc w:val="both"/>
        <w:ind w:right="500" w:firstLine="656"/>
        <w:spacing w:after="0" w:line="264" w:lineRule="auto"/>
        <w:tabs>
          <w:tab w:leader="none" w:pos="1237"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If any filing with FINRA under FINRA Rule 5110 is required with respect to the offering of the Securities, FINRA has</w:t>
      </w:r>
      <w:r>
        <w:rPr>
          <w:rFonts w:ascii="Arial" w:cs="Arial" w:eastAsia="Arial" w:hAnsi="Arial"/>
          <w:sz w:val="18"/>
          <w:szCs w:val="18"/>
          <w:i w:val="1"/>
          <w:iCs w:val="1"/>
          <w:color w:val="auto"/>
        </w:rPr>
        <w:t xml:space="preserve"> </w:t>
      </w:r>
      <w:r>
        <w:rPr>
          <w:rFonts w:ascii="Arial" w:cs="Arial" w:eastAsia="Arial" w:hAnsi="Arial"/>
          <w:sz w:val="18"/>
          <w:szCs w:val="18"/>
          <w:color w:val="auto"/>
        </w:rPr>
        <w:t>confirmed that it has not raised any objection with respect to the fairness and reasonableness of the underwriting terms and arrangements relating to the offering of the Securities.</w:t>
      </w:r>
    </w:p>
    <w:p>
      <w:pPr>
        <w:spacing w:after="0" w:line="181" w:lineRule="exact"/>
        <w:rPr>
          <w:rFonts w:ascii="Arial" w:cs="Arial" w:eastAsia="Arial" w:hAnsi="Arial"/>
          <w:sz w:val="18"/>
          <w:szCs w:val="18"/>
          <w:color w:val="auto"/>
        </w:rPr>
      </w:pPr>
    </w:p>
    <w:p>
      <w:pPr>
        <w:ind w:firstLine="656"/>
        <w:spacing w:after="0" w:line="277" w:lineRule="auto"/>
        <w:tabs>
          <w:tab w:leader="none" w:pos="122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signed by all of the Company’s directors and officers.</w:t>
      </w:r>
    </w:p>
    <w:p>
      <w:pPr>
        <w:spacing w:after="0" w:line="170" w:lineRule="exact"/>
        <w:rPr>
          <w:rFonts w:ascii="Arial" w:cs="Arial" w:eastAsia="Arial" w:hAnsi="Arial"/>
          <w:sz w:val="18"/>
          <w:szCs w:val="18"/>
          <w:color w:val="auto"/>
        </w:rPr>
      </w:pPr>
    </w:p>
    <w:p>
      <w:pPr>
        <w:ind w:right="20" w:firstLine="656"/>
        <w:spacing w:after="0" w:line="259"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 shall have received:</w:t>
      </w:r>
    </w:p>
    <w:p>
      <w:pPr>
        <w:spacing w:after="0" w:line="186" w:lineRule="exact"/>
        <w:rPr>
          <w:rFonts w:ascii="Arial" w:cs="Arial" w:eastAsia="Arial" w:hAnsi="Arial"/>
          <w:sz w:val="18"/>
          <w:szCs w:val="18"/>
          <w:color w:val="auto"/>
        </w:rPr>
      </w:pPr>
    </w:p>
    <w:p>
      <w:pPr>
        <w:ind w:left="660" w:right="120" w:firstLine="645"/>
        <w:spacing w:after="0" w:line="264" w:lineRule="auto"/>
        <w:tabs>
          <w:tab w:leader="none" w:pos="1978"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principal executive officer of the Company and of the principal financial officer of the Company confirming that the certificate delivered at the Closing Time pursuant to Section 5(d) hereof remains true and correct as of such Date of Delivery.</w:t>
      </w:r>
    </w:p>
    <w:p>
      <w:pPr>
        <w:spacing w:after="0" w:line="181" w:lineRule="exact"/>
        <w:rPr>
          <w:rFonts w:ascii="Arial" w:cs="Arial" w:eastAsia="Arial" w:hAnsi="Arial"/>
          <w:sz w:val="18"/>
          <w:szCs w:val="18"/>
          <w:color w:val="auto"/>
        </w:rPr>
      </w:pPr>
    </w:p>
    <w:p>
      <w:pPr>
        <w:ind w:left="660" w:right="260" w:firstLine="645"/>
        <w:spacing w:after="0" w:line="259" w:lineRule="auto"/>
        <w:tabs>
          <w:tab w:leader="none" w:pos="198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Opinion of Counsel for Company</w:t>
      </w:r>
      <w:r>
        <w:rPr>
          <w:rFonts w:ascii="Arial" w:cs="Arial" w:eastAsia="Arial" w:hAnsi="Arial"/>
          <w:sz w:val="18"/>
          <w:szCs w:val="18"/>
          <w:color w:val="auto"/>
        </w:rPr>
        <w:t>. If requested by the Representative, the opinion and negative assurance letter, of Pillsbury Winthrop Shaw Pittman LLP, counsel for the Company, in form and substance reasonably satisfactory to counsel for the Underwriters, dated such Date of Delivery, relating to the Option Securities to be purchased on such Date of Delivery and otherwise to the same effect as the opinion and negative assurance letter required by Section 5(b) hereof.</w:t>
      </w:r>
    </w:p>
    <w:p>
      <w:pPr>
        <w:spacing w:after="0" w:line="186" w:lineRule="exact"/>
        <w:rPr>
          <w:rFonts w:ascii="Arial" w:cs="Arial" w:eastAsia="Arial" w:hAnsi="Arial"/>
          <w:sz w:val="18"/>
          <w:szCs w:val="18"/>
          <w:color w:val="auto"/>
        </w:rPr>
      </w:pPr>
    </w:p>
    <w:p>
      <w:pPr>
        <w:ind w:left="660" w:right="60" w:firstLine="645"/>
        <w:spacing w:after="0" w:line="286" w:lineRule="auto"/>
        <w:tabs>
          <w:tab w:leader="none" w:pos="1997"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Opinion of Counsel for Underwriters</w:t>
      </w:r>
      <w:r>
        <w:rPr>
          <w:rFonts w:ascii="Arial" w:cs="Arial" w:eastAsia="Arial" w:hAnsi="Arial"/>
          <w:sz w:val="17"/>
          <w:szCs w:val="17"/>
          <w:color w:val="auto"/>
        </w:rPr>
        <w:t>. If requested by the Representative, the opinion, and negative assurance letter, of Latham &amp; Watkins LLP counsel for the Underwriters, each dated such Date of Delivery, relating to the Option Securities to be purchased on such Date of Delivery and otherwise to the same effect as the opinion and negative assurance letter required by Section 5(c) hereof.</w:t>
      </w:r>
    </w:p>
    <w:p>
      <w:pPr>
        <w:spacing w:after="0" w:line="165" w:lineRule="exact"/>
        <w:rPr>
          <w:rFonts w:ascii="Arial" w:cs="Arial" w:eastAsia="Arial" w:hAnsi="Arial"/>
          <w:sz w:val="17"/>
          <w:szCs w:val="17"/>
          <w:color w:val="auto"/>
        </w:rPr>
      </w:pPr>
    </w:p>
    <w:p>
      <w:pPr>
        <w:ind w:left="660" w:right="260" w:firstLine="645"/>
        <w:spacing w:after="0" w:line="277" w:lineRule="auto"/>
        <w:tabs>
          <w:tab w:leader="none" w:pos="197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 a letter from each of Ernst &amp; Young LLP and Pricewaterhouse Coopers LLP, in form and substance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satisfactory to the Representative and dated such Date of Delivery, substantially in the same form and substance as the letter furnished to the Representative pursuant to subsection (f) of this Section, except that the “specified date” in the letter furnished pursuant to this paragraph shall be a date not more than three business days prior to such Date of Delivery.</w:t>
      </w:r>
    </w:p>
    <w:p>
      <w:pPr>
        <w:spacing w:after="0" w:line="181" w:lineRule="exact"/>
        <w:rPr>
          <w:sz w:val="20"/>
          <w:szCs w:val="20"/>
          <w:color w:val="auto"/>
        </w:rPr>
      </w:pPr>
    </w:p>
    <w:p>
      <w:pPr>
        <w:ind w:left="660" w:right="720" w:firstLine="645"/>
        <w:spacing w:after="0" w:line="277" w:lineRule="auto"/>
        <w:tabs>
          <w:tab w:leader="none" w:pos="196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Chief Financial Officer Certificate</w:t>
      </w:r>
      <w:r>
        <w:rPr>
          <w:rFonts w:ascii="Arial" w:cs="Arial" w:eastAsia="Arial" w:hAnsi="Arial"/>
          <w:sz w:val="18"/>
          <w:szCs w:val="18"/>
          <w:color w:val="auto"/>
        </w:rPr>
        <w:t>. If requested by the Representative, a certificate from the chief financial officer of the Company in a form reasonably satisfactory to the Representative.</w:t>
      </w:r>
    </w:p>
    <w:p>
      <w:pPr>
        <w:sectPr>
          <w:pgSz w:w="11900" w:h="16838" w:orient="portrait"/>
          <w:cols w:equalWidth="0" w:num="1">
            <w:col w:w="11400"/>
          </w:cols>
          <w:pgMar w:left="240" w:top="125" w:right="259" w:bottom="0" w:gutter="0" w:footer="0" w:header="0"/>
        </w:sectPr>
      </w:pPr>
    </w:p>
    <w:bookmarkStart w:id="12" w:name="page13"/>
    <w:bookmarkEnd w:id="12"/>
    <w:p>
      <w:pPr>
        <w:ind w:right="200" w:firstLine="656"/>
        <w:spacing w:after="0" w:line="276" w:lineRule="auto"/>
        <w:tabs>
          <w:tab w:leader="none" w:pos="1318"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and at each Date of Delivery (if any) counsel for the Underwriters shall have been furnished</w:t>
      </w:r>
      <w:r>
        <w:rPr>
          <w:rFonts w:ascii="Arial" w:cs="Arial" w:eastAsia="Arial" w:hAnsi="Arial"/>
          <w:sz w:val="17"/>
          <w:szCs w:val="17"/>
          <w:i w:val="1"/>
          <w:iCs w:val="1"/>
          <w:color w:val="auto"/>
        </w:rPr>
        <w:t xml:space="preserve"> </w:t>
      </w:r>
      <w:r>
        <w:rPr>
          <w:rFonts w:ascii="Arial" w:cs="Arial" w:eastAsia="Arial" w:hAnsi="Arial"/>
          <w:sz w:val="17"/>
          <w:szCs w:val="17"/>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 and counsel for the Underwriters.</w:t>
      </w:r>
    </w:p>
    <w:p>
      <w:pPr>
        <w:spacing w:after="0" w:line="172" w:lineRule="exact"/>
        <w:rPr>
          <w:rFonts w:ascii="Arial" w:cs="Arial" w:eastAsia="Arial" w:hAnsi="Arial"/>
          <w:sz w:val="17"/>
          <w:szCs w:val="17"/>
          <w:color w:val="auto"/>
        </w:rPr>
      </w:pPr>
    </w:p>
    <w:p>
      <w:pPr>
        <w:jc w:val="both"/>
        <w:ind w:right="120" w:firstLine="656"/>
        <w:spacing w:after="0" w:line="297"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4, 6, 7, 8, 14, 15 and 16 shall survive any such termination and remain in full force and effect.</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64" w:lineRule="auto"/>
        <w:tabs>
          <w:tab w:leader="none" w:pos="129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501(b) under the 1933 Act (each, an “</w:t>
      </w:r>
      <w:r>
        <w:rPr>
          <w:rFonts w:ascii="Arial" w:cs="Arial" w:eastAsia="Arial" w:hAnsi="Arial"/>
          <w:sz w:val="18"/>
          <w:szCs w:val="18"/>
          <w:u w:val="single" w:color="auto"/>
          <w:color w:val="auto"/>
        </w:rPr>
        <w:t>Affiliate</w:t>
      </w:r>
      <w:r>
        <w:rPr>
          <w:rFonts w:ascii="Arial" w:cs="Arial" w:eastAsia="Arial" w:hAnsi="Arial"/>
          <w:sz w:val="18"/>
          <w:szCs w:val="18"/>
          <w:color w:val="auto"/>
        </w:rPr>
        <w:t>”)), its selling agents and each person, if any, who controls any Underwriter within the meaning of Section 15 of the 1933 Act or Section 20 of the 1934 Act as follows:</w:t>
      </w:r>
    </w:p>
    <w:p>
      <w:pPr>
        <w:spacing w:after="0" w:line="181" w:lineRule="exact"/>
        <w:rPr>
          <w:rFonts w:ascii="Arial" w:cs="Arial" w:eastAsia="Arial" w:hAnsi="Arial"/>
          <w:sz w:val="18"/>
          <w:szCs w:val="18"/>
          <w:color w:val="auto"/>
        </w:rPr>
      </w:pPr>
    </w:p>
    <w:p>
      <w:pPr>
        <w:ind w:left="660" w:right="40" w:firstLine="645"/>
        <w:spacing w:after="0" w:line="270" w:lineRule="auto"/>
        <w:tabs>
          <w:tab w:leader="none" w:pos="197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the Rule 430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Arial" w:cs="Arial" w:eastAsia="Arial" w:hAnsi="Arial"/>
          <w:sz w:val="17"/>
          <w:szCs w:val="17"/>
          <w:u w:val="single" w:color="auto"/>
          <w:color w:val="auto"/>
        </w:rPr>
        <w:t>Marketing Materials</w:t>
      </w:r>
      <w:r>
        <w:rPr>
          <w:rFonts w:ascii="Arial" w:cs="Arial" w:eastAsia="Arial" w:hAnsi="Arial"/>
          <w:sz w:val="17"/>
          <w:szCs w:val="17"/>
          <w:color w:val="auto"/>
        </w:rPr>
        <w:t>”), including any roadshow or investor presentations made to investors by the Company (whether in person or electronically), or the omission or alleged omission in any preliminary prospectus, any Issuer Free Writing Prospectus,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ind w:left="660" w:firstLine="645"/>
        <w:spacing w:after="0" w:line="277" w:lineRule="auto"/>
        <w:tabs>
          <w:tab w:leader="none" w:pos="19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81" w:lineRule="exact"/>
        <w:rPr>
          <w:sz w:val="20"/>
          <w:szCs w:val="20"/>
          <w:color w:val="auto"/>
        </w:rPr>
      </w:pPr>
    </w:p>
    <w:p>
      <w:pPr>
        <w:ind w:left="660" w:right="240" w:firstLine="645"/>
        <w:spacing w:after="0" w:line="279" w:lineRule="auto"/>
        <w:tabs>
          <w:tab w:leader="none" w:pos="1997" w:val="left"/>
        </w:tabs>
        <w:numPr>
          <w:ilvl w:val="0"/>
          <w:numId w:val="36"/>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 Information, any Issuer Free Writing Prospectus, the General Disclosure Package, the Prospectus (or any amendment or supplement thereto) or the Marketing Materials in reliance upon and in conformity with the Underwriter Information.</w:t>
      </w:r>
    </w:p>
    <w:p>
      <w:pPr>
        <w:spacing w:after="0" w:line="187" w:lineRule="exact"/>
        <w:rPr>
          <w:sz w:val="20"/>
          <w:szCs w:val="20"/>
          <w:color w:val="auto"/>
        </w:rPr>
      </w:pPr>
    </w:p>
    <w:p>
      <w:pPr>
        <w:jc w:val="both"/>
        <w:ind w:right="120" w:firstLine="656"/>
        <w:spacing w:after="0" w:line="288" w:lineRule="auto"/>
        <w:tabs>
          <w:tab w:leader="none" w:pos="1304"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w:t>
      </w:r>
    </w:p>
    <w:p>
      <w:pPr>
        <w:ind w:right="260" w:firstLine="8"/>
        <w:spacing w:after="0" w:line="302" w:lineRule="auto"/>
        <w:tabs>
          <w:tab w:leader="none" w:pos="2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of this Section, as incurred, but only with respect to untrue statements or omissions, or alleged untrue statements or omissions, made in the Registration Statement (or any amendment thereto), including the Rule 430 Information, any Issuer Free Writing Prospectus, the General Disclosure Package, the Prospectus (or any amendment or supplement thereto) or the Marketing Materials in reliance upon and in conformity with the Underwriter Information.</w:t>
      </w:r>
    </w:p>
    <w:p>
      <w:pPr>
        <w:spacing w:after="0" w:line="155" w:lineRule="exact"/>
        <w:rPr>
          <w:rFonts w:ascii="Arial" w:cs="Arial" w:eastAsia="Arial" w:hAnsi="Arial"/>
          <w:sz w:val="16"/>
          <w:szCs w:val="16"/>
          <w:color w:val="auto"/>
        </w:rPr>
      </w:pPr>
    </w:p>
    <w:p>
      <w:pPr>
        <w:ind w:right="40" w:firstLine="656"/>
        <w:spacing w:after="0" w:line="286" w:lineRule="auto"/>
        <w:tabs>
          <w:tab w:leader="none" w:pos="1307"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3" w:name="page14"/>
    <w:bookmarkEnd w:id="13"/>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and (ii) does not include a statement as to or an admission of fault, culpability or a failure to act by or on behalf of any indemnified party.</w:t>
      </w:r>
    </w:p>
    <w:p>
      <w:pPr>
        <w:spacing w:after="0" w:line="225" w:lineRule="exact"/>
        <w:rPr>
          <w:sz w:val="20"/>
          <w:szCs w:val="20"/>
          <w:color w:val="auto"/>
        </w:rPr>
      </w:pPr>
    </w:p>
    <w:p>
      <w:pPr>
        <w:ind w:firstLine="656"/>
        <w:spacing w:after="0" w:line="255" w:lineRule="auto"/>
        <w:tabs>
          <w:tab w:leader="none" w:pos="130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not joint.</w:t>
      </w:r>
    </w:p>
    <w:p>
      <w:pPr>
        <w:spacing w:after="0" w:line="19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6" w:lineRule="auto"/>
        <w:tabs>
          <w:tab w:leader="none" w:pos="1294"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Representative may terminate this Agreement, by notice to the Company, at any time at or prior to the Closing Time (i) if</w:t>
      </w:r>
      <w:r>
        <w:rPr>
          <w:rFonts w:ascii="Arial" w:cs="Arial" w:eastAsia="Arial" w:hAnsi="Arial"/>
          <w:sz w:val="16"/>
          <w:szCs w:val="16"/>
          <w:i w:val="1"/>
          <w:iCs w:val="1"/>
          <w:color w:val="auto"/>
        </w:rPr>
        <w:t xml:space="preserve"> </w:t>
      </w:r>
      <w:r>
        <w:rPr>
          <w:rFonts w:ascii="Arial" w:cs="Arial" w:eastAsia="Arial" w:hAnsi="Arial"/>
          <w:sz w:val="16"/>
          <w:szCs w:val="16"/>
          <w:color w:val="auto"/>
        </w:rPr>
        <w:t>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4" w:lineRule="exact"/>
        <w:rPr>
          <w:rFonts w:ascii="Arial" w:cs="Arial" w:eastAsia="Arial" w:hAnsi="Arial"/>
          <w:sz w:val="16"/>
          <w:szCs w:val="16"/>
          <w:color w:val="auto"/>
        </w:rPr>
      </w:pPr>
    </w:p>
    <w:p>
      <w:pPr>
        <w:ind w:right="240" w:firstLine="656"/>
        <w:spacing w:after="0" w:line="342" w:lineRule="auto"/>
        <w:tabs>
          <w:tab w:leader="none" w:pos="1304"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party except as provided in Section 4 hereof, and provided further that Sections 1, 4, 6, 7, 8, 14, 15 and 16 shall survive such termination and remain in full</w:t>
      </w:r>
    </w:p>
    <w:p>
      <w:pPr>
        <w:sectPr>
          <w:pgSz w:w="11900" w:h="16908" w:orient="portrait"/>
          <w:cols w:equalWidth="0" w:num="1">
            <w:col w:w="11420"/>
          </w:cols>
          <w:pgMar w:left="240" w:top="125" w:right="239" w:bottom="0" w:gutter="0" w:footer="0" w:header="0"/>
        </w:sectPr>
      </w:pPr>
    </w:p>
    <w:bookmarkStart w:id="14" w:name="page15"/>
    <w:bookmarkEnd w:id="14"/>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force and effect.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w:t>
      </w:r>
      <w:r>
        <w:rPr>
          <w:rFonts w:ascii="Arial" w:cs="Arial" w:eastAsia="Arial" w:hAnsi="Arial"/>
          <w:sz w:val="18"/>
          <w:szCs w:val="18"/>
          <w:u w:val="single" w:color="auto"/>
          <w:color w:val="auto"/>
        </w:rPr>
        <w:t>Defaulted Securities</w:t>
      </w:r>
      <w:r>
        <w:rPr>
          <w:rFonts w:ascii="Arial" w:cs="Arial" w:eastAsia="Arial" w:hAnsi="Arial"/>
          <w:sz w:val="18"/>
          <w:szCs w:val="18"/>
          <w:color w:val="auto"/>
        </w:rPr>
        <w:t>”), the Representative shall have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181" w:lineRule="exact"/>
        <w:rPr>
          <w:sz w:val="20"/>
          <w:szCs w:val="20"/>
          <w:color w:val="auto"/>
        </w:rPr>
      </w:pPr>
    </w:p>
    <w:p>
      <w:pPr>
        <w:jc w:val="both"/>
        <w:ind w:left="660" w:right="140" w:firstLine="645"/>
        <w:spacing w:after="0" w:line="286" w:lineRule="auto"/>
        <w:tabs>
          <w:tab w:leader="none" w:pos="1978"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65" w:lineRule="exact"/>
        <w:rPr>
          <w:rFonts w:ascii="Arial" w:cs="Arial" w:eastAsia="Arial" w:hAnsi="Arial"/>
          <w:sz w:val="17"/>
          <w:szCs w:val="17"/>
          <w:color w:val="auto"/>
        </w:rPr>
      </w:pPr>
    </w:p>
    <w:p>
      <w:pPr>
        <w:jc w:val="both"/>
        <w:ind w:left="660" w:right="160" w:firstLine="645"/>
        <w:spacing w:after="0" w:line="259" w:lineRule="auto"/>
        <w:tabs>
          <w:tab w:leader="none" w:pos="19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93"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Leerink at One Federal Street, Floor 37, Boston, MA 02110, attention of John I. Fitzgerald, Esq. (facsimile: 617-918-4664); and if to the Company shall be directed to it at 6000 Shoreline Court,</w:t>
      </w:r>
    </w:p>
    <w:p>
      <w:pPr>
        <w:ind w:right="160"/>
        <w:spacing w:after="0" w:line="255" w:lineRule="auto"/>
        <w:rPr>
          <w:sz w:val="20"/>
          <w:szCs w:val="20"/>
          <w:color w:val="auto"/>
        </w:rPr>
      </w:pPr>
      <w:r>
        <w:rPr>
          <w:rFonts w:ascii="Arial" w:cs="Arial" w:eastAsia="Arial" w:hAnsi="Arial"/>
          <w:sz w:val="18"/>
          <w:szCs w:val="18"/>
          <w:color w:val="auto"/>
        </w:rPr>
        <w:t>Suite 300, South San Francisco, CA 94080, attention: General Counsel (facsimile (650) - , with a copy (which copy shall not constitute notice) to Pillsbury Winthrop Shaw Pittman LLP, Four Embarcadero Center, 22nd Floor, San Francisco, CA 94111, attention Stanton D. Wong (facsimile (415) 983-1200).</w:t>
      </w:r>
    </w:p>
    <w:p>
      <w:pPr>
        <w:spacing w:after="0" w:line="19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legal, accounting, regulatory or tax advice with respect to the offering of the Securities and the Company has consulted its own respective legal, accounting, regulatory and tax advisors to the extent it deemed appropriate.</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6"/>
          <w:szCs w:val="16"/>
          <w:u w:val="single" w:color="auto"/>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w:t>
      </w:r>
    </w:p>
    <w:p>
      <w:pPr>
        <w:sectPr>
          <w:pgSz w:w="11900" w:h="16945" w:orient="portrait"/>
          <w:cols w:equalWidth="0" w:num="1">
            <w:col w:w="11400"/>
          </w:cols>
          <w:pgMar w:left="240" w:top="125" w:right="259" w:bottom="0" w:gutter="0" w:footer="0" w:header="0"/>
        </w:sectPr>
      </w:pPr>
    </w:p>
    <w:bookmarkStart w:id="15" w:name="page16"/>
    <w:bookmarkEnd w:id="15"/>
    <w:p>
      <w:pPr>
        <w:spacing w:after="0" w:line="4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Bonnie Anderson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President and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Frank Stokes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Frank Stokes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itself and as Representative of the other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per share for the Securities shall be $6.00.</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purchase price per share for the Securities to be paid by the several Underwriters shall be $5.64, being an amount equal to the public offering price set forth above less $0.36 per share, subject to adjustment in accordance with Section 2(b) for dividends or distributions declared by the Company and payable on the Initial Securities but not payable on the Option Securities.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Underwriter</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962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Initial Securities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Pr>
          <w:p>
            <w:pPr>
              <w:ind w:left="18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0"/>
                <w:szCs w:val="20"/>
                <w:color w:val="auto"/>
              </w:rPr>
            </w:pPr>
          </w:p>
        </w:tc>
      </w:tr>
      <w:tr>
        <w:trPr>
          <w:trHeight w:val="20"/>
        </w:trPr>
        <w:tc>
          <w:tcPr>
            <w:tcW w:w="9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8"/>
        </w:trPr>
        <w:tc>
          <w:tcPr>
            <w:tcW w:w="96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B-1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Pricing Terms</w:t>
      </w:r>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is selling 5,000,000 shares of Common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severally and not jointly, to purchase up to an additional 750,000 shares of Common Stock.</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public offering price per share for the Securities shall be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B-2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LOCK-UP AGREEMENT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Veracyte,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undersigned, a stockholder, officer and/or director of Veracyte,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Leerink Partners LLC (“</w:t>
      </w:r>
      <w:r>
        <w:rPr>
          <w:rFonts w:ascii="Arial" w:cs="Arial" w:eastAsia="Arial" w:hAnsi="Arial"/>
          <w:sz w:val="16"/>
          <w:szCs w:val="16"/>
          <w:u w:val="single" w:color="auto"/>
          <w:color w:val="auto"/>
        </w:rPr>
        <w:t>Leerink</w:t>
      </w:r>
      <w:r>
        <w:rPr>
          <w:rFonts w:ascii="Arial" w:cs="Arial" w:eastAsia="Arial" w:hAnsi="Arial"/>
          <w:sz w:val="16"/>
          <w:szCs w:val="16"/>
          <w:color w:val="auto"/>
        </w:rPr>
        <w:t>”) proposes to enter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the Company providing for the public offering (the “</w:t>
      </w:r>
      <w:r>
        <w:rPr>
          <w:rFonts w:ascii="Arial" w:cs="Arial" w:eastAsia="Arial" w:hAnsi="Arial"/>
          <w:sz w:val="16"/>
          <w:szCs w:val="16"/>
          <w:u w:val="single" w:color="auto"/>
          <w:color w:val="auto"/>
        </w:rPr>
        <w:t>Public Offering</w:t>
      </w:r>
      <w:r>
        <w:rPr>
          <w:rFonts w:ascii="Arial" w:cs="Arial" w:eastAsia="Arial" w:hAnsi="Arial"/>
          <w:sz w:val="16"/>
          <w:szCs w:val="16"/>
          <w:color w:val="auto"/>
        </w:rPr>
        <w:t>”) of shares (the “</w:t>
      </w:r>
      <w:r>
        <w:rPr>
          <w:rFonts w:ascii="Arial" w:cs="Arial" w:eastAsia="Arial" w:hAnsi="Arial"/>
          <w:sz w:val="16"/>
          <w:szCs w:val="16"/>
          <w:u w:val="single" w:color="auto"/>
          <w:color w:val="auto"/>
        </w:rPr>
        <w:t>Securities</w:t>
      </w:r>
      <w:r>
        <w:rPr>
          <w:rFonts w:ascii="Arial" w:cs="Arial" w:eastAsia="Arial" w:hAnsi="Arial"/>
          <w:sz w:val="16"/>
          <w:szCs w:val="16"/>
          <w:color w:val="auto"/>
        </w:rPr>
        <w:t>”) of the Company’s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that, during the period beginning on the date hereof and ending on the date that is 90 days from the date of the Underwriting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the undersigned will not, without the prior written consent of Leerink,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Arial" w:cs="Arial" w:eastAsia="Arial" w:hAnsi="Arial"/>
          <w:sz w:val="16"/>
          <w:szCs w:val="16"/>
          <w:u w:val="single" w:color="auto"/>
          <w:color w:val="auto"/>
        </w:rPr>
        <w:t>Lock-Up Securities</w:t>
      </w:r>
      <w:r>
        <w:rPr>
          <w:rFonts w:ascii="Arial" w:cs="Arial" w:eastAsia="Arial" w:hAnsi="Arial"/>
          <w:sz w:val="16"/>
          <w:szCs w:val="16"/>
          <w:color w:val="auto"/>
        </w:rPr>
        <w:t>”), or exercise any right with respect to the registration of any of the Lock-Up Securities, or file or cause to be filed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or (iii) publicly announce the intention to effect any of the transactions covered in clauses (i) and (ii) above.</w:t>
      </w:r>
    </w:p>
    <w:p>
      <w:pPr>
        <w:spacing w:after="0" w:line="16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Notwithstanding the foregoing, the undersigned may transfer Lock-Up Securities without the prior written consent of Leerink as follows: (a) transfers of shares of Common Stock or any security convertible into or exercisable or exchangeable for Common Stock (i) as a bona fide gift, (ii) to an immediate family member or a trust for the direct or indirect benefit of the undersigned or such immediate family member of the undersigned, or (iii) by will or intestacy, (b) (i) if the undersigned is a partnership, limited liability company or a corporation, distributions of shares of Common Stock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security convertible into or exercisable or exchangeable for Common Stock to limited partners, limited liability company members or stockholders of the undersigned or transfers of shares of Common Stock or any security convertible into or exercisable or exchangeable for Common Stock to another corporation, partnership or other business entity that controls, is controlled by or is under common control with the undersigned or (ii) if the undersigned is a trust, transfers of shares of Common Stock or any security convertible into or exercisable or exchangeable for Common Stock to a trustee or beneficiary of the trust;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(a) or (b), (i) each transferee, donee or distributee shall sign and deliver a</w:t>
      </w:r>
    </w:p>
    <w:p>
      <w:pPr>
        <w:sectPr>
          <w:pgSz w:w="11900" w:h="16901" w:orient="portrait"/>
          <w:cols w:equalWidth="0" w:num="1">
            <w:col w:w="11460"/>
          </w:cols>
          <w:pgMar w:left="240" w:top="125" w:right="199" w:bottom="0" w:gutter="0" w:footer="0" w:header="0"/>
        </w:sectPr>
      </w:pPr>
    </w:p>
    <w:bookmarkStart w:id="17" w:name="page18"/>
    <w:bookmarkEnd w:id="17"/>
    <w:p>
      <w:pPr>
        <w:ind w:right="40"/>
        <w:spacing w:after="0" w:line="269" w:lineRule="auto"/>
        <w:rPr>
          <w:sz w:val="20"/>
          <w:szCs w:val="20"/>
          <w:color w:val="auto"/>
        </w:rPr>
      </w:pPr>
      <w:r>
        <w:rPr>
          <w:rFonts w:ascii="Arial" w:cs="Arial" w:eastAsia="Arial" w:hAnsi="Arial"/>
          <w:sz w:val="17"/>
          <w:szCs w:val="17"/>
          <w:color w:val="auto"/>
        </w:rPr>
        <w:t>lock-up agreement substantially in the form of this lock-up agreement and (ii) no filing under Section 16(a)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or other public announcement shall be required or shall be voluntarily made during the Lock-Up Period, (c) the transfer of shares of Common Stock or any security convertible into Common Stock to the Company upon a vesting event of the Company’s securities or upon the exercise of options to purchase the Company’s securities, in each case on a “cashless” or “net exercise” basis or to cover tax withholding obligations of the undersigned in connection with such vesting or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filing under Section 16(a) of the Exchange Act or other public announcement shall be required or shall be made voluntarily in connection with such vesting or exercise (for the avoidance of doubt, it being understood that any subsequent transfer or distribution of the shares of Common Stock or other securities issued upon any exercise, conversion or vesting event shall be subject to the restrictions set forth in this lock-up agreement), or (d) the transfer of shares of Common Stock or any security convertible into or exercisable or exchangeable for Common Stock that occurs pursuant to a qualified domestic order or in connection with a divorce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each transferee shall sign and deliver a lock-up agreement substantially in the form of this lock-up agreement and (ii) no filing under Section 16(a) of the Exchange Act shall be required or shall be voluntarily made during the Lock-Up Period.</w:t>
      </w:r>
    </w:p>
    <w:p>
      <w:pPr>
        <w:spacing w:after="0" w:line="1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Furthermore, no provision in this lock-up agreement shall be deemed to restrict or prohibit (1) the transfer of the undersigned’s Lock-Up Securities to the Company in connection with the termination of the undersigned’s services to the Company, provided that any filing under Section 16(a) of the Exchange Act made in connection with such transfer shall clearly indicate in the footnotes thereto that the filing relates to the circumstances described in this clause (1); (2) the transfer of Lock-Up Securities pursuant to a bona fide third-party tender offer, merger, consolidation or other similar transaction made to all holders of the Common Stock involving a change of control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that such tender offer, merger, consolidation or other such transaction is not completed, such securities held by the undersigned shall remain subject to the restrictions on transfer set forth in this lock-up agreement;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clause (2), “change of control” shall mean the consummation of any bona fide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more than 50% of total voting power of the voting stock of the Company; and (3) the exercise by the undersigned of any option to purchase shares of Common Stock, pursuant to any stock option or other stock plan or arrangement;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underlying shares of Common Stock shall continue to be subject to the restrictions on transfer set forth in this lock-up agreement.</w:t>
      </w:r>
    </w:p>
    <w:p>
      <w:pPr>
        <w:spacing w:after="0" w:line="18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[Notwithstanding anything herein to the contrary, nothing herein shall prevent the undersigned from establishing a 10b5-1 trading plan that complies with Rule 10b5-1 under the Exchange Act (“</w:t>
      </w:r>
      <w:r>
        <w:rPr>
          <w:rFonts w:ascii="Arial" w:cs="Arial" w:eastAsia="Arial" w:hAnsi="Arial"/>
          <w:sz w:val="17"/>
          <w:szCs w:val="17"/>
          <w:u w:val="single" w:color="auto"/>
          <w:color w:val="auto"/>
        </w:rPr>
        <w:t>10b5-1 Trading Plan</w:t>
      </w:r>
      <w:r>
        <w:rPr>
          <w:rFonts w:ascii="Arial" w:cs="Arial" w:eastAsia="Arial" w:hAnsi="Arial"/>
          <w:sz w:val="17"/>
          <w:szCs w:val="17"/>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otherwise voluntarily effect any public filing or report regarding the establishment or amendment of such plan.]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the undersigned agrees that, without the prior written consent of Leerink, on behalf of the Underwriters, it will not, during the Lock-Up Period, make any demand for or exercise any right with respect to, the registration of any Lock-Up Securities.</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Lock-Up Securities except in compliance with the foregoing restrictions.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This lock-up agreement shall automatically terminate, and the undersigned shall be released from the undersigned’s obligations hereunder, upon the earliest to occur, if any, of (i) prior to the execution of the Underwriting Agreement, the Company advises Leerink in writing that it has determined not to proceed with the Public Offering; (ii) the Underwriting Agreement is executed but is terminated prior to the closing of the Public Offering (other than the provisions thereof which survive termination), or (iii) November 30, 2016, in the event that the Underwriting Agreement has not been executed by such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8" w:name="page19"/>
    <w:bookmarkEnd w:id="18"/>
    <w:p>
      <w:pPr>
        <w:ind w:left="4520"/>
        <w:spacing w:after="0" w:line="277" w:lineRule="auto"/>
        <w:rPr>
          <w:sz w:val="20"/>
          <w:szCs w:val="20"/>
          <w:color w:val="auto"/>
        </w:rPr>
      </w:pPr>
      <w:r>
        <w:rPr>
          <w:rFonts w:ascii="Arial" w:cs="Arial" w:eastAsia="Arial" w:hAnsi="Arial"/>
          <w:sz w:val="18"/>
          <w:szCs w:val="18"/>
          <w:i w:val="1"/>
          <w:iCs w:val="1"/>
          <w:color w:val="auto"/>
        </w:rPr>
        <w:t>(indicate capacity of person signing if signing as custodian, trustee, or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184150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40"/>
          </w:cols>
          <w:pgMar w:left="1440" w:top="125" w:right="6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Embarcadero Center,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94111-5998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acting as counsel for Veracyte, Inc., a Delaware corporation (the “Company”), in connection with the issuance and sale of up to 5,750,000 shares (the “Shares”) of common stock, par value $0.001 per share (the “Common Stock”), of the Company, all of which are authorized but heretofore unissued shares to be offered and sold by the Company (including up to 750,000 Shares subject to the underwriters’ over-allotment option), pursuant to the Registration Statement on Form S-3 (Registration No. 333-205204) (the “Registration Statement”), filed by the Company with the Securities and Exchange Commission (the “Commission”) under the Securities Act of 1933 (the “Act”), and related prospectus, dated July 10, 2015, as supplemented by the prospectus supplement dated November 1, 2016 relating to the offer and sale of the Shares (as so supplemented, the “Prospectus”).</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reviewed and are familiar with such documents, corporate proceedings and other matters as we have considered relevant or necessary as a basis for the opinions expressed in this letter. On the basis of the foregoing and subject to the other qualifications and limitations set forth herein, we are of the opinion that the Shares have been duly authorized and, when issued and sold by the Company in the manner described in the Registration Statement and the Prospectus and in accordance with the resolutions adopted by the Board of Directors of the Company, will be validly issued, fully paid and nonassessable.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General Corporation Law of the State of Delaware, as in effect on the date hereof.</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Pricing of Public Offering of 5,000,000 Shares of Common Stock</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SOUTH SAN FRANCISCO, Calif., November 2, 2016 — Veracyte, Inc. (NASDAQ: VCYT) today announced the pricing of an underwritten public offering of 5,000,000 shares of its common stock at a public offering price of $6.00 per share. The gross proceeds to Veracyte from this offering, before deducting underwriting discounts and commissions and offering expenses payable by Veracyte, are expected to be $30 million. All of the shares are being offered by Veracyte. The offering is scheduled to close on or about November 7, 2016, subject to customary closing conditions. In addition, Veracyte has granted to the underwriters participating in the offering a 30-day option to purchase up to an additional 750,000 shares of its common stock at the public offering price, less underwriting discounts and commissions.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Veracyte intends to use the net proceeds from the offering for working capital and other general corporate purposes. Veracyte may also use a portion of the net proceeds from the offering to acquire or invest in complementary businesses, technologies or other assets, although it has no present commitments or agreements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 is acting as the sole book-running manager for the offering and BTIG, LLC is acting as lead manager.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shares will be issued pursuant to a shelf registration statement previously filed with and subsequently declared effective by the Securities and Exchange Commission (SEC). A preliminary prospectus supplement and accompanying prospectus relating to the offering has been filed with the SEC and is available on the SEC’s website at http://www.sec.gov. A final prospectus supplement and accompanying prospectus will be filed with the SEC. A copy of the final prospectus supplement and accompanying prospectus relating to the offering, when available, may be obtained by contacting Leerink Partners LLC, Attention: Syndicate Department, One Federal Street, 37th Floor, Boston, MA, 02110, by email at syndicate@leerink.com, or by telephone at (800) 808-7525, ext. 6142.</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press release does not and shall not constitute an offer to sell or the solicitation of an offer to buy any securities, nor shall there be any sale of these securities in any state or other jurisdiction in which such offer, solicitation or sale would be unlawful prior to registration or qualification under the securities laws of any such state or other jurisdiction. Any offer, if at all, will be made only by means of a prospectus, including a prospectus supplement, forming a part of the effective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Veracyte (NASDAQ: VCYT) is pioneering the field of molecular cytology, offering genomic solutions that resolve diagnostic ambiguity and enable physicians to make more informed treatment decisions at an early stage in patient care. By improving diagnostic accuracy, the company aims to help patients avoid unnecessary invasive procedures while reducing healthcare costs. Veracyte’s Afirma</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Thyroid FNA Analysis centers on the proprietary Afirma Gene Expression Classifier (GEC) and is becoming a new standard of care in thyroid nodule assessment. Veracyte is expanding its molecular cytology franchise to other clinical areas, beginning with difficult-to-diagnose lung diseases. In 2015, the company launched the Percepta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Bronchial Genomic Classifier, a test to evaluate patients with lung nodules that are suspicious for cancer. In October 2016, Veracyte launched its second pulmonology product, the Envisia™ Genomic Classifier, to improve diagnosis of interstitial lung diseases, including idiopathic pulmonary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relating to Veracyte’s expectations regarding the anticipated closing date of the offering, and its intentions with respect to the use of net proceeds from the offering.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those relating to the satisfaction of conditions to the closing of the offering;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of commercialization; our ability to successfully achieve adoption of and reimbursement for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and other risks set forth in the company’s filings with the Securities and Exchange Commission, including the risks set forth in the company’s Quarterly Report on Form 10-Q for the quarter ended June 30, 2016 and Current Report on Form 8-K dated November 1, 2016. These forward-looking statements speak only as of the date hereof and Veracyte specifically disclaims any obligation to update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ectPr>
          <w:pgSz w:w="11900" w:h="16838" w:orient="portrait"/>
          <w:cols w:equalWidth="0" w:num="1">
            <w:col w:w="11420"/>
          </w:cols>
          <w:pgMar w:left="240" w:top="121" w:right="239" w:bottom="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Canale Communications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pam@canalecomm.com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1)"/>
      <w:numFmt w:val="lowerLetter"/>
      <w:start w:val="1"/>
    </w:lvl>
    <w:lvl w:ilvl="1">
      <w:lvlJc w:val="left"/>
      <w:lvlText w:val="(%2)"/>
      <w:numFmt w:val="lowerRoman"/>
      <w:start w:val="1"/>
    </w:lvl>
  </w:abstractNum>
  <w:abstractNum w:abstractNumId="3">
    <w:nsid w:val="2D1D5AE9"/>
    <w:multiLevelType w:val="hybridMultilevel"/>
    <w:lvl w:ilvl="0">
      <w:lvlJc w:val="left"/>
      <w:lvlText w:val="(%1)"/>
      <w:numFmt w:val="lowerRoman"/>
      <w:start w:val="4"/>
    </w:lvl>
  </w:abstractNum>
  <w:abstractNum w:abstractNumId="4">
    <w:nsid w:val="6763845E"/>
    <w:multiLevelType w:val="hybridMultilevel"/>
    <w:lvl w:ilvl="0">
      <w:lvlJc w:val="left"/>
      <w:lvlText w:val="(%1)"/>
      <w:numFmt w:val="lowerRoman"/>
      <w:start w:val="10"/>
    </w:lvl>
  </w:abstractNum>
  <w:abstractNum w:abstractNumId="5">
    <w:nsid w:val="75A2A8D4"/>
    <w:multiLevelType w:val="hybridMultilevel"/>
    <w:lvl w:ilvl="0">
      <w:lvlJc w:val="left"/>
      <w:lvlText w:val="(%1)"/>
      <w:numFmt w:val="lowerRoman"/>
      <w:start w:val="12"/>
    </w:lvl>
  </w:abstractNum>
  <w:abstractNum w:abstractNumId="6">
    <w:nsid w:val="8EDBDAB"/>
    <w:multiLevelType w:val="hybridMultilevel"/>
    <w:lvl w:ilvl="0">
      <w:lvlJc w:val="left"/>
      <w:lvlText w:val="(%1)"/>
      <w:numFmt w:val="lowerRoman"/>
      <w:start w:val="18"/>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upperLetter"/>
      <w:start w:val="2"/>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Roman"/>
      <w:start w:val="1"/>
    </w:lvl>
    <w:lvl w:ilvl="1">
      <w:lvlJc w:val="left"/>
      <w:lvlText w:val="(%2)"/>
      <w:numFmt w:val="upperLetter"/>
      <w:start w:val="3"/>
    </w:lvl>
  </w:abstractNum>
  <w:abstractNum w:abstractNumId="11">
    <w:nsid w:val="54E49EB4"/>
    <w:multiLevelType w:val="hybridMultilevel"/>
    <w:lvl w:ilvl="0">
      <w:lvlJc w:val="left"/>
      <w:lvlText w:val="(%1)"/>
      <w:numFmt w:val="lowerRoman"/>
      <w:start w:val="20"/>
    </w:lvl>
    <w:lvl w:ilvl="1">
      <w:lvlJc w:val="left"/>
      <w:lvlText w:val="%2"/>
      <w:numFmt w:val="upperLetter"/>
      <w:start w:val="1"/>
    </w:lvl>
  </w:abstractNum>
  <w:abstractNum w:abstractNumId="12">
    <w:nsid w:val="71F32454"/>
    <w:multiLevelType w:val="hybridMultilevel"/>
    <w:lvl w:ilvl="0">
      <w:lvlJc w:val="left"/>
      <w:lvlText w:val="(%1)"/>
      <w:numFmt w:val="lowerRoman"/>
      <w:start w:val="21"/>
    </w:lvl>
  </w:abstractNum>
  <w:abstractNum w:abstractNumId="13">
    <w:nsid w:val="2CA88611"/>
    <w:multiLevelType w:val="hybridMultilevel"/>
    <w:lvl w:ilvl="0">
      <w:lvlJc w:val="left"/>
      <w:lvlText w:val="(%1)"/>
      <w:numFmt w:val="lowerRoman"/>
      <w:start w:val="24"/>
    </w:lvl>
  </w:abstractNum>
  <w:abstractNum w:abstractNumId="14">
    <w:nsid w:val="836C40E"/>
    <w:multiLevelType w:val="hybridMultilevel"/>
    <w:lvl w:ilvl="0">
      <w:lvlJc w:val="left"/>
      <w:lvlText w:val="(%1)"/>
      <w:numFmt w:val="lowerRoman"/>
      <w:start w:val="26"/>
    </w:lvl>
  </w:abstractNum>
  <w:abstractNum w:abstractNumId="15">
    <w:nsid w:val="2901D82"/>
    <w:multiLevelType w:val="hybridMultilevel"/>
    <w:lvl w:ilvl="0">
      <w:lvlJc w:val="left"/>
      <w:lvlText w:val="(%1)"/>
      <w:numFmt w:val="lowerRoman"/>
      <w:start w:val="30"/>
    </w:lvl>
  </w:abstractNum>
  <w:abstractNum w:abstractNumId="16">
    <w:nsid w:val="3A95F874"/>
    <w:multiLevelType w:val="hybridMultilevel"/>
    <w:lvl w:ilvl="0">
      <w:lvlJc w:val="left"/>
      <w:lvlText w:val="(%1)"/>
      <w:numFmt w:val="lowerRoman"/>
      <w:start w:val="33"/>
    </w:lvl>
  </w:abstractNum>
  <w:abstractNum w:abstractNumId="17">
    <w:nsid w:val="8138641"/>
    <w:multiLevelType w:val="hybridMultilevel"/>
    <w:lvl w:ilvl="0">
      <w:lvlJc w:val="left"/>
      <w:lvlText w:val="(%1)"/>
      <w:numFmt w:val="lowerRoman"/>
      <w:start w:val="37"/>
    </w:lvl>
  </w:abstractNum>
  <w:abstractNum w:abstractNumId="18">
    <w:nsid w:val="1E7FF521"/>
    <w:multiLevelType w:val="hybridMultilevel"/>
    <w:lvl w:ilvl="0">
      <w:lvlJc w:val="left"/>
      <w:lvlText w:val="(%1)"/>
      <w:numFmt w:val="lowerLetter"/>
      <w:start w:val="2"/>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3"/>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lowerLetter"/>
      <w:start w:val="3"/>
    </w:lvl>
  </w:abstractNum>
  <w:abstractNum w:abstractNumId="24">
    <w:nsid w:val="3006C83E"/>
    <w:multiLevelType w:val="hybridMultilevel"/>
    <w:lvl w:ilvl="0">
      <w:lvlJc w:val="left"/>
      <w:lvlText w:val="(%1)"/>
      <w:numFmt w:val="lowerLetter"/>
      <w:start w:val="4"/>
    </w:lvl>
  </w:abstractNum>
  <w:abstractNum w:abstractNumId="25">
    <w:nsid w:val="614FD4A1"/>
    <w:multiLevelType w:val="hybridMultilevel"/>
    <w:lvl w:ilvl="0">
      <w:lvlJc w:val="left"/>
      <w:lvlText w:val="(%1)"/>
      <w:numFmt w:val="lowerLetter"/>
      <w:start w:val="10"/>
    </w:lvl>
  </w:abstractNum>
  <w:abstractNum w:abstractNumId="26">
    <w:nsid w:val="419AC241"/>
    <w:multiLevelType w:val="hybridMultilevel"/>
    <w:lvl w:ilvl="0">
      <w:lvlJc w:val="left"/>
      <w:lvlText w:val="(%1)"/>
      <w:numFmt w:val="lowerLetter"/>
      <w:start w:val="11"/>
    </w:lvl>
  </w:abstractNum>
  <w:abstractNum w:abstractNumId="27">
    <w:nsid w:val="5577F8E1"/>
    <w:multiLevelType w:val="hybridMultilevel"/>
    <w:lvl w:ilvl="0">
      <w:lvlJc w:val="left"/>
      <w:lvlText w:val="(%1)"/>
      <w:numFmt w:val="lowerLetter"/>
      <w:start w:val="12"/>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4"/>
    </w:lvl>
  </w:abstractNum>
  <w:abstractNum w:abstractNumId="31">
    <w:nsid w:val="77465F01"/>
    <w:multiLevelType w:val="hybridMultilevel"/>
    <w:lvl w:ilvl="0">
      <w:lvlJc w:val="left"/>
      <w:lvlText w:val="(%1)"/>
      <w:numFmt w:val="lowerLetter"/>
      <w:start w:val="6"/>
    </w:lvl>
    <w:lvl w:ilvl="1">
      <w:lvlJc w:val="left"/>
      <w:lvlText w:val="(%2)"/>
      <w:numFmt w:val="lowerRoman"/>
      <w:start w:val="1"/>
    </w:lvl>
  </w:abstractNum>
  <w:abstractNum w:abstractNumId="32">
    <w:nsid w:val="7724C67E"/>
    <w:multiLevelType w:val="hybridMultilevel"/>
    <w:lvl w:ilvl="0">
      <w:lvlJc w:val="left"/>
      <w:lvlText w:val="(%1)"/>
      <w:numFmt w:val="lowerRoman"/>
      <w:start w:val="5"/>
    </w:lvl>
  </w:abstractNum>
  <w:abstractNum w:abstractNumId="33">
    <w:nsid w:val="5C482A97"/>
    <w:multiLevelType w:val="hybridMultilevel"/>
    <w:lvl w:ilvl="0">
      <w:lvlJc w:val="left"/>
      <w:lvlText w:val="(%1)"/>
      <w:numFmt w:val="lowerLetter"/>
      <w:start w:val="12"/>
    </w:lvl>
  </w:abstractNum>
  <w:abstractNum w:abstractNumId="34">
    <w:nsid w:val="2463B9EA"/>
    <w:multiLevelType w:val="hybridMultilevel"/>
    <w:lvl w:ilvl="0">
      <w:lvlJc w:val="left"/>
      <w:lvlText w:val="(%1)"/>
      <w:numFmt w:val="lowerLetter"/>
      <w:start w:val="1"/>
    </w:lvl>
    <w:lvl w:ilvl="1">
      <w:lvlJc w:val="left"/>
      <w:lvlText w:val="(%2)"/>
      <w:numFmt w:val="lowerRoman"/>
      <w:start w:val="1"/>
    </w:lvl>
  </w:abstractNum>
  <w:abstractNum w:abstractNumId="35">
    <w:nsid w:val="5E884ADC"/>
    <w:multiLevelType w:val="hybridMultilevel"/>
    <w:lvl w:ilvl="0">
      <w:lvlJc w:val="left"/>
      <w:lvlText w:val="(%1)"/>
      <w:numFmt w:val="lowerRoman"/>
      <w:start w:val="3"/>
    </w:lvl>
  </w:abstractNum>
  <w:abstractNum w:abstractNumId="36">
    <w:nsid w:val="51EAD36B"/>
    <w:multiLevelType w:val="hybridMultilevel"/>
    <w:lvl w:ilvl="0">
      <w:lvlJc w:val="left"/>
      <w:lvlText w:val="%1"/>
      <w:numFmt w:val="lowerLetter"/>
      <w:start w:val="1"/>
    </w:lvl>
    <w:lvl w:ilvl="1">
      <w:lvlJc w:val="left"/>
      <w:lvlText w:val="(%2)"/>
      <w:numFmt w:val="lowerLetter"/>
      <w:start w:val="2"/>
    </w:lvl>
  </w:abstractNum>
  <w:abstractNum w:abstractNumId="37">
    <w:nsid w:val="2D517796"/>
    <w:multiLevelType w:val="hybridMultilevel"/>
    <w:lvl w:ilvl="0">
      <w:lvlJc w:val="left"/>
      <w:lvlText w:val="(%1)"/>
      <w:numFmt w:val="lowerLetter"/>
      <w:start w:val="1"/>
    </w:lvl>
    <w:lvl w:ilvl="1">
      <w:lvlJc w:val="left"/>
      <w:lvlText w:val="(%2)"/>
      <w:numFmt w:val="lowerLetter"/>
      <w:start w:val="3"/>
    </w:lvl>
  </w:abstractNum>
  <w:abstractNum w:abstractNumId="38">
    <w:nsid w:val="580BD78F"/>
    <w:multiLevelType w:val="hybridMultilevel"/>
    <w:lvl w:ilvl="0">
      <w:lvlJc w:val="left"/>
      <w:lvlText w:val="(%1)"/>
      <w:numFmt w:val="lowerLetter"/>
      <w:start w:val="4"/>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2019-12-08T13:48:17Z</dcterms:created>
  <dcterms:modified xsi:type="dcterms:W3CDTF">2019-12-08T13:48:17Z</dcterms:modified>
</cp:coreProperties>
</file>