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36195</wp:posOffset>
            </wp:positionV>
            <wp:extent cx="6968490" cy="18751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875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Anderson Bonnie H</w:t>
        </w:r>
      </w:hyperlink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6000 SHORELINE COURT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VCYT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09/10/2020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62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Chairman and CEO</w:t>
      </w:r>
    </w:p>
    <w:p>
      <w:pPr>
        <w:spacing w:after="0" w:line="4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2C2C2C"/>
              <w:bottom w:val="single" w:sz="8" w:color="2C2C2C"/>
            </w:tcBorders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tcBorders>
              <w:top w:val="single" w:sz="8" w:color="2C2C2C"/>
              <w:bottom w:val="single" w:sz="8" w:color="2C2C2C"/>
            </w:tcBorders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7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28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1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10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jc w:val="center"/>
              <w:ind w:left="927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9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09/10/2020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20,000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8.86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240,231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9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09/10/2020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13,393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30.6081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226,838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9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09/10/2020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6,607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31.4706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6"/>
                <w:vertAlign w:val="superscript"/>
              </w:rPr>
              <w:t>(3)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220,231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Bonnie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99,085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Anderson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Living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 ANP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25,000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Anderson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MJP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25,000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Anderson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-3348355</wp:posOffset>
            </wp:positionV>
            <wp:extent cx="7033895" cy="54286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5428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8.86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09/10/2020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03/02/2025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148,312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transactions on this Form 4 were made pursuant to a Rule 10b5-1 plan adopted by the reporting person on August 2, 2019.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weighted average sales price. Sale prices for the transactions range from $30.11 to $31.11. Detailed information regarding the number of shares sold at each separate price will be provided to the SEC, the issuer or a shareholder upon request.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weighted average sales price. Sale prices for the transactions range from $31.12 to $31.95. Detailed information regarding the number of shares sold at each separate price will be provided to the SEC, the issuer or a shareholder upon request.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disclaims beneficial ownership of the shares held by the Trust except to the extent of her pecuniary interest therein, if any.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is fully vested.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Keith Kennedy, as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09/14/2020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500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0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2774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4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88970" TargetMode="External"/><Relationship Id="rId14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2020-09-14T16:14:05Z</dcterms:created>
  <dcterms:modified xsi:type="dcterms:W3CDTF">2020-09-14T16:14:05Z</dcterms:modified>
</cp:coreProperties>
</file>