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12,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6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UNDER</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SECURITIES ACT OF 1933</w:t>
      </w:r>
    </w:p>
    <w:p>
      <w:pPr>
        <w:spacing w:after="0" w:line="6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VERACYTE, INC.</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89"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572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8"/>
              </w:rPr>
              <w:t>Delaware</w:t>
            </w:r>
          </w:p>
        </w:tc>
        <w:tc>
          <w:tcPr>
            <w:tcW w:w="23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20-5455398</w:t>
            </w:r>
          </w:p>
        </w:tc>
      </w:tr>
      <w:tr>
        <w:trPr>
          <w:trHeight w:val="216"/>
        </w:trPr>
        <w:tc>
          <w:tcPr>
            <w:tcW w:w="572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2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1"/>
        </w:trPr>
        <w:tc>
          <w:tcPr>
            <w:tcW w:w="572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6000 Shoreline Court, Suite 300</w:t>
            </w:r>
          </w:p>
        </w:tc>
        <w:tc>
          <w:tcPr>
            <w:tcW w:w="2340" w:type="dxa"/>
            <w:vAlign w:val="bottom"/>
          </w:tcPr>
          <w:p>
            <w:pPr>
              <w:spacing w:after="0"/>
              <w:rPr>
                <w:sz w:val="24"/>
                <w:szCs w:val="24"/>
                <w:color w:val="auto"/>
              </w:rPr>
            </w:pPr>
          </w:p>
        </w:tc>
      </w:tr>
      <w:tr>
        <w:trPr>
          <w:trHeight w:val="216"/>
        </w:trPr>
        <w:tc>
          <w:tcPr>
            <w:tcW w:w="572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9"/>
              </w:rPr>
              <w:t>South San Francisco, California</w:t>
            </w:r>
          </w:p>
        </w:tc>
        <w:tc>
          <w:tcPr>
            <w:tcW w:w="23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94080</w:t>
            </w:r>
          </w:p>
        </w:tc>
      </w:tr>
      <w:tr>
        <w:trPr>
          <w:trHeight w:val="275"/>
        </w:trPr>
        <w:tc>
          <w:tcPr>
            <w:tcW w:w="572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56"/>
        </w:trPr>
        <w:tc>
          <w:tcPr>
            <w:tcW w:w="5720" w:type="dxa"/>
            <w:vAlign w:val="bottom"/>
          </w:tcPr>
          <w:p>
            <w:pPr>
              <w:jc w:val="center"/>
              <w:ind w:left="2350"/>
              <w:spacing w:after="0"/>
              <w:rPr>
                <w:sz w:val="20"/>
                <w:szCs w:val="20"/>
                <w:color w:val="auto"/>
              </w:rPr>
            </w:pPr>
            <w:r>
              <w:rPr>
                <w:rFonts w:ascii="Times New Roman" w:cs="Times New Roman" w:eastAsia="Times New Roman" w:hAnsi="Times New Roman"/>
                <w:sz w:val="18"/>
                <w:szCs w:val="18"/>
                <w:color w:val="auto"/>
                <w:w w:val="99"/>
              </w:rPr>
              <w:t>Veracyte, Inc. 2023 Equity Incentive Plan</w:t>
            </w:r>
          </w:p>
        </w:tc>
        <w:tc>
          <w:tcPr>
            <w:tcW w:w="2340" w:type="dxa"/>
            <w:vAlign w:val="bottom"/>
          </w:tcPr>
          <w:p>
            <w:pPr>
              <w:spacing w:after="0"/>
              <w:rPr>
                <w:sz w:val="22"/>
                <w:szCs w:val="22"/>
                <w:color w:val="auto"/>
              </w:rPr>
            </w:pPr>
          </w:p>
        </w:tc>
      </w:tr>
      <w:tr>
        <w:trPr>
          <w:trHeight w:val="270"/>
        </w:trPr>
        <w:tc>
          <w:tcPr>
            <w:tcW w:w="572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2340" w:type="dxa"/>
            <w:vAlign w:val="bottom"/>
          </w:tcPr>
          <w:p>
            <w:pPr>
              <w:spacing w:after="0"/>
              <w:rPr>
                <w:sz w:val="23"/>
                <w:szCs w:val="23"/>
                <w:color w:val="auto"/>
              </w:rPr>
            </w:pPr>
          </w:p>
        </w:tc>
      </w:tr>
      <w:tr>
        <w:trPr>
          <w:trHeight w:val="292"/>
        </w:trPr>
        <w:tc>
          <w:tcPr>
            <w:tcW w:w="572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Marc Stapley</w:t>
            </w:r>
          </w:p>
        </w:tc>
        <w:tc>
          <w:tcPr>
            <w:tcW w:w="2340" w:type="dxa"/>
            <w:vAlign w:val="bottom"/>
          </w:tcPr>
          <w:p>
            <w:pPr>
              <w:spacing w:after="0"/>
              <w:rPr>
                <w:sz w:val="24"/>
                <w:szCs w:val="24"/>
                <w:color w:val="auto"/>
              </w:rPr>
            </w:pPr>
          </w:p>
        </w:tc>
      </w:tr>
      <w:tr>
        <w:trPr>
          <w:trHeight w:val="216"/>
        </w:trPr>
        <w:tc>
          <w:tcPr>
            <w:tcW w:w="572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340" w:type="dxa"/>
            <w:vAlign w:val="bottom"/>
          </w:tcPr>
          <w:p>
            <w:pPr>
              <w:spacing w:after="0"/>
              <w:rPr>
                <w:sz w:val="18"/>
                <w:szCs w:val="18"/>
                <w:color w:val="auto"/>
              </w:rPr>
            </w:pPr>
          </w:p>
        </w:tc>
      </w:tr>
      <w:tr>
        <w:trPr>
          <w:trHeight w:val="216"/>
        </w:trPr>
        <w:tc>
          <w:tcPr>
            <w:tcW w:w="572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6000 Shoreline Court, Suite 300</w:t>
            </w:r>
          </w:p>
        </w:tc>
        <w:tc>
          <w:tcPr>
            <w:tcW w:w="2340" w:type="dxa"/>
            <w:vAlign w:val="bottom"/>
          </w:tcPr>
          <w:p>
            <w:pPr>
              <w:spacing w:after="0"/>
              <w:rPr>
                <w:sz w:val="18"/>
                <w:szCs w:val="18"/>
                <w:color w:val="auto"/>
              </w:rPr>
            </w:pPr>
          </w:p>
        </w:tc>
      </w:tr>
      <w:tr>
        <w:trPr>
          <w:trHeight w:val="216"/>
        </w:trPr>
        <w:tc>
          <w:tcPr>
            <w:tcW w:w="5720" w:type="dxa"/>
            <w:vAlign w:val="bottom"/>
          </w:tcPr>
          <w:p>
            <w:pPr>
              <w:jc w:val="center"/>
              <w:ind w:left="2730"/>
              <w:spacing w:after="0"/>
              <w:rPr>
                <w:sz w:val="20"/>
                <w:szCs w:val="20"/>
                <w:color w:val="auto"/>
              </w:rPr>
            </w:pPr>
            <w:r>
              <w:rPr>
                <w:rFonts w:ascii="Times New Roman" w:cs="Times New Roman" w:eastAsia="Times New Roman" w:hAnsi="Times New Roman"/>
                <w:sz w:val="18"/>
                <w:szCs w:val="18"/>
                <w:color w:val="auto"/>
                <w:w w:val="99"/>
              </w:rPr>
              <w:t>South San Francisco, California</w:t>
            </w:r>
          </w:p>
        </w:tc>
        <w:tc>
          <w:tcPr>
            <w:tcW w:w="2340" w:type="dxa"/>
            <w:vAlign w:val="bottom"/>
          </w:tcPr>
          <w:p>
            <w:pPr>
              <w:spacing w:after="0"/>
              <w:rPr>
                <w:sz w:val="18"/>
                <w:szCs w:val="18"/>
                <w:color w:val="auto"/>
              </w:rPr>
            </w:pPr>
          </w:p>
        </w:tc>
      </w:tr>
      <w:tr>
        <w:trPr>
          <w:trHeight w:val="216"/>
        </w:trPr>
        <w:tc>
          <w:tcPr>
            <w:tcW w:w="572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rPr>
              <w:t>(Name and address of agent for service)</w:t>
            </w:r>
          </w:p>
        </w:tc>
        <w:tc>
          <w:tcPr>
            <w:tcW w:w="2340" w:type="dxa"/>
            <w:vAlign w:val="bottom"/>
          </w:tcPr>
          <w:p>
            <w:pPr>
              <w:spacing w:after="0"/>
              <w:rPr>
                <w:sz w:val="18"/>
                <w:szCs w:val="18"/>
                <w:color w:val="auto"/>
              </w:rPr>
            </w:pPr>
          </w:p>
        </w:tc>
      </w:tr>
      <w:tr>
        <w:trPr>
          <w:trHeight w:val="216"/>
        </w:trPr>
        <w:tc>
          <w:tcPr>
            <w:tcW w:w="572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w w:val="99"/>
              </w:rPr>
              <w:t>(650) 243-6300</w:t>
            </w:r>
          </w:p>
        </w:tc>
        <w:tc>
          <w:tcPr>
            <w:tcW w:w="2340" w:type="dxa"/>
            <w:vAlign w:val="bottom"/>
          </w:tcPr>
          <w:p>
            <w:pPr>
              <w:spacing w:after="0"/>
              <w:rPr>
                <w:sz w:val="18"/>
                <w:szCs w:val="18"/>
                <w:color w:val="auto"/>
              </w:rPr>
            </w:pPr>
          </w:p>
        </w:tc>
      </w:tr>
      <w:tr>
        <w:trPr>
          <w:trHeight w:val="216"/>
        </w:trPr>
        <w:tc>
          <w:tcPr>
            <w:tcW w:w="80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(Telephone number, including area code, of agent for service)</w:t>
            </w:r>
          </w:p>
        </w:tc>
      </w:tr>
      <w:tr>
        <w:trPr>
          <w:trHeight w:val="234"/>
        </w:trPr>
        <w:tc>
          <w:tcPr>
            <w:tcW w:w="5720" w:type="dxa"/>
            <w:vAlign w:val="bottom"/>
          </w:tcPr>
          <w:p>
            <w:pPr>
              <w:jc w:val="center"/>
              <w:ind w:left="2730"/>
              <w:spacing w:after="0"/>
              <w:rPr>
                <w:sz w:val="20"/>
                <w:szCs w:val="20"/>
                <w:color w:val="auto"/>
              </w:rPr>
            </w:pPr>
            <w:r>
              <w:rPr>
                <w:rFonts w:ascii="Times New Roman" w:cs="Times New Roman" w:eastAsia="Times New Roman" w:hAnsi="Times New Roman"/>
                <w:sz w:val="18"/>
                <w:szCs w:val="18"/>
                <w:color w:val="auto"/>
              </w:rPr>
              <w:t>Copies to:</w:t>
            </w:r>
          </w:p>
        </w:tc>
        <w:tc>
          <w:tcPr>
            <w:tcW w:w="2340" w:type="dxa"/>
            <w:vAlign w:val="bottom"/>
          </w:tcPr>
          <w:p>
            <w:pPr>
              <w:spacing w:after="0"/>
              <w:rPr>
                <w:sz w:val="20"/>
                <w:szCs w:val="20"/>
                <w:color w:val="auto"/>
              </w:rPr>
            </w:pPr>
          </w:p>
        </w:tc>
      </w:tr>
      <w:tr>
        <w:trPr>
          <w:trHeight w:val="319"/>
        </w:trPr>
        <w:tc>
          <w:tcPr>
            <w:tcW w:w="572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9"/>
              </w:rPr>
              <w:t>Ran Ben-Tzur, Esq.</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Annie McGuire Esq.</w:t>
            </w:r>
          </w:p>
        </w:tc>
      </w:tr>
      <w:tr>
        <w:trPr>
          <w:trHeight w:val="216"/>
        </w:trPr>
        <w:tc>
          <w:tcPr>
            <w:tcW w:w="572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9"/>
              </w:rPr>
              <w:t>Chelsea Anderson, Esq.</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 and</w:t>
            </w:r>
          </w:p>
        </w:tc>
      </w:tr>
      <w:tr>
        <w:trPr>
          <w:trHeight w:val="216"/>
        </w:trPr>
        <w:tc>
          <w:tcPr>
            <w:tcW w:w="572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w w:val="98"/>
              </w:rPr>
              <w:t>Fenwick &amp; West LLP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16"/>
        </w:trPr>
        <w:tc>
          <w:tcPr>
            <w:tcW w:w="572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9"/>
              </w:rPr>
              <w:t>730 Arizona Avenue, 1st Floor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Veracyte, Inc.</w:t>
            </w:r>
          </w:p>
        </w:tc>
      </w:tr>
      <w:tr>
        <w:trPr>
          <w:trHeight w:val="234"/>
        </w:trPr>
        <w:tc>
          <w:tcPr>
            <w:tcW w:w="5720" w:type="dxa"/>
            <w:vAlign w:val="bottom"/>
          </w:tcPr>
          <w:p>
            <w:pPr>
              <w:jc w:val="center"/>
              <w:ind w:right="2710"/>
              <w:spacing w:after="0"/>
              <w:rPr>
                <w:sz w:val="20"/>
                <w:szCs w:val="20"/>
                <w:color w:val="auto"/>
              </w:rPr>
            </w:pPr>
            <w:r>
              <w:rPr>
                <w:rFonts w:ascii="Times New Roman" w:cs="Times New Roman" w:eastAsia="Times New Roman" w:hAnsi="Times New Roman"/>
                <w:sz w:val="18"/>
                <w:szCs w:val="18"/>
                <w:color w:val="auto"/>
              </w:rPr>
              <w:t>Santa Monica, California 90401</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w w:val="99"/>
              </w:rPr>
              <w:t>6000 Shoreline Court, Suite 300</w:t>
            </w:r>
          </w:p>
        </w:tc>
      </w:tr>
    </w:tbl>
    <w:p>
      <w:pPr>
        <w:jc w:val="center"/>
        <w:ind w:left="524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4"/>
          <w:szCs w:val="24"/>
          <w:color w:val="auto"/>
        </w:rPr>
      </w:pPr>
    </w:p>
    <w:p>
      <w:pPr>
        <w:jc w:val="center"/>
        <w:ind w:left="5240"/>
        <w:spacing w:after="0"/>
        <w:rPr>
          <w:sz w:val="20"/>
          <w:szCs w:val="20"/>
          <w:color w:val="auto"/>
        </w:rPr>
      </w:pPr>
      <w:r>
        <w:rPr>
          <w:rFonts w:ascii="Times New Roman" w:cs="Times New Roman" w:eastAsia="Times New Roman" w:hAnsi="Times New Roman"/>
          <w:sz w:val="18"/>
          <w:szCs w:val="18"/>
          <w:color w:val="auto"/>
        </w:rPr>
        <w:t>(650) 243-6300</w:t>
      </w:r>
    </w:p>
    <w:p>
      <w:pPr>
        <w:spacing w:after="0" w:line="200" w:lineRule="exact"/>
        <w:rPr>
          <w:sz w:val="24"/>
          <w:szCs w:val="24"/>
          <w:color w:val="auto"/>
        </w:rPr>
      </w:pPr>
    </w:p>
    <w:p>
      <w:pPr>
        <w:spacing w:after="0" w:line="2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60" w:type="dxa"/>
            <w:vAlign w:val="bottom"/>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1012" w:right="339" w:bottom="1440" w:gutter="0" w:footer="0" w:header="0"/>
        </w:sectPr>
      </w:pPr>
    </w:p>
    <w:bookmarkStart w:id="1" w:name="page2"/>
    <w:bookmarkEnd w:id="1"/>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080"/>
          </w:cols>
          <w:pgMar w:left="320" w:top="89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83"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Pursuant to General Instruction E of Form S-8, Veracyte, Inc. (the “Registrant”) is filing this Registration Statement on Form S-8 with the U.S. Securities and Exchange Commission (the “Commission”) to register 5,000,000 additional shares of the Registrant’s common stock (the “Share Increase”) available for issuance under the Registrant’s 2023 Equity Incentive Plan (the “2023 Plan”). At the Registrant’s Annual Meeting of Stockholders held on June 12, 2024, the Registrant’s stockholders, among other things, approved the Share Increase under the 2023 Plan.</w:t>
      </w:r>
    </w:p>
    <w:p>
      <w:pPr>
        <w:spacing w:after="0" w:line="20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accordance with General Instruction E of Form S-8, and only with respect to the common stock issuable under the 2023 Plan, this Registration Statement hereby incorporates by reference the contents of the Registrant’s Registration Statements on Form S-8 filed with the Commission on October 30, 2013 (File No. 333-191992), March 30, 2015 (File No. 333-203097), March 14, 2016 (File No. 333-210185), March 2, 2017 (File No. 333-216388), February 28, 2018 (File No. 333-223292), February 25, 2019 (File No. 333-229848), February 25, 2020 (File No. 333-236630), February 22, 2021 (File No. 333-253363), March 1, 2022 (File No. 333-263116) and March 1, 2023 (File No. 333-270147), in each case as amended, to the extent not superseded hereby. In accordance with the instructional note to Part I of Form S-8 as promulgated by the Commission, the information specified by Part I of Form S-8 has been omitted from this Registration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by reference in this Registration Statement:</w:t>
      </w:r>
    </w:p>
    <w:p>
      <w:pPr>
        <w:spacing w:after="0" w:line="225" w:lineRule="exact"/>
        <w:rPr>
          <w:sz w:val="20"/>
          <w:szCs w:val="20"/>
          <w:color w:val="auto"/>
        </w:rPr>
      </w:pPr>
    </w:p>
    <w:p>
      <w:pPr>
        <w:ind w:left="1040" w:hanging="384"/>
        <w:spacing w:after="0"/>
        <w:tabs>
          <w:tab w:leader="none" w:pos="1040" w:val="left"/>
        </w:tabs>
        <w:numPr>
          <w:ilvl w:val="0"/>
          <w:numId w:val="1"/>
        </w:numPr>
        <w:rPr>
          <w:rFonts w:ascii="Times New Roman" w:cs="Times New Roman" w:eastAsia="Times New Roman" w:hAnsi="Times New Roman"/>
          <w:sz w:val="18"/>
          <w:szCs w:val="18"/>
          <w:u w:val="single" w:color="auto"/>
          <w:color w:val="0000FF"/>
        </w:rPr>
      </w:pPr>
      <w:hyperlink r:id="rId8">
        <w:r>
          <w:rPr>
            <w:rFonts w:ascii="Times New Roman" w:cs="Times New Roman" w:eastAsia="Times New Roman" w:hAnsi="Times New Roman"/>
            <w:sz w:val="18"/>
            <w:szCs w:val="18"/>
            <w:u w:val="single" w:color="auto"/>
            <w:color w:val="0000FF"/>
          </w:rPr>
          <w:t>The Registrant’s Annual Report on Form 10-K for the year ended December 31, 2023, filed with the Commission on February 29, 2024.</w:t>
        </w:r>
      </w:hyperlink>
    </w:p>
    <w:p>
      <w:pPr>
        <w:spacing w:after="0" w:line="198" w:lineRule="exact"/>
        <w:rPr>
          <w:rFonts w:ascii="Times New Roman" w:cs="Times New Roman" w:eastAsia="Times New Roman" w:hAnsi="Times New Roman"/>
          <w:sz w:val="18"/>
          <w:szCs w:val="18"/>
          <w:u w:val="single" w:color="auto"/>
          <w:color w:val="0000FF"/>
        </w:rPr>
      </w:pPr>
    </w:p>
    <w:p>
      <w:pPr>
        <w:jc w:val="both"/>
        <w:ind w:left="980" w:hanging="324"/>
        <w:spacing w:after="0" w:line="266" w:lineRule="auto"/>
        <w:tabs>
          <w:tab w:leader="none" w:pos="104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w:t>
      </w:r>
    </w:p>
    <w:p>
      <w:pPr>
        <w:spacing w:after="0" w:line="121" w:lineRule="exact"/>
        <w:rPr>
          <w:rFonts w:ascii="Times New Roman" w:cs="Times New Roman" w:eastAsia="Times New Roman" w:hAnsi="Times New Roman"/>
          <w:sz w:val="18"/>
          <w:szCs w:val="18"/>
          <w:color w:val="auto"/>
        </w:rPr>
      </w:pPr>
    </w:p>
    <w:p>
      <w:pPr>
        <w:jc w:val="both"/>
        <w:ind w:left="980" w:hanging="324"/>
        <w:spacing w:after="0" w:line="245" w:lineRule="auto"/>
        <w:tabs>
          <w:tab w:leader="none" w:pos="1062" w:val="left"/>
        </w:tabs>
        <w:numPr>
          <w:ilvl w:val="0"/>
          <w:numId w:val="1"/>
        </w:numPr>
        <w:rPr>
          <w:rFonts w:ascii="Times New Roman" w:cs="Times New Roman" w:eastAsia="Times New Roman" w:hAnsi="Times New Roman"/>
          <w:sz w:val="18"/>
          <w:szCs w:val="18"/>
          <w:color w:val="000000"/>
        </w:rPr>
      </w:pPr>
      <w:hyperlink r:id="rId9">
        <w:r>
          <w:rPr>
            <w:rFonts w:ascii="Times New Roman" w:cs="Times New Roman" w:eastAsia="Times New Roman" w:hAnsi="Times New Roman"/>
            <w:sz w:val="18"/>
            <w:szCs w:val="18"/>
            <w:u w:val="single" w:color="auto"/>
            <w:color w:val="0000FF"/>
          </w:rPr>
          <w:t>The description of the Registrant’s Common Stock contained in Registrant’s registration statement on Form 8-A, filed on October 28, 2013</w:t>
        </w:r>
      </w:hyperlink>
      <w:r>
        <w:rPr>
          <w:rFonts w:ascii="Times New Roman" w:cs="Times New Roman" w:eastAsia="Times New Roman" w:hAnsi="Times New Roman"/>
          <w:sz w:val="18"/>
          <w:szCs w:val="18"/>
          <w:u w:val="single" w:color="auto"/>
          <w:color w:val="0000FF"/>
        </w:rPr>
        <w:t xml:space="preserve"> </w:t>
      </w:r>
      <w:hyperlink r:id="rId9">
        <w:r>
          <w:rPr>
            <w:rFonts w:ascii="Times New Roman" w:cs="Times New Roman" w:eastAsia="Times New Roman" w:hAnsi="Times New Roman"/>
            <w:sz w:val="18"/>
            <w:szCs w:val="18"/>
            <w:u w:val="single" w:color="auto"/>
            <w:color w:val="0000FF"/>
          </w:rPr>
          <w:t>pursuant to Section 12(b) of the Exchange Act</w:t>
        </w:r>
        <w:r>
          <w:rPr>
            <w:rFonts w:ascii="Times New Roman" w:cs="Times New Roman" w:eastAsia="Times New Roman" w:hAnsi="Times New Roman"/>
            <w:sz w:val="18"/>
            <w:szCs w:val="18"/>
            <w:color w:val="000000"/>
          </w:rPr>
          <w:t>, including any amendment or report filed for the purpose of updating such description,</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including </w:t>
      </w:r>
      <w:hyperlink r:id="rId10">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Registrant's Annual Report on Form 10-K for the fiscal year ended December 31, 2023, filed with the Commission on February 29, 2024.</w:t>
      </w:r>
    </w:p>
    <w:p>
      <w:pPr>
        <w:spacing w:after="0" w:line="221" w:lineRule="exact"/>
        <w:rPr>
          <w:rFonts w:ascii="Times New Roman" w:cs="Times New Roman" w:eastAsia="Times New Roman" w:hAnsi="Times New Roman"/>
          <w:sz w:val="18"/>
          <w:szCs w:val="18"/>
          <w:u w:val="single" w:color="auto"/>
          <w:color w:val="0000FF"/>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ectPr>
          <w:pgSz w:w="11900" w:h="16838" w:orient="portrait"/>
          <w:cols w:equalWidth="0" w:num="1">
            <w:col w:w="11240"/>
          </w:cols>
          <w:pgMar w:left="320" w:top="900" w:right="339" w:bottom="1440" w:gutter="0" w:footer="0" w:header="0"/>
        </w:sectPr>
      </w:pPr>
    </w:p>
    <w:bookmarkStart w:id="3" w:name="page4"/>
    <w:bookmarkEnd w:id="3"/>
    <w:p>
      <w:pPr>
        <w:ind w:left="2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05"/>
        </w:trPr>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No.</w:t>
            </w:r>
          </w:p>
        </w:tc>
        <w:tc>
          <w:tcPr>
            <w:tcW w:w="1180" w:type="dxa"/>
            <w:vAlign w:val="bottom"/>
          </w:tcPr>
          <w:p>
            <w:pPr>
              <w:spacing w:after="0"/>
              <w:rPr>
                <w:sz w:val="20"/>
                <w:szCs w:val="20"/>
                <w:color w:val="auto"/>
              </w:rPr>
            </w:pPr>
          </w:p>
        </w:tc>
        <w:tc>
          <w:tcPr>
            <w:tcW w:w="3900" w:type="dxa"/>
            <w:vAlign w:val="bottom"/>
            <w:gridSpan w:val="10"/>
          </w:tcPr>
          <w:p>
            <w:pPr>
              <w:ind w:left="940"/>
              <w:spacing w:after="0"/>
              <w:rPr>
                <w:sz w:val="20"/>
                <w:szCs w:val="20"/>
                <w:color w:val="auto"/>
              </w:rPr>
            </w:pPr>
            <w:r>
              <w:rPr>
                <w:rFonts w:ascii="Times New Roman" w:cs="Times New Roman" w:eastAsia="Times New Roman" w:hAnsi="Times New Roman"/>
                <w:sz w:val="18"/>
                <w:szCs w:val="18"/>
                <w:color w:val="auto"/>
              </w:rPr>
              <w:t>Description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 No.</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Filing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9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Restated Certificate of Incorporation of the Registrant</w:t>
              </w:r>
            </w:hyperlink>
          </w:p>
        </w:tc>
        <w:tc>
          <w:tcPr>
            <w:tcW w:w="1180" w:type="dxa"/>
            <w:vAlign w:val="bottom"/>
            <w:gridSpan w:val="5"/>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001-36156</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6/9/2023</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5080" w:type="dxa"/>
            <w:vAlign w:val="bottom"/>
            <w:gridSpan w:val="11"/>
          </w:tcPr>
          <w:p>
            <w:pPr>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Amended and Restated Bylaws of the Registrant</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001-36156</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3500" w:type="dxa"/>
            <w:vAlign w:val="bottom"/>
            <w:tcBorders>
              <w:top w:val="single" w:sz="8" w:color="0000FF"/>
            </w:tcBorders>
            <w:gridSpan w:val="5"/>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Form of Common Stock Certificate</w:t>
              </w:r>
            </w:hyperlink>
          </w:p>
        </w:tc>
        <w:tc>
          <w:tcPr>
            <w:tcW w:w="1580" w:type="dxa"/>
            <w:vAlign w:val="bottom"/>
            <w:gridSpan w:val="6"/>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333-191282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10/15/2013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2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Opinion of Fenwick &amp; West LLP</w:t>
            </w:r>
          </w:p>
        </w:tc>
        <w:tc>
          <w:tcPr>
            <w:tcW w:w="252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42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Consent of Fenwick &amp; West LLP (included in Exhibit 5.1)</w:t>
            </w:r>
          </w:p>
        </w:tc>
        <w:tc>
          <w:tcPr>
            <w:tcW w:w="100" w:type="dxa"/>
            <w:vAlign w:val="bottom"/>
            <w:tcBorders>
              <w:top w:val="single" w:sz="8" w:color="0000FF"/>
            </w:tcBorders>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406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2023 Equity Incentive Plan, as amended</w:t>
              </w:r>
            </w:hyperlink>
          </w:p>
        </w:tc>
        <w:tc>
          <w:tcPr>
            <w:tcW w:w="1020" w:type="dxa"/>
            <w:vAlign w:val="bottom"/>
            <w:gridSpan w:val="4"/>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DEF</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001-36156</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Appendix A</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4/25/2024</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1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14-A</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5080" w:type="dxa"/>
            <w:vAlign w:val="bottom"/>
            <w:gridSpan w:val="11"/>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Form of agreements under the 2023 Equity Incentive Plan</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333-270147</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99.6</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6/8/2023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1180" w:type="dxa"/>
            <w:vAlign w:val="bottom"/>
            <w:tcBorders>
              <w:top w:val="single" w:sz="8" w:color="0000FF"/>
            </w:tcBorders>
          </w:tcPr>
          <w:p>
            <w:pPr>
              <w:spacing w:after="0"/>
              <w:rPr>
                <w:sz w:val="20"/>
                <w:szCs w:val="20"/>
                <w:color w:val="auto"/>
              </w:rPr>
            </w:pPr>
          </w:p>
        </w:tc>
        <w:tc>
          <w:tcPr>
            <w:tcW w:w="12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POS</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5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700" w:hanging="260"/>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jc w:val="both"/>
        <w:ind w:firstLine="440"/>
        <w:spacing w:after="0" w:line="256" w:lineRule="auto"/>
        <w:tabs>
          <w:tab w:leader="none" w:pos="7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firstLine="440"/>
        <w:spacing w:after="0" w:line="282" w:lineRule="auto"/>
        <w:tabs>
          <w:tab w:leader="none" w:pos="7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jc w:val="both"/>
        <w:ind w:firstLine="440"/>
        <w:spacing w:after="0" w:line="266" w:lineRule="auto"/>
        <w:tabs>
          <w:tab w:leader="none" w:pos="70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40"/>
          </w:cols>
          <w:pgMar w:left="320" w:top="941" w:right="339" w:bottom="1440" w:gutter="0" w:footer="0" w:header="0"/>
        </w:sectPr>
      </w:pPr>
    </w:p>
    <w:bookmarkStart w:id="4" w:name="page5"/>
    <w:bookmarkEnd w:id="4"/>
    <w:p>
      <w:pPr>
        <w:ind w:left="-440" w:firstLine="440"/>
        <w:spacing w:after="0" w:line="282"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440" w:firstLine="440"/>
        <w:spacing w:after="0" w:line="258" w:lineRule="auto"/>
        <w:tabs>
          <w:tab w:leader="none" w:pos="2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440" w:firstLine="440"/>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800"/>
          </w:cols>
          <w:pgMar w:left="760" w:top="110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12th day of June, 2024.</w:t>
      </w:r>
    </w:p>
    <w:p>
      <w:pPr>
        <w:spacing w:after="0" w:line="13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VERACYTE, INC.</w:t>
      </w:r>
    </w:p>
    <w:p>
      <w:pPr>
        <w:spacing w:after="0" w:line="63" w:lineRule="exact"/>
        <w:rPr>
          <w:sz w:val="20"/>
          <w:szCs w:val="20"/>
          <w:color w:val="auto"/>
        </w:rPr>
      </w:pPr>
    </w:p>
    <w:p>
      <w:pPr>
        <w:ind w:left="526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34290</wp:posOffset>
            </wp:positionV>
            <wp:extent cx="270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9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Marc Stapley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MARC STAPLEY</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45"/>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0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 Stapley</w:t>
            </w:r>
          </w:p>
        </w:tc>
        <w:tc>
          <w:tcPr>
            <w:tcW w:w="506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REBECCA CHAMBERS</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45"/>
        </w:trPr>
        <w:tc>
          <w:tcPr>
            <w:tcW w:w="1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0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Rebecca Chambers</w:t>
            </w:r>
          </w:p>
        </w:tc>
        <w:tc>
          <w:tcPr>
            <w:tcW w:w="506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700" w:type="dxa"/>
            <w:vAlign w:val="bottom"/>
            <w:gridSpan w:val="3"/>
            <w:vMerge w:val="continue"/>
          </w:tcPr>
          <w:p>
            <w:pPr>
              <w:spacing w:after="0"/>
              <w:rPr>
                <w:sz w:val="5"/>
                <w:szCs w:val="5"/>
                <w:color w:val="auto"/>
              </w:rPr>
            </w:pPr>
          </w:p>
        </w:tc>
        <w:tc>
          <w:tcPr>
            <w:tcW w:w="2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JONATHAN WYGANT</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Jonathan Wygant</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ROBERT S. EPSTEIN</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Chairperson and Director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S. Epstein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ELIAV BARR, M.D.</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Eliav Barr, M.D.</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MUNA BHANJI</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Muna Bhanji</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KARIN EASTHAM</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Karin Eastham</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JENS HOLSTEIN</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Jens Holstein</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EVAN JONES</w:t>
            </w:r>
          </w:p>
        </w:tc>
        <w:tc>
          <w:tcPr>
            <w:tcW w:w="50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June 12, 2024</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Evan Jones</w:t>
            </w:r>
          </w:p>
        </w:tc>
        <w:tc>
          <w:tcPr>
            <w:tcW w:w="2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S-8</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Veracyte, Inc.</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77" w:lineRule="exact"/>
        <w:rPr>
          <w:sz w:val="20"/>
          <w:szCs w:val="20"/>
          <w:color w:val="auto"/>
        </w:rPr>
      </w:pPr>
    </w:p>
    <w:tbl>
      <w:tblPr>
        <w:tblLayout w:type="fixed"/>
        <w:tblInd w:w="490" w:type="dxa"/>
        <w:tblCellMar>
          <w:top w:w="0" w:type="dxa"/>
          <w:left w:w="0" w:type="dxa"/>
          <w:bottom w:w="0" w:type="dxa"/>
          <w:right w:w="0" w:type="dxa"/>
        </w:tblCellMar>
      </w:tblPr>
      <w:tr>
        <w:trPr>
          <w:trHeight w:val="148"/>
        </w:trPr>
        <w:tc>
          <w:tcPr>
            <w:tcW w:w="1100" w:type="dxa"/>
            <w:vAlign w:val="bottom"/>
            <w:tcBorders>
              <w:top w:val="single" w:sz="8" w:color="auto"/>
              <w:left w:val="single" w:sz="8" w:color="auto"/>
            </w:tcBorders>
          </w:tcPr>
          <w:p>
            <w:pPr>
              <w:spacing w:after="0"/>
              <w:rPr>
                <w:sz w:val="12"/>
                <w:szCs w:val="12"/>
                <w:color w:val="auto"/>
              </w:rPr>
            </w:pPr>
          </w:p>
        </w:tc>
        <w:tc>
          <w:tcPr>
            <w:tcW w:w="14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Calculation</w:t>
            </w:r>
          </w:p>
        </w:tc>
        <w:tc>
          <w:tcPr>
            <w:tcW w:w="146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 Aggregate</w:t>
            </w:r>
          </w:p>
        </w:tc>
        <w:tc>
          <w:tcPr>
            <w:tcW w:w="960" w:type="dxa"/>
            <w:vAlign w:val="bottom"/>
            <w:tcBorders>
              <w:top w:val="single" w:sz="8" w:color="auto"/>
              <w:right w:val="single" w:sz="8" w:color="auto"/>
            </w:tcBorders>
          </w:tcPr>
          <w:p>
            <w:pPr>
              <w:spacing w:after="0"/>
              <w:rPr>
                <w:sz w:val="12"/>
                <w:szCs w:val="12"/>
                <w:color w:val="auto"/>
              </w:rPr>
            </w:pPr>
          </w:p>
        </w:tc>
        <w:tc>
          <w:tcPr>
            <w:tcW w:w="13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Security Type</w:t>
            </w:r>
          </w:p>
        </w:tc>
        <w:tc>
          <w:tcPr>
            <w:tcW w:w="1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1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Registered(1)</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 Offering</w:t>
            </w:r>
          </w:p>
        </w:tc>
        <w:tc>
          <w:tcPr>
            <w:tcW w:w="15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vMerge w:val="continue"/>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146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 Per Unit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Registration Fee</w:t>
            </w:r>
          </w:p>
        </w:tc>
        <w:tc>
          <w:tcPr>
            <w:tcW w:w="0" w:type="dxa"/>
            <w:vAlign w:val="bottom"/>
          </w:tcPr>
          <w:p>
            <w:pPr>
              <w:spacing w:after="0"/>
              <w:rPr>
                <w:sz w:val="1"/>
                <w:szCs w:val="1"/>
                <w:color w:val="auto"/>
              </w:rPr>
            </w:pPr>
          </w:p>
        </w:tc>
      </w:tr>
      <w:tr>
        <w:trPr>
          <w:trHeight w:val="135"/>
        </w:trPr>
        <w:tc>
          <w:tcPr>
            <w:tcW w:w="1100" w:type="dxa"/>
            <w:vAlign w:val="bottom"/>
            <w:tcBorders>
              <w:lef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rPr>
              <w:t>Equity</w:t>
            </w:r>
          </w:p>
        </w:tc>
        <w:tc>
          <w:tcPr>
            <w:tcW w:w="14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Common stock, par</w:t>
            </w:r>
          </w:p>
        </w:tc>
        <w:tc>
          <w:tcPr>
            <w:tcW w:w="11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Rule 457(c) and</w:t>
            </w:r>
          </w:p>
        </w:tc>
        <w:tc>
          <w:tcPr>
            <w:tcW w:w="1460" w:type="dxa"/>
            <w:vAlign w:val="bottom"/>
            <w:tcBorders>
              <w:right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5,000,000 (2)</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$20.3801 (3)</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$101,900,500.00</w:t>
            </w:r>
          </w:p>
        </w:tc>
        <w:tc>
          <w:tcPr>
            <w:tcW w:w="960" w:type="dxa"/>
            <w:vAlign w:val="bottom"/>
            <w:tcBorders>
              <w:right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0.0001476</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$15,040.51</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vMerge w:val="continue"/>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value $0.001 per share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 457(h)</w:t>
            </w:r>
          </w:p>
        </w:tc>
        <w:tc>
          <w:tcPr>
            <w:tcW w:w="1460" w:type="dxa"/>
            <w:vAlign w:val="bottom"/>
            <w:tcBorders>
              <w:bottom w:val="single" w:sz="8" w:color="auto"/>
              <w:right w:val="single" w:sz="8" w:color="auto"/>
            </w:tcBorders>
            <w:vMerge w:val="continue"/>
          </w:tcPr>
          <w:p>
            <w:pPr>
              <w:spacing w:after="0"/>
              <w:rPr>
                <w:sz w:val="17"/>
                <w:szCs w:val="17"/>
                <w:color w:val="auto"/>
              </w:rPr>
            </w:pPr>
          </w:p>
        </w:tc>
        <w:tc>
          <w:tcPr>
            <w:tcW w:w="1200" w:type="dxa"/>
            <w:vAlign w:val="bottom"/>
            <w:tcBorders>
              <w:bottom w:val="single" w:sz="8" w:color="auto"/>
              <w:right w:val="single" w:sz="8" w:color="auto"/>
            </w:tcBorders>
            <w:vMerge w:val="continue"/>
          </w:tcPr>
          <w:p>
            <w:pPr>
              <w:spacing w:after="0"/>
              <w:rPr>
                <w:sz w:val="17"/>
                <w:szCs w:val="17"/>
                <w:color w:val="auto"/>
              </w:rPr>
            </w:pPr>
          </w:p>
        </w:tc>
        <w:tc>
          <w:tcPr>
            <w:tcW w:w="1500" w:type="dxa"/>
            <w:vAlign w:val="bottom"/>
            <w:tcBorders>
              <w:bottom w:val="single" w:sz="8" w:color="auto"/>
              <w:right w:val="single" w:sz="8" w:color="auto"/>
            </w:tcBorders>
            <w:vMerge w:val="continue"/>
          </w:tcPr>
          <w:p>
            <w:pPr>
              <w:spacing w:after="0"/>
              <w:rPr>
                <w:sz w:val="17"/>
                <w:szCs w:val="17"/>
                <w:color w:val="auto"/>
              </w:rPr>
            </w:pPr>
          </w:p>
        </w:tc>
        <w:tc>
          <w:tcPr>
            <w:tcW w:w="960" w:type="dxa"/>
            <w:vAlign w:val="bottom"/>
            <w:tcBorders>
              <w:bottom w:val="single" w:sz="8" w:color="auto"/>
              <w:right w:val="single" w:sz="8" w:color="auto"/>
            </w:tcBorders>
            <w:vMerge w:val="continue"/>
          </w:tcPr>
          <w:p>
            <w:pPr>
              <w:spacing w:after="0"/>
              <w:rPr>
                <w:sz w:val="17"/>
                <w:szCs w:val="17"/>
                <w:color w:val="auto"/>
              </w:rPr>
            </w:pPr>
          </w:p>
        </w:tc>
        <w:tc>
          <w:tcPr>
            <w:tcW w:w="13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Total Offering Amounts</w:t>
            </w:r>
          </w:p>
        </w:tc>
        <w:tc>
          <w:tcPr>
            <w:tcW w:w="11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$15,040.51</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Total Fee Offsets</w:t>
            </w:r>
          </w:p>
        </w:tc>
        <w:tc>
          <w:tcPr>
            <w:tcW w:w="11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Net Fee Due</w:t>
            </w:r>
          </w:p>
        </w:tc>
        <w:tc>
          <w:tcPr>
            <w:tcW w:w="114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$15,040.51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380" w:right="1600" w:hanging="374"/>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under the Securities Act of 1933, as amended (the “Securities Act”), this Registration Statement shall also cover any additional shares of the Registrant’s common stock that become issuable in respect of the securities identified in the above table by reason of any stock dividend, stock split, recapitalization or other similar transaction effected without the receipt of consideration that increases the number of the Registrant’s outstanding shares of common stock.</w:t>
      </w:r>
    </w:p>
    <w:p>
      <w:pPr>
        <w:spacing w:after="0" w:line="151"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5,000,000 additional shares of common stock reserved for issuance under the Registrant’s 2023 Equity Incentive Plan, as amended.</w:t>
      </w:r>
    </w:p>
    <w:p>
      <w:pPr>
        <w:spacing w:after="0" w:line="41" w:lineRule="exact"/>
        <w:rPr>
          <w:rFonts w:ascii="Times New Roman" w:cs="Times New Roman" w:eastAsia="Times New Roman" w:hAnsi="Times New Roman"/>
          <w:sz w:val="14"/>
          <w:szCs w:val="14"/>
          <w:color w:val="auto"/>
        </w:rPr>
      </w:pPr>
    </w:p>
    <w:p>
      <w:pPr>
        <w:ind w:left="380" w:right="1600" w:hanging="374"/>
        <w:spacing w:after="0" w:line="26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 accordance with Rule 457(c) and (h) under the Securities Act solely for the purpose of calculating the registration fee on the basis of $20.3801, the average of the high and low prices of the Registrant’s common stock as reported on The Nasdaq Stock Market on June 10, 2024.</w:t>
      </w:r>
    </w:p>
    <w:p>
      <w:pPr>
        <w:spacing w:after="0" w:line="200" w:lineRule="exact"/>
        <w:rPr>
          <w:sz w:val="20"/>
          <w:szCs w:val="20"/>
          <w:color w:val="auto"/>
        </w:rPr>
      </w:pPr>
    </w:p>
    <w:p>
      <w:pPr>
        <w:spacing w:after="0" w:line="28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____________________</w:t>
      </w:r>
    </w:p>
    <w:p>
      <w:pPr>
        <w:sectPr>
          <w:pgSz w:w="11900" w:h="16838" w:orient="portrait"/>
          <w:cols w:equalWidth="0" w:num="1">
            <w:col w:w="11220"/>
          </w:cols>
          <w:pgMar w:left="340" w:top="12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179070</wp:posOffset>
            </wp:positionV>
            <wp:extent cx="567499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567499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12,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6000 Shoreline Court, Suite 300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 California, 94080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counsel to Veracyte,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we have examined the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to be filed by the Company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on or about June 12, 2024 in connection with the registration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of an aggregate of 5,000,000 shares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of the Company’s Common Stock, $0.001 par value per share, subject to issuance by the Company upon the exercise or settlement of awards granted or to be granted under the Company’s 2023 Equity Incentive Plan, as amended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w:t>
      </w:r>
    </w:p>
    <w:p>
      <w:pPr>
        <w:sectPr>
          <w:pgSz w:w="11900" w:h="16838" w:orient="portrait"/>
          <w:cols w:equalWidth="0" w:num="1">
            <w:col w:w="11240"/>
          </w:cols>
          <w:pgMar w:left="320" w:top="114"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2"/>
          <w:szCs w:val="22"/>
          <w:color w:val="auto"/>
        </w:rPr>
        <w:t>Retrieval System (“</w:t>
      </w:r>
      <w:r>
        <w:rPr>
          <w:rFonts w:ascii="Times New Roman" w:cs="Times New Roman" w:eastAsia="Times New Roman" w:hAnsi="Times New Roman"/>
          <w:sz w:val="22"/>
          <w:szCs w:val="22"/>
          <w:b w:val="1"/>
          <w:bCs w:val="1"/>
          <w:i w:val="1"/>
          <w:iCs w:val="1"/>
          <w:color w:val="auto"/>
        </w:rPr>
        <w:t>EDGAR</w:t>
      </w:r>
      <w:r>
        <w:rPr>
          <w:rFonts w:ascii="Times New Roman" w:cs="Times New Roman" w:eastAsia="Times New Roman" w:hAnsi="Times New Roman"/>
          <w:sz w:val="22"/>
          <w:szCs w:val="22"/>
          <w:color w:val="auto"/>
        </w:rPr>
        <w:t>”), except for required EDGAR formatting changes, to physical copies submitted for our examination.</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opinions in this letter are limited to the existing General Corporation Law of the State of Delaware now in effect. We express no opinion with respect to any other laws.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Based upon, and subject to, the foregoing, it is our opinion that the Shares, when issued and sold by the Company in accordance with the terms (including, without limitation, payment and authorization provisions) of the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opinion is intended solely for your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8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-13970</wp:posOffset>
            </wp:positionV>
            <wp:extent cx="1492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1492250" cy="8255"/>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FENWICK &amp; WEST LLP</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2023 Equity Incentive Plan of Veracyte, Inc. of our reports dated February 29, 2024, with respect to the consolidated financial statements of Veracyte, Inc. and the effectiveness of internal control over financial reporting of Veracyte, Inc. included in its Annual Report (Form 10-K) for the year ended December 31, 2023, filed with the Securities and Exchange Commission.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2"/>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6" Type="http://schemas.openxmlformats.org/officeDocument/2006/relationships/image" Target="media/image1.png"/><Relationship Id="rId17" Type="http://schemas.openxmlformats.org/officeDocument/2006/relationships/image" Target="media/image2.jpeg"/><Relationship Id="rId18" Type="http://schemas.openxmlformats.org/officeDocument/2006/relationships/image" Target="media/image3.png"/><Relationship Id="rId8" Type="http://schemas.openxmlformats.org/officeDocument/2006/relationships/hyperlink" Target="https://www.sec.gov/Archives/edgar/data/1384101/000138410124000017/vcyt-20231231.htm" TargetMode="External"/><Relationship Id="rId9" Type="http://schemas.openxmlformats.org/officeDocument/2006/relationships/hyperlink" Target="https://www.sec.gov/Archives/edgar/data/1384101/000110465913078343/a13-16266_158a12b.htm" TargetMode="External"/><Relationship Id="rId10" Type="http://schemas.openxmlformats.org/officeDocument/2006/relationships/hyperlink" Target="https://www.sec.gov/Archives/edgar/data/1384101/000138410124000017/vcyt-12312023xex42.htm" TargetMode="External"/><Relationship Id="rId11" Type="http://schemas.openxmlformats.org/officeDocument/2006/relationships/hyperlink" Target="https://www.sec.gov/Archives/edgar/data/1384101/000138410123000112/ex32-restatedcertificateof.htm" TargetMode="External"/><Relationship Id="rId12" Type="http://schemas.openxmlformats.org/officeDocument/2006/relationships/hyperlink" Target="https://www.sec.gov/Archives/edgar/data/1384101/000138410123000112/ex33-veracytexamendedandre.htm" TargetMode="External"/><Relationship Id="rId13" Type="http://schemas.openxmlformats.org/officeDocument/2006/relationships/hyperlink" Target="https://www.sec.gov/Archives/edgar/data/1384101/000104746913009631/a2216954zex-4_1.htm" TargetMode="External"/><Relationship Id="rId14" Type="http://schemas.openxmlformats.org/officeDocument/2006/relationships/hyperlink" Target="https://www.sec.gov/Archives/edgar/data/1384101/000138410124000057/vcyt-20240424.htm" TargetMode="External"/><Relationship Id="rId15" Type="http://schemas.openxmlformats.org/officeDocument/2006/relationships/hyperlink" Target="https://www.sec.gov/Archives/edgar/data/1384101/000138410123000100/ex996-2023eipformof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2024-06-12T16:03:49Z</dcterms:created>
  <dcterms:modified xsi:type="dcterms:W3CDTF">2024-06-12T16:03:49Z</dcterms:modified>
</cp:coreProperties>
</file>