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1091565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8, 2023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20" w:type="dxa"/>
            <w:vAlign w:val="bottom"/>
          </w:tcPr>
          <w:p>
            <w:pPr>
              <w:jc w:val="center"/>
              <w:ind w:right="830"/>
              <w:spacing w:after="0"/>
              <w:rPr>
                <w:sz w:val="20"/>
                <w:szCs w:val="20"/>
                <w:color w:val="auto"/>
              </w:rPr>
            </w:pPr>
            <w:r>
              <w:rPr>
                <w:rFonts w:ascii="Arial" w:cs="Arial" w:eastAsia="Arial" w:hAnsi="Arial"/>
                <w:sz w:val="18"/>
                <w:szCs w:val="18"/>
                <w:b w:val="1"/>
                <w:bCs w:val="1"/>
                <w:color w:val="auto"/>
                <w:w w:val="93"/>
              </w:rPr>
              <w:t>Delaware</w:t>
            </w:r>
          </w:p>
        </w:tc>
        <w:tc>
          <w:tcPr>
            <w:tcW w:w="374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2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3"/>
              </w:rPr>
              <w:t>(State or other jurisdiction of</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w:t>
            </w:r>
          </w:p>
        </w:tc>
        <w:tc>
          <w:tcPr>
            <w:tcW w:w="3740" w:type="dxa"/>
            <w:vAlign w:val="bottom"/>
          </w:tcPr>
          <w:p>
            <w:pPr>
              <w:spacing w:after="0"/>
              <w:rPr>
                <w:sz w:val="20"/>
                <w:szCs w:val="20"/>
                <w:color w:val="auto"/>
              </w:rPr>
            </w:pPr>
          </w:p>
        </w:tc>
        <w:tc>
          <w:tcPr>
            <w:tcW w:w="3020" w:type="dxa"/>
            <w:vAlign w:val="bottom"/>
          </w:tcPr>
          <w:p>
            <w:pPr>
              <w:jc w:val="center"/>
              <w:ind w:left="830"/>
              <w:spacing w:after="0"/>
              <w:rPr>
                <w:sz w:val="20"/>
                <w:szCs w:val="20"/>
                <w:color w:val="auto"/>
              </w:rPr>
            </w:pPr>
            <w:r>
              <w:rPr>
                <w:rFonts w:ascii="Arial" w:cs="Arial" w:eastAsia="Arial" w:hAnsi="Arial"/>
                <w:sz w:val="18"/>
                <w:szCs w:val="18"/>
                <w:color w:val="auto"/>
                <w:w w:val="99"/>
              </w:rPr>
              <w:t>No.)</w:t>
            </w:r>
          </w:p>
        </w:tc>
      </w:tr>
      <w:tr>
        <w:trPr>
          <w:trHeight w:val="378"/>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302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94080</w:t>
            </w:r>
          </w:p>
        </w:tc>
      </w:tr>
      <w:tr>
        <w:trPr>
          <w:trHeight w:val="257"/>
        </w:trPr>
        <w:tc>
          <w:tcPr>
            <w:tcW w:w="6760" w:type="dxa"/>
            <w:vAlign w:val="bottom"/>
            <w:gridSpan w:val="2"/>
          </w:tcPr>
          <w:p>
            <w:pPr>
              <w:ind w:left="1140"/>
              <w:spacing w:after="0"/>
              <w:rPr>
                <w:sz w:val="20"/>
                <w:szCs w:val="20"/>
                <w:color w:val="auto"/>
              </w:rPr>
            </w:pPr>
            <w:r>
              <w:rPr>
                <w:rFonts w:ascii="Arial" w:cs="Arial" w:eastAsia="Arial" w:hAnsi="Arial"/>
                <w:sz w:val="18"/>
                <w:szCs w:val="18"/>
                <w:color w:val="auto"/>
              </w:rPr>
              <w:t>(Address of principal executive offices)</w:t>
            </w:r>
          </w:p>
        </w:tc>
        <w:tc>
          <w:tcPr>
            <w:tcW w:w="3020" w:type="dxa"/>
            <w:vAlign w:val="bottom"/>
          </w:tcPr>
          <w:p>
            <w:pPr>
              <w:jc w:val="center"/>
              <w:ind w:left="870"/>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49"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51"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7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4"/>
                <w:szCs w:val="24"/>
                <w:color w:val="auto"/>
              </w:rPr>
            </w:pPr>
          </w:p>
        </w:tc>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16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60" w:type="dxa"/>
            <w:vAlign w:val="bottom"/>
          </w:tcPr>
          <w:p>
            <w:pPr>
              <w:spacing w:after="0"/>
              <w:rPr>
                <w:sz w:val="21"/>
                <w:szCs w:val="21"/>
                <w:color w:val="auto"/>
              </w:rPr>
            </w:pPr>
          </w:p>
        </w:tc>
        <w:tc>
          <w:tcPr>
            <w:tcW w:w="2080" w:type="dxa"/>
            <w:vAlign w:val="bottom"/>
          </w:tcPr>
          <w:p>
            <w:pPr>
              <w:ind w:left="820"/>
              <w:spacing w:after="0"/>
              <w:rPr>
                <w:sz w:val="20"/>
                <w:szCs w:val="20"/>
                <w:color w:val="auto"/>
              </w:rPr>
            </w:pPr>
            <w:r>
              <w:rPr>
                <w:rFonts w:ascii="Arial" w:cs="Arial" w:eastAsia="Arial" w:hAnsi="Arial"/>
                <w:sz w:val="18"/>
                <w:szCs w:val="18"/>
                <w:color w:val="auto"/>
              </w:rPr>
              <w:t>VCYT</w:t>
            </w:r>
          </w:p>
        </w:tc>
        <w:tc>
          <w:tcPr>
            <w:tcW w:w="160" w:type="dxa"/>
            <w:vAlign w:val="bottom"/>
          </w:tcPr>
          <w:p>
            <w:pPr>
              <w:spacing w:after="0"/>
              <w:rPr>
                <w:sz w:val="21"/>
                <w:szCs w:val="21"/>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48" w:lineRule="exact"/>
        <w:rPr>
          <w:sz w:val="24"/>
          <w:szCs w:val="24"/>
          <w:color w:val="auto"/>
        </w:rPr>
      </w:pPr>
    </w:p>
    <w:p>
      <w:pPr>
        <w:ind w:left="20" w:right="28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further described in Item 5.07 to this Current Report on Form 8-K (this “Report”), on June 8, 2023, at the 2023 Annual Meeting of Stockholders (the “Annual Meeting”) of Veracyte, Inc. (the “Company”), the Company’s stockholders approved the Company’s 2023 Equity Incentive Plan (the “2023 Plan”). The 2023 Plan, which became effective on June 8, 2023, serves as the successor to the Company’s 2013 Stock Incentive Plan (the “Prior Plan”) and will terminate 10 years after the date approved by the Company’s Board of Directors (the “Board”). The 2023 Plan initially reserves for issuance 5,306,156 shares, which equals the number of reserved shares available for grant under the Prior Plan as of June 8, 2023 (the “Effective Date”). In addition, the number of (a) shares of Common Stock, $0.001 par value per share (the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is also reserved and subject to issuance by the Company upon the exercise or settlement of awards to be granted under the 2023 Plan. The 2023 Plan permits the granting of stock options, restricted stock units (“RSUs”), restricted stock awards, stock bonus awards, stock appreciation rights and performance awards. The 2023 Plan had been approved, subject to stockholder approval, by the Board on April 12, 2023.</w:t>
      </w:r>
    </w:p>
    <w:p>
      <w:pPr>
        <w:spacing w:after="0" w:line="198" w:lineRule="exact"/>
        <w:rPr>
          <w:sz w:val="20"/>
          <w:szCs w:val="20"/>
          <w:color w:val="auto"/>
        </w:rPr>
      </w:pPr>
    </w:p>
    <w:p>
      <w:pPr>
        <w:jc w:val="both"/>
        <w:ind w:firstLine="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more complete description of the terms of the 2023 Plan can be found in “Proposal No. 4 – Approval of the Veracyte, Inc. 2023 Equity Incentive Plan” in the Company’s definitive proxy statement on </w:t>
      </w:r>
      <w:hyperlink r:id="rId13">
        <w:r>
          <w:rPr>
            <w:rFonts w:ascii="Arial" w:cs="Arial" w:eastAsia="Arial" w:hAnsi="Arial"/>
            <w:sz w:val="18"/>
            <w:szCs w:val="18"/>
            <w:u w:val="single" w:color="auto"/>
            <w:color w:val="0000FF"/>
          </w:rPr>
          <w:t>Schedule 14A filed with the Securities and Exchange Commission on April 27,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“Proxy Statement”), which description is incorporated by reference herein. The foregoing description and the description incorporated by reference from the Proxy Statement are qualified in their entirety by reference to the 2023 Plan, a copy of which is filed as Exhibit 10.1 to this Report and is incorporated herein by reference.</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12, 2023, the Board approved forms of an option award agreement, performance-based options award agreement, RSU award agreement and performance-based RSU award agreement for use in connection with awards issued pursuant to the 2023 Plan. The forms of these award agreements are included as Exhibit 10.2 to this Report and are incorporated herein by reference.</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further described in Item 5.07 to this Report, at the Annual Meeting, the Company’s stockholder approved a proposal to amend the Company’s existing restated certificate of incorporation (the “Current Charter”) to declassify the Board and make other conforming, administrative and technical changes (such amendment to the Current Charter, the “Declassification Amendment”). The Declassification Amendment had been approved, subject to stockholder approval, by the Board on April 12, 2023.</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9, 2023, the Company filed a certificate of amendment (the “Certificate of Amendment”) to the Current Charter that reflects the Declassification Amendment with the Delaware Secretary of State and the Certificate of Amendment became effective on filing. In addition, following the filing and effectiveness of the Certificate of Amendment, the Company filed a restated certificate of incorporation that integrated the Declassification Amendment into a single document (the “Restated Charter”).</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June 9, 2023, the Company’s amended and restated bylaws were amended and restated effective upon the filing and effectiveness of the Certificate of Amendment (the “Restated Bylaws”). The Restated Bylaws make certain changes consistent with the Declassification Amendment. The Restated Bylaws had been approved, subject to the filing and effectiveness of the Certificate of Amendment, by the Board on April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ind w:firstLine="324"/>
        <w:spacing w:after="0" w:line="263" w:lineRule="auto"/>
        <w:rPr>
          <w:sz w:val="20"/>
          <w:szCs w:val="20"/>
          <w:color w:val="auto"/>
        </w:rPr>
      </w:pPr>
      <w:r>
        <w:rPr>
          <w:rFonts w:ascii="Arial" w:cs="Arial" w:eastAsia="Arial" w:hAnsi="Arial"/>
          <w:sz w:val="18"/>
          <w:szCs w:val="18"/>
          <w:color w:val="auto"/>
        </w:rPr>
        <w:t>The foregoing descriptions do not purport to be complete and are qualified in their entirety by reference to the full text of the Certificate of Amendment, Restated Charter and Restated Bylaws, copies of which are filed as Exhibits 3.1, 3.2 and 3.3, respectively, to this Report and are incorporated herein by reference.</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of the Company voted on the following proposals at the Annual Meeting:</w:t>
      </w:r>
    </w:p>
    <w:p>
      <w:pPr>
        <w:spacing w:after="0" w:line="252" w:lineRule="exact"/>
        <w:rPr>
          <w:sz w:val="20"/>
          <w:szCs w:val="20"/>
          <w:color w:val="auto"/>
        </w:rPr>
      </w:pPr>
    </w:p>
    <w:p>
      <w:pPr>
        <w:ind w:firstLine="332"/>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Class I Directors were nominated to serve until the 2026 Annual Meeting of Stockholders or until their successors are duly elected and qualified: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2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340" w:type="dxa"/>
            <w:vAlign w:val="bottom"/>
          </w:tcPr>
          <w:p>
            <w:pPr>
              <w:spacing w:after="0"/>
              <w:rPr>
                <w:sz w:val="19"/>
                <w:szCs w:val="19"/>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Abstain</w:t>
            </w:r>
          </w:p>
        </w:tc>
        <w:tc>
          <w:tcPr>
            <w:tcW w:w="32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6"/>
        </w:trPr>
        <w:tc>
          <w:tcPr>
            <w:tcW w:w="2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Robert S. Epstein</w:t>
            </w:r>
          </w:p>
        </w:tc>
        <w:tc>
          <w:tcPr>
            <w:tcW w:w="1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59,025,305</w:t>
            </w:r>
          </w:p>
        </w:tc>
        <w:tc>
          <w:tcPr>
            <w:tcW w:w="2160" w:type="dxa"/>
            <w:vAlign w:val="bottom"/>
            <w:gridSpan w:val="2"/>
            <w:shd w:val="clear" w:color="auto" w:fill="CCEEFF"/>
          </w:tcPr>
          <w:p>
            <w:pPr>
              <w:jc w:val="center"/>
              <w:ind w:left="230"/>
              <w:spacing w:after="0" w:line="196" w:lineRule="exact"/>
              <w:rPr>
                <w:sz w:val="20"/>
                <w:szCs w:val="20"/>
                <w:color w:val="auto"/>
              </w:rPr>
            </w:pPr>
            <w:r>
              <w:rPr>
                <w:rFonts w:ascii="Arial" w:cs="Arial" w:eastAsia="Arial" w:hAnsi="Arial"/>
                <w:sz w:val="18"/>
                <w:szCs w:val="18"/>
                <w:color w:val="auto"/>
                <w:w w:val="89"/>
              </w:rPr>
              <w:t>6,552,633</w:t>
            </w:r>
          </w:p>
        </w:tc>
        <w:tc>
          <w:tcPr>
            <w:tcW w:w="2180" w:type="dxa"/>
            <w:vAlign w:val="bottom"/>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7,604</w:t>
            </w:r>
          </w:p>
        </w:tc>
        <w:tc>
          <w:tcPr>
            <w:tcW w:w="2400" w:type="dxa"/>
            <w:vAlign w:val="bottom"/>
            <w:gridSpan w:val="2"/>
            <w:shd w:val="clear" w:color="auto" w:fill="CCEEFF"/>
          </w:tcPr>
          <w:p>
            <w:pPr>
              <w:jc w:val="center"/>
              <w:ind w:left="230"/>
              <w:spacing w:after="0" w:line="196" w:lineRule="exact"/>
              <w:rPr>
                <w:sz w:val="20"/>
                <w:szCs w:val="20"/>
                <w:color w:val="auto"/>
              </w:rPr>
            </w:pPr>
            <w:r>
              <w:rPr>
                <w:rFonts w:ascii="Arial" w:cs="Arial" w:eastAsia="Arial" w:hAnsi="Arial"/>
                <w:sz w:val="18"/>
                <w:szCs w:val="18"/>
                <w:color w:val="auto"/>
                <w:w w:val="89"/>
              </w:rPr>
              <w:t>2,552,614</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Evan Jones</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64,285,416</w:t>
            </w:r>
          </w:p>
        </w:tc>
        <w:tc>
          <w:tcPr>
            <w:tcW w:w="21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1,289,459</w:t>
            </w:r>
          </w:p>
        </w:tc>
        <w:tc>
          <w:tcPr>
            <w:tcW w:w="2180" w:type="dxa"/>
            <w:vAlign w:val="bottom"/>
            <w:gridSpan w:val="2"/>
          </w:tcPr>
          <w:p>
            <w:pPr>
              <w:jc w:val="right"/>
              <w:ind w:right="590"/>
              <w:spacing w:after="0"/>
              <w:rPr>
                <w:sz w:val="20"/>
                <w:szCs w:val="20"/>
                <w:color w:val="auto"/>
              </w:rPr>
            </w:pPr>
            <w:r>
              <w:rPr>
                <w:rFonts w:ascii="Arial" w:cs="Arial" w:eastAsia="Arial" w:hAnsi="Arial"/>
                <w:sz w:val="18"/>
                <w:szCs w:val="18"/>
                <w:color w:val="auto"/>
              </w:rPr>
              <w:t>10,667</w:t>
            </w:r>
          </w:p>
        </w:tc>
        <w:tc>
          <w:tcPr>
            <w:tcW w:w="24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2,552,614</w:t>
            </w:r>
          </w:p>
        </w:tc>
      </w:tr>
    </w:tbl>
    <w:p>
      <w:pPr>
        <w:spacing w:after="0" w:line="29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of the two nominees for director was elected to serve until the 2026 annual meeting of stockholders and until their successors are duly elected and qualified.</w:t>
      </w:r>
    </w:p>
    <w:p>
      <w:pPr>
        <w:spacing w:after="0" w:line="19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ratification of the appointment of Ernst &amp; Young LLP as the Company’s independent registered public accounting firm for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19"/>
                <w:szCs w:val="19"/>
                <w:color w:val="auto"/>
              </w:rPr>
            </w:pPr>
          </w:p>
        </w:tc>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Against</w:t>
            </w:r>
          </w:p>
        </w:tc>
        <w:tc>
          <w:tcPr>
            <w:tcW w:w="3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196"/>
        </w:trPr>
        <w:tc>
          <w:tcPr>
            <w:tcW w:w="2520" w:type="dxa"/>
            <w:vAlign w:val="bottom"/>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rPr>
              <w:t>67,927,173</w:t>
            </w:r>
          </w:p>
        </w:tc>
        <w:tc>
          <w:tcPr>
            <w:tcW w:w="2800" w:type="dxa"/>
            <w:vAlign w:val="bottom"/>
            <w:gridSpan w:val="2"/>
            <w:shd w:val="clear" w:color="auto" w:fill="CCEEFF"/>
          </w:tcPr>
          <w:p>
            <w:pPr>
              <w:ind w:left="1260"/>
              <w:spacing w:after="0" w:line="196" w:lineRule="exact"/>
              <w:rPr>
                <w:sz w:val="20"/>
                <w:szCs w:val="20"/>
                <w:color w:val="auto"/>
              </w:rPr>
            </w:pPr>
            <w:r>
              <w:rPr>
                <w:rFonts w:ascii="Arial" w:cs="Arial" w:eastAsia="Arial" w:hAnsi="Arial"/>
                <w:sz w:val="18"/>
                <w:szCs w:val="18"/>
                <w:color w:val="auto"/>
              </w:rPr>
              <w:t>200,662</w:t>
            </w:r>
          </w:p>
        </w:tc>
        <w:tc>
          <w:tcPr>
            <w:tcW w:w="2820" w:type="dxa"/>
            <w:vAlign w:val="bottom"/>
            <w:gridSpan w:val="2"/>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10,321</w:t>
            </w:r>
          </w:p>
        </w:tc>
      </w:tr>
    </w:tbl>
    <w:p>
      <w:pPr>
        <w:spacing w:after="0" w:line="32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stockholders ratified the appointment of Ernst &amp; Young LLP as the Company’s independent registered public accounting firm for the fiscal year ending December 31, 2023.</w:t>
      </w:r>
    </w:p>
    <w:p>
      <w:pPr>
        <w:spacing w:after="0" w:line="19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 approval, on a non-binding advisory basis, of the compensation of the Company’s named executive officers: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3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3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6"/>
        </w:trPr>
        <w:tc>
          <w:tcPr>
            <w:tcW w:w="2500" w:type="dxa"/>
            <w:vAlign w:val="bottom"/>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63,609,493</w:t>
            </w:r>
          </w:p>
        </w:tc>
        <w:tc>
          <w:tcPr>
            <w:tcW w:w="2820" w:type="dxa"/>
            <w:vAlign w:val="bottom"/>
            <w:gridSpan w:val="2"/>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rPr>
              <w:t>1,959,900</w:t>
            </w:r>
          </w:p>
        </w:tc>
        <w:tc>
          <w:tcPr>
            <w:tcW w:w="2820" w:type="dxa"/>
            <w:vAlign w:val="bottom"/>
            <w:gridSpan w:val="2"/>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16,149</w:t>
            </w:r>
          </w:p>
        </w:tc>
        <w:tc>
          <w:tcPr>
            <w:tcW w:w="2820" w:type="dxa"/>
            <w:vAlign w:val="bottom"/>
            <w:gridSpan w:val="2"/>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rPr>
              <w:t>2,552,614</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approved, on a non-binding advisory basis, the compensation of the Company’s named executive officers.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3"/>
          </w:tcPr>
          <w:p>
            <w:pPr>
              <w:ind w:left="340"/>
              <w:spacing w:after="0"/>
              <w:rPr>
                <w:sz w:val="20"/>
                <w:szCs w:val="20"/>
                <w:color w:val="auto"/>
              </w:rPr>
            </w:pPr>
            <w:r>
              <w:rPr>
                <w:rFonts w:ascii="Arial" w:cs="Arial" w:eastAsia="Arial" w:hAnsi="Arial"/>
                <w:sz w:val="18"/>
                <w:szCs w:val="18"/>
                <w:color w:val="auto"/>
              </w:rPr>
              <w:t>4.  The approval of the 2023 Plan:</w:t>
            </w: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72"/>
        </w:trPr>
        <w:tc>
          <w:tcPr>
            <w:tcW w:w="35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6"/>
              </w:rPr>
              <w:t>For</w:t>
            </w:r>
          </w:p>
        </w:tc>
        <w:tc>
          <w:tcPr>
            <w:tcW w:w="1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Against</w:t>
            </w:r>
          </w:p>
        </w:tc>
        <w:tc>
          <w:tcPr>
            <w:tcW w:w="32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3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48,677,167</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16,885,601</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22,774</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rPr>
              <w:t>2,552,614</w:t>
            </w:r>
          </w:p>
        </w:tc>
      </w:tr>
      <w:tr>
        <w:trPr>
          <w:trHeight w:val="553"/>
        </w:trPr>
        <w:tc>
          <w:tcPr>
            <w:tcW w:w="3520" w:type="dxa"/>
            <w:vAlign w:val="bottom"/>
            <w:gridSpan w:val="3"/>
          </w:tcPr>
          <w:p>
            <w:pPr>
              <w:ind w:left="340"/>
              <w:spacing w:after="0"/>
              <w:rPr>
                <w:sz w:val="20"/>
                <w:szCs w:val="20"/>
                <w:color w:val="auto"/>
              </w:rPr>
            </w:pPr>
            <w:r>
              <w:rPr>
                <w:rFonts w:ascii="Arial" w:cs="Arial" w:eastAsia="Arial" w:hAnsi="Arial"/>
                <w:sz w:val="18"/>
                <w:szCs w:val="18"/>
                <w:color w:val="auto"/>
                <w:w w:val="93"/>
              </w:rPr>
              <w:t>The stockholders approved the 2023 Plan.</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2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adoption of the Declassification Amendment: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2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32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300" w:type="dxa"/>
            <w:vAlign w:val="bottom"/>
            <w:tcBorders>
              <w:bottom w:val="single" w:sz="8" w:color="CCEEFF"/>
            </w:tcBorders>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196"/>
        </w:trPr>
        <w:tc>
          <w:tcPr>
            <w:tcW w:w="2500" w:type="dxa"/>
            <w:vAlign w:val="bottom"/>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65,544,426</w:t>
            </w:r>
          </w:p>
        </w:tc>
        <w:tc>
          <w:tcPr>
            <w:tcW w:w="32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28,371</w:t>
            </w:r>
          </w:p>
        </w:tc>
        <w:tc>
          <w:tcPr>
            <w:tcW w:w="32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910"/>
              <w:spacing w:after="0" w:line="196" w:lineRule="exact"/>
              <w:rPr>
                <w:sz w:val="20"/>
                <w:szCs w:val="20"/>
                <w:color w:val="auto"/>
              </w:rPr>
            </w:pPr>
            <w:r>
              <w:rPr>
                <w:rFonts w:ascii="Arial" w:cs="Arial" w:eastAsia="Arial" w:hAnsi="Arial"/>
                <w:sz w:val="18"/>
                <w:szCs w:val="18"/>
                <w:color w:val="auto"/>
              </w:rPr>
              <w:t>12,745</w:t>
            </w:r>
          </w:p>
        </w:tc>
        <w:tc>
          <w:tcPr>
            <w:tcW w:w="300" w:type="dxa"/>
            <w:vAlign w:val="bottom"/>
            <w:shd w:val="clear" w:color="auto" w:fill="CCEEFF"/>
          </w:tcPr>
          <w:p>
            <w:pPr>
              <w:spacing w:after="0"/>
              <w:rPr>
                <w:sz w:val="17"/>
                <w:szCs w:val="17"/>
                <w:color w:val="auto"/>
              </w:rPr>
            </w:pPr>
          </w:p>
        </w:tc>
        <w:tc>
          <w:tcPr>
            <w:tcW w:w="2520" w:type="dxa"/>
            <w:vAlign w:val="bottom"/>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rPr>
              <w:t>2,552,614</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adopted the Declassification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ind w:firstLine="332"/>
        <w:spacing w:after="0" w:line="308"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adoption of an amendment to the Current Charter to exculpate certain of the Company’s officers from personal liability for breach of the duty of care in certain actions, as permitted by Section 102(b)(7) of the Delaware General Corporation Law (the “Officer Exculpation Amendment”):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3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320" w:type="dxa"/>
            <w:vAlign w:val="bottom"/>
          </w:tcPr>
          <w:p>
            <w:pPr>
              <w:spacing w:after="0"/>
              <w:rPr>
                <w:sz w:val="19"/>
                <w:szCs w:val="19"/>
                <w:color w:val="auto"/>
              </w:rPr>
            </w:pPr>
          </w:p>
        </w:tc>
        <w:tc>
          <w:tcPr>
            <w:tcW w:w="25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Abstain</w:t>
            </w:r>
          </w:p>
        </w:tc>
        <w:tc>
          <w:tcPr>
            <w:tcW w:w="3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196"/>
        </w:trPr>
        <w:tc>
          <w:tcPr>
            <w:tcW w:w="2500" w:type="dxa"/>
            <w:vAlign w:val="bottom"/>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43,635,238</w:t>
            </w:r>
          </w:p>
        </w:tc>
        <w:tc>
          <w:tcPr>
            <w:tcW w:w="2820" w:type="dxa"/>
            <w:vAlign w:val="bottom"/>
            <w:gridSpan w:val="2"/>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21,215,612</w:t>
            </w:r>
          </w:p>
        </w:tc>
        <w:tc>
          <w:tcPr>
            <w:tcW w:w="2820" w:type="dxa"/>
            <w:vAlign w:val="bottom"/>
            <w:gridSpan w:val="2"/>
            <w:shd w:val="clear" w:color="auto" w:fill="CCEEFF"/>
          </w:tcPr>
          <w:p>
            <w:pPr>
              <w:ind w:left="1280"/>
              <w:spacing w:after="0" w:line="196" w:lineRule="exact"/>
              <w:rPr>
                <w:sz w:val="20"/>
                <w:szCs w:val="20"/>
                <w:color w:val="auto"/>
              </w:rPr>
            </w:pPr>
            <w:r>
              <w:rPr>
                <w:rFonts w:ascii="Arial" w:cs="Arial" w:eastAsia="Arial" w:hAnsi="Arial"/>
                <w:sz w:val="18"/>
                <w:szCs w:val="18"/>
                <w:color w:val="auto"/>
              </w:rPr>
              <w:t>734,692</w:t>
            </w:r>
          </w:p>
        </w:tc>
        <w:tc>
          <w:tcPr>
            <w:tcW w:w="2820" w:type="dxa"/>
            <w:vAlign w:val="bottom"/>
            <w:gridSpan w:val="2"/>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rPr>
              <w:t>2,552,614</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did not adopt the Officer Exculpation Amendment.</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1240"/>
          </w:cols>
          <w:pgMar w:left="320" w:top="1421" w:right="339" w:bottom="1440" w:gutter="0" w:footer="0" w:header="0"/>
        </w:sectPr>
      </w:pPr>
    </w:p>
    <w:p>
      <w:pPr>
        <w:spacing w:after="0" w:line="243"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Exhibits.</w:t>
      </w:r>
    </w:p>
    <w:p>
      <w:pPr>
        <w:spacing w:after="0" w:line="57"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8"/>
          <w:szCs w:val="18"/>
          <w:b w:val="1"/>
          <w:bCs w:val="1"/>
          <w:color w:val="auto"/>
        </w:rPr>
        <w:t>Exhibit No.</w:t>
      </w:r>
    </w:p>
    <w:p>
      <w:pPr>
        <w:spacing w:after="0" w:line="67"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3.1</w:t>
      </w:r>
    </w:p>
    <w:p>
      <w:pPr>
        <w:spacing w:after="0" w:line="49"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3.2</w:t>
      </w:r>
    </w:p>
    <w:p>
      <w:pPr>
        <w:spacing w:after="0" w:line="49"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3.3</w:t>
      </w:r>
    </w:p>
    <w:p>
      <w:pPr>
        <w:spacing w:after="0" w:line="49"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840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6189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74" w:lineRule="exact"/>
        <w:rPr>
          <w:sz w:val="20"/>
          <w:szCs w:val="20"/>
          <w:color w:val="auto"/>
        </w:rPr>
      </w:pPr>
    </w:p>
    <w:p>
      <w:pPr>
        <w:ind w:right="3380"/>
        <w:spacing w:after="0" w:line="289" w:lineRule="auto"/>
        <w:rPr>
          <w:sz w:val="20"/>
          <w:szCs w:val="20"/>
          <w:color w:val="auto"/>
        </w:rPr>
      </w:pPr>
      <w:r>
        <w:rPr>
          <w:rFonts w:ascii="Arial" w:cs="Arial" w:eastAsia="Arial" w:hAnsi="Arial"/>
          <w:sz w:val="18"/>
          <w:szCs w:val="18"/>
          <w:u w:val="single" w:color="auto"/>
          <w:color w:val="0000FF"/>
        </w:rPr>
        <w:t>Certificate of Amendment to the Restated Certificate of Incorporation of the Registrant* Restated Certificate of Incorporation of the Registrant*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Amended and Restated Bylaws of the Registrant*</w:t>
      </w:r>
    </w:p>
    <w:p>
      <w:pPr>
        <w:spacing w:after="0" w:line="36"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2023 Equity Incentive Plan (incorporated by reference to Appendix A of Veracyte,</w:t>
        </w:r>
        <w:r>
          <w:rPr>
            <w:rFonts w:ascii="Arial" w:cs="Arial" w:eastAsia="Arial" w:hAnsi="Arial"/>
            <w:sz w:val="18"/>
            <w:szCs w:val="18"/>
            <w:color w:val="0000FF"/>
          </w:rPr>
          <w:t xml:space="preserve"> Inc.’s Definitive Proxy Statement on Schedule 14A</w:t>
        </w:r>
      </w:hyperlink>
      <w:r>
        <w:rPr>
          <w:rFonts w:ascii="Arial" w:cs="Arial" w:eastAsia="Arial" w:hAnsi="Arial"/>
          <w:sz w:val="18"/>
          <w:szCs w:val="18"/>
          <w:color w:val="0000FF"/>
        </w:rPr>
        <w:t xml:space="preserve"> </w:t>
      </w:r>
      <w:hyperlink r:id="rId13">
        <w:r>
          <w:rPr>
            <w:rFonts w:ascii="Arial" w:cs="Arial" w:eastAsia="Arial" w:hAnsi="Arial"/>
            <w:sz w:val="18"/>
            <w:szCs w:val="18"/>
            <w:u w:val="single" w:color="auto"/>
            <w:color w:val="0000FF"/>
          </w:rPr>
          <w:t>filed with the Securities and Exchange Commission on April 27,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-136525</wp:posOffset>
            </wp:positionV>
            <wp:extent cx="2373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37363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240" w:space="280"/>
            <w:col w:w="9720"/>
          </w:cols>
          <w:pgMar w:left="320" w:top="1421" w:right="339" w:bottom="1440" w:gutter="0" w:footer="0" w:header="0"/>
          <w:type w:val="continuous"/>
        </w:sectPr>
      </w:pPr>
    </w:p>
    <w:p>
      <w:pPr>
        <w:ind w:left="520"/>
        <w:spacing w:after="0"/>
        <w:tabs>
          <w:tab w:leader="none" w:pos="15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0000FF"/>
        </w:rPr>
        <w:t>Form of agreements under the 2023 Equity Incentive Plan*</w:t>
      </w:r>
    </w:p>
    <w:p>
      <w:pPr>
        <w:spacing w:after="0" w:line="76" w:lineRule="exact"/>
        <w:rPr>
          <w:sz w:val="20"/>
          <w:szCs w:val="20"/>
          <w:color w:val="auto"/>
        </w:rPr>
      </w:pPr>
    </w:p>
    <w:p>
      <w:pPr>
        <w:ind w:left="1520" w:hanging="983"/>
        <w:spacing w:after="0"/>
        <w:tabs>
          <w:tab w:leader="none" w:pos="1520" w:val="left"/>
        </w:tabs>
        <w:numPr>
          <w:ilvl w:val="1"/>
          <w:numId w:val="5"/>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12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9, 2023</w:t>
      </w:r>
    </w:p>
    <w:p>
      <w:pPr>
        <w:spacing w:after="0" w:line="29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Pr>
          <w:p>
            <w:pPr>
              <w:ind w:left="80"/>
              <w:spacing w:after="0"/>
              <w:rPr>
                <w:sz w:val="20"/>
                <w:szCs w:val="20"/>
                <w:color w:val="auto"/>
              </w:rPr>
            </w:pPr>
            <w:r>
              <w:rPr>
                <w:rFonts w:ascii="Arial" w:cs="Arial" w:eastAsia="Arial" w:hAnsi="Arial"/>
                <w:sz w:val="18"/>
                <w:szCs w:val="18"/>
                <w:color w:val="auto"/>
              </w:rPr>
              <w:t>/s/ Rebecca Chambers</w:t>
            </w: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Rebecca Chambers</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00"/>
          </w:cols>
          <w:pgMar w:left="320" w:top="1404"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CERTIFICATE OF AMENDMENT OF</w:t>
      </w:r>
    </w:p>
    <w:p>
      <w:pPr>
        <w:ind w:left="3360"/>
        <w:spacing w:after="0" w:line="197" w:lineRule="auto"/>
        <w:rPr>
          <w:sz w:val="20"/>
          <w:szCs w:val="20"/>
          <w:color w:val="auto"/>
        </w:rPr>
      </w:pPr>
      <w:r>
        <w:rPr>
          <w:rFonts w:ascii="Arial" w:cs="Arial" w:eastAsia="Arial" w:hAnsi="Arial"/>
          <w:sz w:val="20"/>
          <w:szCs w:val="20"/>
          <w:b w:val="1"/>
          <w:bCs w:val="1"/>
          <w:color w:val="auto"/>
        </w:rPr>
        <w:t>RESTATED CERTIFICATE OF INCORPORATION</w:t>
      </w:r>
    </w:p>
    <w:p>
      <w:pPr>
        <w:ind w:left="4660"/>
        <w:spacing w:after="0"/>
        <w:rPr>
          <w:sz w:val="20"/>
          <w:szCs w:val="20"/>
          <w:color w:val="auto"/>
        </w:rPr>
      </w:pPr>
      <w:r>
        <w:rPr>
          <w:rFonts w:ascii="Arial" w:cs="Arial" w:eastAsia="Arial" w:hAnsi="Arial"/>
          <w:sz w:val="20"/>
          <w:szCs w:val="20"/>
          <w:b w:val="1"/>
          <w:bCs w:val="1"/>
          <w:color w:val="auto"/>
        </w:rPr>
        <w:t>OF VERACYTE, INC.</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Veracyte, Inc., a corporation organized and existing under the laws of the State of Delaware, hereby certifies as follows:</w:t>
      </w:r>
    </w:p>
    <w:p>
      <w:pPr>
        <w:spacing w:after="0" w:line="183"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0"/>
          <w:szCs w:val="20"/>
          <w:b w:val="1"/>
          <w:bCs w:val="1"/>
          <w:color w:val="auto"/>
        </w:rPr>
        <w:t>FIRST:</w:t>
      </w:r>
      <w:r>
        <w:rPr>
          <w:sz w:val="20"/>
          <w:szCs w:val="20"/>
          <w:color w:val="auto"/>
        </w:rPr>
        <w:tab/>
      </w:r>
      <w:r>
        <w:rPr>
          <w:rFonts w:ascii="Arial" w:cs="Arial" w:eastAsia="Arial" w:hAnsi="Arial"/>
          <w:sz w:val="16"/>
          <w:szCs w:val="16"/>
          <w:color w:val="auto"/>
        </w:rPr>
        <w:t>The name of the corporation is Veracyte, Inc.</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 xml:space="preserve">SECOND: </w:t>
      </w:r>
      <w:r>
        <w:rPr>
          <w:rFonts w:ascii="Arial" w:cs="Arial" w:eastAsia="Arial" w:hAnsi="Arial"/>
          <w:sz w:val="20"/>
          <w:szCs w:val="20"/>
          <w:color w:val="auto"/>
        </w:rPr>
        <w:t>The original Certificate of Incorporation of the corporation was filed with the Secretary of State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on August 15, 2006 and the original name of the corporation was Calderome, Inc. The Certificate of Incorporation was most recently amended and restated on November 4, 2013 (the “Restated Certificate of Incorporation”).</w:t>
      </w:r>
    </w:p>
    <w:p>
      <w:pPr>
        <w:spacing w:after="0" w:line="1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 xml:space="preserve">THIRD: </w:t>
      </w:r>
      <w:r>
        <w:rPr>
          <w:rFonts w:ascii="Arial" w:cs="Arial" w:eastAsia="Arial" w:hAnsi="Arial"/>
          <w:sz w:val="19"/>
          <w:szCs w:val="19"/>
          <w:color w:val="auto"/>
        </w:rPr>
        <w:t>This Certificate of Amendment of Restated Certificate of Incorporation was duly adopted by the corporation’s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and stockholders in accordance with Section 242 of the General Corporation Law of the State of Delaware (the “DGCL”).</w:t>
      </w:r>
    </w:p>
    <w:p>
      <w:pPr>
        <w:spacing w:after="0" w:line="140" w:lineRule="exact"/>
        <w:rPr>
          <w:sz w:val="20"/>
          <w:szCs w:val="20"/>
          <w:color w:val="auto"/>
        </w:rPr>
      </w:pPr>
    </w:p>
    <w:p>
      <w:pPr>
        <w:jc w:val="center"/>
        <w:ind w:right="-79"/>
        <w:spacing w:after="0"/>
        <w:tabs>
          <w:tab w:leader="none" w:pos="180" w:val="left"/>
        </w:tabs>
        <w:rPr>
          <w:sz w:val="20"/>
          <w:szCs w:val="20"/>
          <w:color w:val="auto"/>
        </w:rPr>
      </w:pPr>
      <w:r>
        <w:rPr>
          <w:rFonts w:ascii="Arial" w:cs="Arial" w:eastAsia="Arial" w:hAnsi="Arial"/>
          <w:sz w:val="20"/>
          <w:szCs w:val="20"/>
          <w:b w:val="1"/>
          <w:bCs w:val="1"/>
          <w:color w:val="auto"/>
        </w:rPr>
        <w:t>FOURTH:</w:t>
      </w:r>
      <w:r>
        <w:rPr>
          <w:sz w:val="20"/>
          <w:szCs w:val="20"/>
          <w:color w:val="auto"/>
        </w:rPr>
        <w:tab/>
      </w:r>
      <w:r>
        <w:rPr>
          <w:rFonts w:ascii="Arial" w:cs="Arial" w:eastAsia="Arial" w:hAnsi="Arial"/>
          <w:sz w:val="18"/>
          <w:szCs w:val="18"/>
          <w:color w:val="auto"/>
        </w:rPr>
        <w:t>Article V.B of the Restated Certificate of Incorporation is hereby amended and restated in its entirety as follows:</w:t>
      </w:r>
    </w:p>
    <w:p>
      <w:pPr>
        <w:spacing w:after="0" w:line="18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“B. The Board of Directors is expressly authorized to adopt, amend or repeal the bylaws of the corporation without any action on the part of the stockholders, by the vote of at least a majority of the directors of the corporation then in office. In addition to any</w:t>
      </w:r>
    </w:p>
    <w:p>
      <w:pPr>
        <w:jc w:val="both"/>
        <w:spacing w:after="0" w:line="226" w:lineRule="auto"/>
        <w:rPr>
          <w:sz w:val="20"/>
          <w:szCs w:val="20"/>
          <w:color w:val="auto"/>
        </w:rPr>
      </w:pPr>
      <w:r>
        <w:rPr>
          <w:rFonts w:ascii="Arial" w:cs="Arial" w:eastAsia="Arial" w:hAnsi="Arial"/>
          <w:sz w:val="18"/>
          <w:szCs w:val="18"/>
          <w:color w:val="auto"/>
        </w:rPr>
        <w:t>vote of the holders of any class or series of stock of the corporation required by law or this Restated Certificate of Incorporation, the bylaws may also be adopted, amended or repealed by the affirmative vote of the holders of at least sixty-six and two-thirds percent (66-2/3%) of the</w:t>
      </w:r>
    </w:p>
    <w:p>
      <w:pPr>
        <w:spacing w:after="0" w:line="236" w:lineRule="auto"/>
        <w:rPr>
          <w:sz w:val="20"/>
          <w:szCs w:val="20"/>
          <w:color w:val="auto"/>
        </w:rPr>
      </w:pPr>
      <w:r>
        <w:rPr>
          <w:rFonts w:ascii="Arial" w:cs="Arial" w:eastAsia="Arial" w:hAnsi="Arial"/>
          <w:sz w:val="18"/>
          <w:szCs w:val="18"/>
          <w:color w:val="auto"/>
        </w:rPr>
        <w:t>voting power of all of the then outstanding shares of the shares of the capital stock of the corporation entitled to vote generally in the election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directors, voting as a single class; provided, however, that the affirmative vote of the holders representing only a majority of the voting power of the shares of the capital stock of the corporation entitled to vote in the election of directors, voting as one class, shall be required if</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such adoption, amendment or repeal of the bylaws has been previously approved by the affirmative vote of at least two-thirds (2/3) of the directors of the corporation then in office.”</w:t>
      </w:r>
    </w:p>
    <w:p>
      <w:pPr>
        <w:spacing w:after="0" w:line="16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auto"/>
        </w:rPr>
        <w:t xml:space="preserve">FIFTH: </w:t>
      </w:r>
      <w:r>
        <w:rPr>
          <w:rFonts w:ascii="Arial" w:cs="Arial" w:eastAsia="Arial" w:hAnsi="Arial"/>
          <w:sz w:val="20"/>
          <w:szCs w:val="20"/>
          <w:color w:val="auto"/>
        </w:rPr>
        <w:t>Article VI.B, Article VI.C, and Article VI.D of the Restated Certificate of Incorporation are hereby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in their entirety as follows:</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provisions of this Restated Certificate of Incorporation relating to the rights of any series of Preferred Stock as provided for or fixed pursuant to the provisions of Article IV hereof, directors of the corporation shall be and are</w:t>
      </w:r>
    </w:p>
    <w:p>
      <w:pPr>
        <w:jc w:val="both"/>
        <w:spacing w:after="0" w:line="226" w:lineRule="auto"/>
        <w:rPr>
          <w:sz w:val="20"/>
          <w:szCs w:val="20"/>
          <w:color w:val="auto"/>
        </w:rPr>
      </w:pPr>
      <w:r>
        <w:rPr>
          <w:rFonts w:ascii="Arial" w:cs="Arial" w:eastAsia="Arial" w:hAnsi="Arial"/>
          <w:sz w:val="18"/>
          <w:szCs w:val="18"/>
          <w:color w:val="auto"/>
        </w:rPr>
        <w:t>divided into the following classes: the 2024 Class, the 2025 Class and the 2026 Class (each as defined below); provided that such division shall terminate at the 2026 annual meeting of stockholders. Subject to the provisions of this Restated Certificate of Incorporation relating to</w:t>
      </w:r>
    </w:p>
    <w:p>
      <w:pPr>
        <w:spacing w:after="0" w:line="236" w:lineRule="auto"/>
        <w:rPr>
          <w:sz w:val="20"/>
          <w:szCs w:val="20"/>
          <w:color w:val="auto"/>
        </w:rPr>
      </w:pPr>
      <w:r>
        <w:rPr>
          <w:rFonts w:ascii="Arial" w:cs="Arial" w:eastAsia="Arial" w:hAnsi="Arial"/>
          <w:sz w:val="18"/>
          <w:szCs w:val="18"/>
          <w:color w:val="auto"/>
        </w:rPr>
        <w:t>the rights of any series of Preferred Stock as provided for or fixed pursuant to the provisions of Article IV hereof, commencing with the 2024</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annual meeting of stockholders, directors of the corporation other than those in the 2025 Class and 2026 Class (each as defined below) shall be elected for a term of one year, expiring at the next succeeding annual meeting of stockholders. Each director of the corporation serving in</w:t>
      </w:r>
    </w:p>
    <w:p>
      <w:pPr>
        <w:spacing w:after="0" w:line="224" w:lineRule="auto"/>
        <w:rPr>
          <w:sz w:val="20"/>
          <w:szCs w:val="20"/>
          <w:color w:val="auto"/>
        </w:rPr>
      </w:pPr>
      <w:r>
        <w:rPr>
          <w:rFonts w:ascii="Arial" w:cs="Arial" w:eastAsia="Arial" w:hAnsi="Arial"/>
          <w:sz w:val="19"/>
          <w:szCs w:val="19"/>
          <w:color w:val="auto"/>
        </w:rPr>
        <w:t>the class elected at the 2021 annual meeting of stockholders shall serve for a three-year term expiring at the 2024 annual meeting of</w:t>
      </w:r>
    </w:p>
    <w:p>
      <w:pPr>
        <w:jc w:val="both"/>
        <w:spacing w:after="0" w:line="226" w:lineRule="auto"/>
        <w:rPr>
          <w:sz w:val="20"/>
          <w:szCs w:val="20"/>
          <w:color w:val="auto"/>
        </w:rPr>
      </w:pPr>
      <w:r>
        <w:rPr>
          <w:rFonts w:ascii="Arial" w:cs="Arial" w:eastAsia="Arial" w:hAnsi="Arial"/>
          <w:sz w:val="18"/>
          <w:szCs w:val="18"/>
          <w:color w:val="auto"/>
        </w:rPr>
        <w:t>stockholders (the “2024 Class”), each director of the corporation serving in the class elected at the 2022 annual meeting of stockholders shall serve for a three-year term expiring at the 2025 annual meeting of stockholders (the “2025 Class”), and each director of the corporation</w:t>
      </w:r>
    </w:p>
    <w:p>
      <w:pPr>
        <w:spacing w:after="0" w:line="236" w:lineRule="auto"/>
        <w:rPr>
          <w:sz w:val="20"/>
          <w:szCs w:val="20"/>
          <w:color w:val="auto"/>
        </w:rPr>
      </w:pPr>
      <w:r>
        <w:rPr>
          <w:rFonts w:ascii="Arial" w:cs="Arial" w:eastAsia="Arial" w:hAnsi="Arial"/>
          <w:sz w:val="18"/>
          <w:szCs w:val="18"/>
          <w:color w:val="auto"/>
        </w:rPr>
        <w:t>serving in the class elected at the 2023 annual meeting of stockholders shall serve for a three-year term expiring at the 2026 annual meeting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stockholders (the “2026 Class”), including any person appointed to fill a vacancy or newly created directorship occurring in the 2024 Class, 2025 Class or the 2026 Class (each of whom shall be deemed to be a member of the class of directors in which the vacancy or newly</w:t>
      </w:r>
    </w:p>
    <w:p>
      <w:pPr>
        <w:spacing w:after="0" w:line="236" w:lineRule="auto"/>
        <w:rPr>
          <w:sz w:val="20"/>
          <w:szCs w:val="20"/>
          <w:color w:val="auto"/>
        </w:rPr>
      </w:pPr>
      <w:r>
        <w:rPr>
          <w:rFonts w:ascii="Arial" w:cs="Arial" w:eastAsia="Arial" w:hAnsi="Arial"/>
          <w:sz w:val="18"/>
          <w:szCs w:val="18"/>
          <w:color w:val="auto"/>
        </w:rPr>
        <w:t>created directorship occurred), shall continue to hold office until the end of the term for which such director was elected or appointed, as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applicable. Subject to the provisions of this Restated Certificate of Incorporation relating to directors elected by the holders of one or more series of Preferred Stock as provided for or fixed pursuant to the provisions of Article IV hereof, (a) commencing with the 2024 annual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meeting of stockholders, all directors of the corporation other than</w:t>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those in the 2025 Class and the 2026 Class will be elected for a term of one year, (b) commencing with the 2025 annual meeting of</w:t>
      </w:r>
    </w:p>
    <w:p>
      <w:pPr>
        <w:spacing w:after="0" w:line="226" w:lineRule="auto"/>
        <w:rPr>
          <w:sz w:val="20"/>
          <w:szCs w:val="20"/>
          <w:color w:val="auto"/>
        </w:rPr>
      </w:pPr>
      <w:r>
        <w:rPr>
          <w:rFonts w:ascii="Arial" w:cs="Arial" w:eastAsia="Arial" w:hAnsi="Arial"/>
          <w:sz w:val="18"/>
          <w:szCs w:val="18"/>
          <w:color w:val="auto"/>
        </w:rPr>
        <w:t>stockholders, all directors of the corporation other than those in the 2026 Class will be elected for a term of one year, and (c) commencing with the 2026 annual meeting of stockholders, all directors of the corporation will be elected for a term of one-year. In all cases, each director</w:t>
      </w:r>
    </w:p>
    <w:p>
      <w:pPr>
        <w:spacing w:after="0" w:line="236" w:lineRule="auto"/>
        <w:rPr>
          <w:sz w:val="20"/>
          <w:szCs w:val="20"/>
          <w:color w:val="auto"/>
        </w:rPr>
      </w:pPr>
      <w:r>
        <w:rPr>
          <w:rFonts w:ascii="Arial" w:cs="Arial" w:eastAsia="Arial" w:hAnsi="Arial"/>
          <w:sz w:val="18"/>
          <w:szCs w:val="18"/>
          <w:color w:val="auto"/>
        </w:rPr>
        <w:t>shall serve until such director’s successor has been duly elected and qualified or until such director’s earlier death, resignation, retirement,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disqualification, or removal from office. No decrease in the number of directors constituting the Board of Directors shall shorten the term of any incumbent director.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Vacancies</w:t>
      </w:r>
      <w:r>
        <w:rPr>
          <w:rFonts w:ascii="Arial" w:cs="Arial" w:eastAsia="Arial" w:hAnsi="Arial"/>
          <w:sz w:val="18"/>
          <w:szCs w:val="18"/>
          <w:color w:val="auto"/>
        </w:rPr>
        <w:t>. Except as otherwise provided for or fixed pursuant to the provisions of Article IV of this Restated Certificate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Incorporation relating to the rights of the holders of any series of Preferred Stock to elect directors, and subject to the provisions hereof, newly created directorships resulting from any increase in the authorized number of directors, any vacancies on the Board of Directors</w:t>
      </w:r>
    </w:p>
    <w:p>
      <w:pPr>
        <w:spacing w:after="0" w:line="224" w:lineRule="auto"/>
        <w:rPr>
          <w:sz w:val="20"/>
          <w:szCs w:val="20"/>
          <w:color w:val="auto"/>
        </w:rPr>
      </w:pPr>
      <w:r>
        <w:rPr>
          <w:rFonts w:ascii="Arial" w:cs="Arial" w:eastAsia="Arial" w:hAnsi="Arial"/>
          <w:sz w:val="19"/>
          <w:szCs w:val="19"/>
          <w:color w:val="auto"/>
        </w:rPr>
        <w:t>resulting from death, resignation, retirement, disqualification, removal, or other cause, shall be filled only by the affirmative vote of a</w:t>
      </w:r>
    </w:p>
    <w:p>
      <w:pPr>
        <w:spacing w:after="0" w:line="226" w:lineRule="auto"/>
        <w:rPr>
          <w:sz w:val="20"/>
          <w:szCs w:val="20"/>
          <w:color w:val="auto"/>
        </w:rPr>
      </w:pPr>
      <w:r>
        <w:rPr>
          <w:rFonts w:ascii="Arial" w:cs="Arial" w:eastAsia="Arial" w:hAnsi="Arial"/>
          <w:sz w:val="18"/>
          <w:szCs w:val="18"/>
          <w:color w:val="auto"/>
        </w:rPr>
        <w:t>majority of the remaining directors then in office, even though less than a quorum of the Board of Directors, or by a sole remaining director. Any director elected in accordance with the preceding sentence shall hold office (i) for the remainder of the full term of the class of directors</w:t>
      </w:r>
    </w:p>
    <w:p>
      <w:pPr>
        <w:spacing w:after="0" w:line="224" w:lineRule="auto"/>
        <w:rPr>
          <w:sz w:val="20"/>
          <w:szCs w:val="20"/>
          <w:color w:val="auto"/>
        </w:rPr>
      </w:pPr>
      <w:r>
        <w:rPr>
          <w:rFonts w:ascii="Arial" w:cs="Arial" w:eastAsia="Arial" w:hAnsi="Arial"/>
          <w:sz w:val="19"/>
          <w:szCs w:val="19"/>
          <w:color w:val="auto"/>
        </w:rPr>
        <w:t>in which the new directorship was created or in which the vacancy occurred (subject to the declassification provisions in the preceding</w:t>
      </w:r>
    </w:p>
    <w:p>
      <w:pPr>
        <w:spacing w:after="0" w:line="226" w:lineRule="auto"/>
        <w:rPr>
          <w:sz w:val="20"/>
          <w:szCs w:val="20"/>
          <w:color w:val="auto"/>
        </w:rPr>
      </w:pPr>
      <w:r>
        <w:rPr>
          <w:rFonts w:ascii="Arial" w:cs="Arial" w:eastAsia="Arial" w:hAnsi="Arial"/>
          <w:sz w:val="18"/>
          <w:szCs w:val="18"/>
          <w:color w:val="auto"/>
        </w:rPr>
        <w:t>paragraph B), or (ii) following the termination of the classification of the Board of Directors, for a term expiring at the next annual meeting of stockholders, and, in either case, until such director’s successor shall have been duly elected and qualified or until his or her earlier</w:t>
      </w:r>
    </w:p>
    <w:p>
      <w:pPr>
        <w:spacing w:after="0" w:line="236" w:lineRule="auto"/>
        <w:rPr>
          <w:sz w:val="20"/>
          <w:szCs w:val="20"/>
          <w:color w:val="auto"/>
        </w:rPr>
      </w:pPr>
      <w:r>
        <w:rPr>
          <w:rFonts w:ascii="Arial" w:cs="Arial" w:eastAsia="Arial" w:hAnsi="Arial"/>
          <w:sz w:val="18"/>
          <w:szCs w:val="18"/>
          <w:color w:val="auto"/>
        </w:rPr>
        <w:t>resignation, removal from office, death or incapacity. In the event of a vacancy in the Board of Directors, the remaining directors, except as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otherwise provided by law, or by the certificate of incorporation or the bylaws of the corporation, may exercise the powers of the full board until the vacancy is filled.</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Subject to the special rights of the holders of one or more series of Preferred Stock with respect to the election of directors, except as otherwise provided by law, each director serving in a class of directors for a term expiring at the third</w:t>
      </w:r>
    </w:p>
    <w:p>
      <w:pPr>
        <w:spacing w:after="0" w:line="235" w:lineRule="auto"/>
        <w:rPr>
          <w:sz w:val="20"/>
          <w:szCs w:val="20"/>
          <w:color w:val="auto"/>
        </w:rPr>
      </w:pPr>
      <w:r>
        <w:rPr>
          <w:rFonts w:ascii="Arial" w:cs="Arial" w:eastAsia="Arial" w:hAnsi="Arial"/>
          <w:sz w:val="18"/>
          <w:szCs w:val="18"/>
          <w:color w:val="auto"/>
        </w:rPr>
        <w:t>annual meeting of stockholders following the election of such class may be removed only for cause and only by the affirmative vote of the</w:t>
      </w:r>
    </w:p>
    <w:p>
      <w:pPr>
        <w:spacing w:after="0" w:line="226" w:lineRule="auto"/>
        <w:rPr>
          <w:sz w:val="20"/>
          <w:szCs w:val="20"/>
          <w:color w:val="auto"/>
        </w:rPr>
      </w:pPr>
      <w:r>
        <w:rPr>
          <w:rFonts w:ascii="Arial" w:cs="Arial" w:eastAsia="Arial" w:hAnsi="Arial"/>
          <w:sz w:val="18"/>
          <w:szCs w:val="18"/>
          <w:color w:val="auto"/>
        </w:rPr>
        <w:t>holders of sixty-six and two-thirds percent (66-2/3%) of the voting power of all of the then outstanding shares of the shares of the capital stock of the corporation entitled to vote generally in the election of directors, voting as a single class, and all other directors may be removed</w:t>
      </w:r>
    </w:p>
    <w:p>
      <w:pPr>
        <w:spacing w:after="0" w:line="236" w:lineRule="auto"/>
        <w:rPr>
          <w:sz w:val="20"/>
          <w:szCs w:val="20"/>
          <w:color w:val="auto"/>
        </w:rPr>
      </w:pPr>
      <w:r>
        <w:rPr>
          <w:rFonts w:ascii="Arial" w:cs="Arial" w:eastAsia="Arial" w:hAnsi="Arial"/>
          <w:sz w:val="18"/>
          <w:szCs w:val="18"/>
          <w:color w:val="auto"/>
        </w:rPr>
        <w:t>with or without cause by the affirmative vote of the holders of sixty-six and two-thirds percent (66-2/3%) of the voting power of all of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then outstanding shares of the shares of the capital stock of the corporation entitled to vote generally in the election of directors, voting as a single class.”</w:t>
      </w:r>
    </w:p>
    <w:p>
      <w:pPr>
        <w:spacing w:after="0" w:line="164" w:lineRule="exact"/>
        <w:rPr>
          <w:sz w:val="20"/>
          <w:szCs w:val="20"/>
          <w:color w:val="auto"/>
        </w:rPr>
      </w:pPr>
    </w:p>
    <w:p>
      <w:pPr>
        <w:jc w:val="center"/>
        <w:ind w:right="300"/>
        <w:spacing w:after="0"/>
        <w:tabs>
          <w:tab w:leader="none" w:pos="180" w:val="left"/>
        </w:tabs>
        <w:rPr>
          <w:sz w:val="20"/>
          <w:szCs w:val="20"/>
          <w:color w:val="auto"/>
        </w:rPr>
      </w:pPr>
      <w:r>
        <w:rPr>
          <w:rFonts w:ascii="Arial" w:cs="Arial" w:eastAsia="Arial" w:hAnsi="Arial"/>
          <w:sz w:val="20"/>
          <w:szCs w:val="20"/>
          <w:b w:val="1"/>
          <w:bCs w:val="1"/>
          <w:color w:val="auto"/>
        </w:rPr>
        <w:t>SIXTH:</w:t>
      </w:r>
      <w:r>
        <w:rPr>
          <w:sz w:val="20"/>
          <w:szCs w:val="20"/>
          <w:color w:val="auto"/>
        </w:rPr>
        <w:tab/>
      </w:r>
      <w:r>
        <w:rPr>
          <w:rFonts w:ascii="Arial" w:cs="Arial" w:eastAsia="Arial" w:hAnsi="Arial"/>
          <w:sz w:val="18"/>
          <w:szCs w:val="18"/>
          <w:color w:val="auto"/>
        </w:rPr>
        <w:t>Article X of the Restated Certificate of Incorporation is hereby amended and restated in its entirety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18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Notwithstanding any other provision of this Restated Certificate of Incorporation, the affirmative vote of the holders of at least sixty-six and two-thirds percent (66-2/3%) of the voting power of all of the then outstanding shares of the capital stock of the corporation entitled</w:t>
      </w:r>
    </w:p>
    <w:p>
      <w:pPr>
        <w:spacing w:after="0" w:line="220" w:lineRule="auto"/>
        <w:rPr>
          <w:sz w:val="20"/>
          <w:szCs w:val="20"/>
          <w:color w:val="auto"/>
        </w:rPr>
      </w:pPr>
      <w:r>
        <w:rPr>
          <w:rFonts w:ascii="Arial" w:cs="Arial" w:eastAsia="Arial" w:hAnsi="Arial"/>
          <w:sz w:val="20"/>
          <w:szCs w:val="20"/>
          <w:color w:val="auto"/>
        </w:rPr>
        <w:t>to vote generally in the election of directors, voting together as a single class, shall be required to amend in any respect or repeal this Article X, or paragraph B of Article V, or Article VI, VII, VIII or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7" w:name="page8"/>
    <w:bookmarkEnd w:id="7"/>
    <w:p>
      <w:pPr>
        <w:ind w:firstLine="648"/>
        <w:spacing w:after="0" w:line="261"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corporation has caused this Certificate of Amendment of Restated Certificate of Incorporation to be</w:t>
      </w:r>
      <w:r>
        <w:rPr>
          <w:rFonts w:ascii="Arial" w:cs="Arial" w:eastAsia="Arial" w:hAnsi="Arial"/>
          <w:sz w:val="20"/>
          <w:szCs w:val="20"/>
          <w:b w:val="1"/>
          <w:bCs w:val="1"/>
          <w:color w:val="auto"/>
        </w:rPr>
        <w:t xml:space="preserve"> </w:t>
      </w:r>
      <w:r>
        <w:rPr>
          <w:rFonts w:ascii="Arial" w:cs="Arial" w:eastAsia="Arial" w:hAnsi="Arial"/>
          <w:sz w:val="20"/>
          <w:szCs w:val="20"/>
          <w:color w:val="auto"/>
        </w:rPr>
        <w:t>signed by its Chief Executive Officer on this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June, 2023.</w:t>
      </w:r>
    </w:p>
    <w:p>
      <w:pPr>
        <w:spacing w:after="0" w:line="342" w:lineRule="exact"/>
        <w:rPr>
          <w:sz w:val="20"/>
          <w:szCs w:val="20"/>
          <w:color w:val="auto"/>
        </w:rPr>
      </w:pPr>
    </w:p>
    <w:p>
      <w:pPr>
        <w:ind w:left="5560"/>
        <w:spacing w:after="0"/>
        <w:rPr>
          <w:sz w:val="20"/>
          <w:szCs w:val="20"/>
          <w:color w:val="auto"/>
        </w:rPr>
      </w:pPr>
      <w:r>
        <w:rPr>
          <w:rFonts w:ascii="Arial" w:cs="Arial" w:eastAsia="Arial" w:hAnsi="Arial"/>
          <w:sz w:val="20"/>
          <w:szCs w:val="20"/>
          <w:b w:val="1"/>
          <w:bCs w:val="1"/>
          <w:color w:val="auto"/>
        </w:rPr>
        <w:t>VERACYTE, INC.</w:t>
      </w:r>
    </w:p>
    <w:p>
      <w:pPr>
        <w:spacing w:after="0" w:line="200" w:lineRule="exact"/>
        <w:rPr>
          <w:sz w:val="20"/>
          <w:szCs w:val="20"/>
          <w:color w:val="auto"/>
        </w:rPr>
      </w:pPr>
    </w:p>
    <w:p>
      <w:pPr>
        <w:spacing w:after="0" w:line="319" w:lineRule="exact"/>
        <w:rPr>
          <w:sz w:val="20"/>
          <w:szCs w:val="20"/>
          <w:color w:val="auto"/>
        </w:rPr>
      </w:pPr>
    </w:p>
    <w:p>
      <w:pPr>
        <w:ind w:left="5560"/>
        <w:spacing w:after="0"/>
        <w:tabs>
          <w:tab w:leader="none" w:pos="6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19050</wp:posOffset>
            </wp:positionV>
            <wp:extent cx="3103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Marc Stapley</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9" w:right="339" w:bottom="1440" w:gutter="0" w:footer="0" w:header="0"/>
        </w:sectPr>
      </w:pPr>
    </w:p>
    <w:bookmarkStart w:id="8" w:name="page9"/>
    <w:bookmarkEnd w:id="8"/>
    <w:p>
      <w:pPr>
        <w:ind w:left="10360"/>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RESTATED CERTIFICATE OF INCORPORATION</w:t>
      </w:r>
    </w:p>
    <w:p>
      <w:pPr>
        <w:jc w:val="center"/>
        <w:spacing w:after="0"/>
        <w:rPr>
          <w:sz w:val="20"/>
          <w:szCs w:val="20"/>
          <w:color w:val="auto"/>
        </w:rPr>
      </w:pPr>
      <w:r>
        <w:rPr>
          <w:rFonts w:ascii="Arial" w:cs="Arial" w:eastAsia="Arial" w:hAnsi="Arial"/>
          <w:sz w:val="20"/>
          <w:szCs w:val="20"/>
          <w:b w:val="1"/>
          <w:bCs w:val="1"/>
          <w:color w:val="auto"/>
        </w:rPr>
        <w:t>OF VERACYTE, INC.</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Veracyte, Inc., a corporation organized and existing under the laws of the State of Delaware, hereby certifies as follows:</w:t>
      </w:r>
    </w:p>
    <w:p>
      <w:pPr>
        <w:spacing w:after="0" w:line="183"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0"/>
          <w:szCs w:val="20"/>
          <w:b w:val="1"/>
          <w:bCs w:val="1"/>
          <w:color w:val="auto"/>
        </w:rPr>
        <w:t>FIRST:</w:t>
      </w:r>
      <w:r>
        <w:rPr>
          <w:sz w:val="20"/>
          <w:szCs w:val="20"/>
          <w:color w:val="auto"/>
        </w:rPr>
        <w:tab/>
      </w:r>
      <w:r>
        <w:rPr>
          <w:rFonts w:ascii="Arial" w:cs="Arial" w:eastAsia="Arial" w:hAnsi="Arial"/>
          <w:sz w:val="16"/>
          <w:szCs w:val="16"/>
          <w:color w:val="auto"/>
        </w:rPr>
        <w:t>The name of the corporation is Veracyte, Inc.</w:t>
      </w:r>
    </w:p>
    <w:p>
      <w:pPr>
        <w:spacing w:after="0" w:line="189" w:lineRule="exact"/>
        <w:rPr>
          <w:sz w:val="20"/>
          <w:szCs w:val="20"/>
          <w:color w:val="auto"/>
        </w:rPr>
      </w:pPr>
    </w:p>
    <w:p>
      <w:pPr>
        <w:ind w:firstLine="648"/>
        <w:spacing w:after="0" w:line="227" w:lineRule="auto"/>
        <w:rPr>
          <w:sz w:val="20"/>
          <w:szCs w:val="20"/>
          <w:color w:val="auto"/>
        </w:rPr>
      </w:pPr>
      <w:r>
        <w:rPr>
          <w:rFonts w:ascii="Arial" w:cs="Arial" w:eastAsia="Arial" w:hAnsi="Arial"/>
          <w:sz w:val="19"/>
          <w:szCs w:val="19"/>
          <w:b w:val="1"/>
          <w:bCs w:val="1"/>
          <w:color w:val="auto"/>
        </w:rPr>
        <w:t xml:space="preserve">SECOND: </w:t>
      </w:r>
      <w:r>
        <w:rPr>
          <w:rFonts w:ascii="Arial" w:cs="Arial" w:eastAsia="Arial" w:hAnsi="Arial"/>
          <w:sz w:val="19"/>
          <w:szCs w:val="19"/>
          <w:color w:val="auto"/>
        </w:rPr>
        <w:t>The original Certificate of Incorporation of the corporation was filed with the Secretary of State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on August 15, 2006 and the original name of the corporation was Calderome, Inc. The Certificate of Incorporation was most</w:t>
      </w:r>
    </w:p>
    <w:p>
      <w:pPr>
        <w:spacing w:after="0" w:line="227" w:lineRule="auto"/>
        <w:rPr>
          <w:sz w:val="20"/>
          <w:szCs w:val="20"/>
          <w:color w:val="auto"/>
        </w:rPr>
      </w:pPr>
      <w:r>
        <w:rPr>
          <w:rFonts w:ascii="Arial" w:cs="Arial" w:eastAsia="Arial" w:hAnsi="Arial"/>
          <w:sz w:val="20"/>
          <w:szCs w:val="20"/>
          <w:color w:val="auto"/>
        </w:rPr>
        <w:t>recently amended and restated on November 4, 2013 (the “Current Restated Certificate of Incorporation”) and was further amended on June 9, 2023.</w:t>
      </w:r>
    </w:p>
    <w:p>
      <w:pPr>
        <w:spacing w:after="0" w:line="15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following Restated Certificate of Incorporation was duly adopted by the Board of Directors of the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245 of the General Corporation Law of the State of Delaware, and only restates and integrates and does not further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amend the provisions of the corporation’s Current Restated Certificate of Incorporation as heretofore amended and supplemented, and there is no discrepancy between those provisions and the following:</w:t>
      </w:r>
    </w:p>
    <w:p>
      <w:pPr>
        <w:spacing w:after="0" w:line="17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I</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corporation is Veracyte, Inc.</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II</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address of the registered office of the corporation in the State of Delaware is 1209 Orange Street, in the City of Wilmington, County of New Castle, 19801. The name of its registered agent at such address is National Registered Agents, Inc.</w:t>
      </w:r>
    </w:p>
    <w:p>
      <w:pPr>
        <w:spacing w:after="0" w:line="14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III</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nature of the business or purposes to be conducted or promoted is to engage in any lawful act or activity for which corporations may be organized under the General Corporation Law of the State of Delaware (the “DGCL”).</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IV</w:t>
      </w:r>
    </w:p>
    <w:p>
      <w:pPr>
        <w:spacing w:after="0" w:line="189" w:lineRule="exact"/>
        <w:rPr>
          <w:sz w:val="20"/>
          <w:szCs w:val="20"/>
          <w:color w:val="auto"/>
        </w:rPr>
      </w:pPr>
    </w:p>
    <w:p>
      <w:pPr>
        <w:jc w:val="both"/>
        <w:ind w:firstLine="1304"/>
        <w:spacing w:after="0" w:line="221" w:lineRule="auto"/>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Classes of Stock</w:t>
      </w:r>
      <w:r>
        <w:rPr>
          <w:rFonts w:ascii="Arial" w:cs="Arial" w:eastAsia="Arial" w:hAnsi="Arial"/>
          <w:sz w:val="19"/>
          <w:szCs w:val="19"/>
          <w:color w:val="auto"/>
        </w:rPr>
        <w:t>. The total number of shares of all classes of classes of capital stock that the corporation shall have authority to issue is one hundred thirty million (130,000,000), of which one hundred twenty-five million (125,000,000) shares of the par value of one-tenth of one cent ($0.001) each shall be Common Stock (the “Common Stock”) and five million (5,000,000) shares of the par value of one-tenth of one cent ($0.001) each shall be Preferred Stock (the “Preferred Stock”).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the Preferred Stock, or of any series thereof, unless a vote of any such Preferred Stock holders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76" w:lineRule="exact"/>
        <w:rPr>
          <w:rFonts w:ascii="Arial" w:cs="Arial" w:eastAsia="Arial" w:hAnsi="Arial"/>
          <w:sz w:val="19"/>
          <w:szCs w:val="19"/>
          <w:color w:val="auto"/>
        </w:rPr>
      </w:pPr>
    </w:p>
    <w:p>
      <w:pPr>
        <w:jc w:val="both"/>
        <w:ind w:firstLine="1304"/>
        <w:spacing w:after="0" w:line="298" w:lineRule="auto"/>
        <w:tabs>
          <w:tab w:leader="none" w:pos="168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The Preferred Stock may be issued from time to time in one or more series, as determined by the Board of Directors. The Board of Directors is expressly authorized to provide for the issue, in one or more series, of all or any of the remaining shares of Preferred Stock and, in the resolution or resolutions providing for such issue, to establish for each such series the number of its</w:t>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shares, the voting powers, full or limited, of the shares of such series, or that such shares shall have no voting powers, and the designations,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preferences and relative, participating, optional or other special rights of the shares of such series, and the qualifications, limitations or restrictions thereof. The Board of Directors is also expressly authorized (unless forbidden in the resolution or resolutions providing for such</w:t>
      </w:r>
    </w:p>
    <w:p>
      <w:pPr>
        <w:spacing w:after="0" w:line="236" w:lineRule="auto"/>
        <w:rPr>
          <w:sz w:val="20"/>
          <w:szCs w:val="20"/>
          <w:color w:val="auto"/>
        </w:rPr>
      </w:pPr>
      <w:r>
        <w:rPr>
          <w:rFonts w:ascii="Arial" w:cs="Arial" w:eastAsia="Arial" w:hAnsi="Arial"/>
          <w:sz w:val="18"/>
          <w:szCs w:val="18"/>
          <w:color w:val="auto"/>
        </w:rPr>
        <w:t>issue) to increase or decrease (but not below the number of shares of such series then outstanding) the number of shares of any series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subsequent to the issuance of shares of that series. In case the number of shares of any such series shall be so decreased, the shares constituting such decrease shall resume the status that they had prior to the adoption of the resolution originally fixing the number of shares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such series.</w:t>
      </w:r>
    </w:p>
    <w:p>
      <w:pPr>
        <w:spacing w:after="0" w:line="173" w:lineRule="exact"/>
        <w:rPr>
          <w:sz w:val="20"/>
          <w:szCs w:val="20"/>
          <w:color w:val="auto"/>
        </w:rPr>
      </w:pPr>
    </w:p>
    <w:p>
      <w:pPr>
        <w:ind w:left="1680" w:hanging="376"/>
        <w:spacing w:after="0"/>
        <w:tabs>
          <w:tab w:leader="none" w:pos="168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Common Stock</w:t>
      </w:r>
      <w:r>
        <w:rPr>
          <w:rFonts w:ascii="Arial" w:cs="Arial" w:eastAsia="Arial" w:hAnsi="Arial"/>
          <w:sz w:val="20"/>
          <w:szCs w:val="20"/>
          <w:color w:val="auto"/>
        </w:rPr>
        <w:t>.</w:t>
      </w:r>
    </w:p>
    <w:p>
      <w:pPr>
        <w:spacing w:after="0" w:line="175" w:lineRule="exact"/>
        <w:rPr>
          <w:sz w:val="20"/>
          <w:szCs w:val="20"/>
          <w:color w:val="auto"/>
        </w:rPr>
      </w:pPr>
    </w:p>
    <w:p>
      <w:pPr>
        <w:jc w:val="both"/>
        <w:ind w:firstLine="1304"/>
        <w:spacing w:after="0" w:line="227" w:lineRule="auto"/>
        <w:tabs>
          <w:tab w:leader="none" w:pos="1682"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Relative Rights of Preferred Stock and Common Stock</w:t>
      </w:r>
      <w:r>
        <w:rPr>
          <w:rFonts w:ascii="Arial" w:cs="Arial" w:eastAsia="Arial" w:hAnsi="Arial"/>
          <w:sz w:val="20"/>
          <w:szCs w:val="20"/>
          <w:color w:val="auto"/>
        </w:rPr>
        <w:t>. All preferences, voting powers, relative, participating, optional or other special rights and privileges, and qualifications, limitations, or restrictions of the Common Stock are expressly made subject and subordinate to those that may be fixed with respect to any shares of the Preferred Stock.</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643"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Voting Rights</w:t>
      </w:r>
      <w:r>
        <w:rPr>
          <w:rFonts w:ascii="Arial" w:cs="Arial" w:eastAsia="Arial" w:hAnsi="Arial"/>
          <w:sz w:val="20"/>
          <w:szCs w:val="20"/>
          <w:color w:val="auto"/>
        </w:rPr>
        <w:t>. Except as otherwise required by law or this Restated Certificate of Incorporation, each holder of Common Stock shall have one vote in respect of each share of stock held by such holder of record on the books of the corporation for the election of directors and on all matters submitted to a vote of stockholders of the corporation.</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724"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Subject to the preferential rights of the Preferred Stock, the holders of shares of Common Stock shall be entitled to receive, when and if declared by the Board of Directors, out of the assets of the corporation which are by law available therefor, dividends payable either in cash, in property or in shares of capital stock.</w:t>
      </w:r>
    </w:p>
    <w:p>
      <w:pPr>
        <w:spacing w:after="0" w:line="157" w:lineRule="exact"/>
        <w:rPr>
          <w:rFonts w:ascii="Arial" w:cs="Arial" w:eastAsia="Arial" w:hAnsi="Arial"/>
          <w:sz w:val="20"/>
          <w:szCs w:val="20"/>
          <w:color w:val="auto"/>
        </w:rPr>
      </w:pPr>
    </w:p>
    <w:p>
      <w:pPr>
        <w:jc w:val="both"/>
        <w:ind w:firstLine="1304"/>
        <w:spacing w:after="0" w:line="218" w:lineRule="auto"/>
        <w:tabs>
          <w:tab w:leader="none" w:pos="1684"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Dissolution, Liquidation or Winding Up</w:t>
      </w:r>
      <w:r>
        <w:rPr>
          <w:rFonts w:ascii="Arial" w:cs="Arial" w:eastAsia="Arial" w:hAnsi="Arial"/>
          <w:sz w:val="20"/>
          <w:szCs w:val="20"/>
          <w:color w:val="auto"/>
        </w:rPr>
        <w:t>. In the event of any dissolution, liquidation or winding up of the affairs of the corporation, after distribution in full of the preferential amounts, if any, to be distributed to the holders of shares of the Preferred Stock, holders of Common Stock shall be entitled, unless otherwise provided by law or this Restated Certificate of Incorporation, to receive all of the remaining assets of the corporation of whatever kind available for distribution to stockholders ratably in proportion to the number of shares of Common Stock held by them respectively.</w:t>
      </w:r>
    </w:p>
    <w:p>
      <w:pPr>
        <w:spacing w:after="0" w:line="15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V</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furtherance and not in limitation of the powers conferred by the laws of the State of Delaware:</w:t>
      </w:r>
    </w:p>
    <w:p>
      <w:pPr>
        <w:spacing w:after="0" w:line="189" w:lineRule="exact"/>
        <w:rPr>
          <w:sz w:val="20"/>
          <w:szCs w:val="20"/>
          <w:color w:val="auto"/>
        </w:rPr>
      </w:pPr>
    </w:p>
    <w:p>
      <w:pPr>
        <w:ind w:left="1700" w:hanging="396"/>
        <w:spacing w:after="0"/>
        <w:tabs>
          <w:tab w:leader="none" w:pos="1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business and affairs of the corporation shall be managed by or under the direction of the Board of Directors.</w:t>
      </w:r>
    </w:p>
    <w:p>
      <w:pPr>
        <w:spacing w:after="0" w:line="186" w:lineRule="exact"/>
        <w:rPr>
          <w:rFonts w:ascii="Arial" w:cs="Arial" w:eastAsia="Arial" w:hAnsi="Arial"/>
          <w:sz w:val="19"/>
          <w:szCs w:val="19"/>
          <w:color w:val="auto"/>
        </w:rPr>
      </w:pPr>
    </w:p>
    <w:p>
      <w:pPr>
        <w:jc w:val="both"/>
        <w:ind w:firstLine="1304"/>
        <w:spacing w:after="0" w:line="224" w:lineRule="auto"/>
        <w:tabs>
          <w:tab w:leader="none" w:pos="175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Board of Directors is expressly authorized to adopt, amend or repeal the bylaws of the corporation without any action on the part of the stockholders, by the vote of at least a majority of the directors of the corporation then in office. In addition to any vote of the holders of any class or series of stock of the corporation required by law or this Restated Certificate of Incorporation, the bylaws may also be adopted, amended or repealed by the affirmative vote of the holders of at least sixty-six and two-thirds percent (66-2/3%) of the voting power of all of the then outstanding shares of the shares of the capital stock of the corporation entitled to vote generally in the election of directors, voting as a single class; provided,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(2/3) of the directors of the corporation then in office.</w:t>
      </w:r>
    </w:p>
    <w:p>
      <w:pPr>
        <w:spacing w:after="0" w:line="162" w:lineRule="exact"/>
        <w:rPr>
          <w:rFonts w:ascii="Arial" w:cs="Arial" w:eastAsia="Arial" w:hAnsi="Arial"/>
          <w:sz w:val="19"/>
          <w:szCs w:val="19"/>
          <w:color w:val="auto"/>
        </w:rPr>
      </w:pPr>
    </w:p>
    <w:p>
      <w:pPr>
        <w:ind w:left="1680" w:hanging="376"/>
        <w:spacing w:after="0"/>
        <w:tabs>
          <w:tab w:leader="none" w:pos="1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Elections of directors need not be by written ballot unless the bylaws of the corporation shall so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0" w:name="page11"/>
    <w:bookmarkEnd w:id="10"/>
    <w:p>
      <w:pPr>
        <w:ind w:left="-200" w:firstLine="1304"/>
        <w:spacing w:after="0" w:line="236" w:lineRule="auto"/>
        <w:tabs>
          <w:tab w:leader="none" w:pos="1541"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books of the corporation may be kept at such place within or without the State of Delaware as the bylaws of the corporation may provide or as may be designated from time to time by the Board of Directors.</w:t>
      </w:r>
    </w:p>
    <w:p>
      <w:pPr>
        <w:spacing w:after="0" w:line="15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ARTICLE VI</w:t>
      </w:r>
    </w:p>
    <w:p>
      <w:pPr>
        <w:spacing w:after="0" w:line="189" w:lineRule="exact"/>
        <w:rPr>
          <w:sz w:val="20"/>
          <w:szCs w:val="20"/>
          <w:color w:val="auto"/>
        </w:rPr>
      </w:pPr>
    </w:p>
    <w:p>
      <w:pPr>
        <w:jc w:val="both"/>
        <w:ind w:left="-200" w:firstLine="1304"/>
        <w:spacing w:after="0" w:line="223" w:lineRule="auto"/>
        <w:tabs>
          <w:tab w:leader="none" w:pos="1556"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Number of Directors</w:t>
      </w:r>
      <w:r>
        <w:rPr>
          <w:rFonts w:ascii="Arial" w:cs="Arial" w:eastAsia="Arial" w:hAnsi="Arial"/>
          <w:sz w:val="20"/>
          <w:szCs w:val="20"/>
          <w:color w:val="auto"/>
        </w:rPr>
        <w:t>. Subject to the rights of holders of any series of Preferred Stock with respect to the election of directors, the number of directors that constitutes the entire Board of Directors of the corporation shall be fixed exclusively by one or more resolutions adopted from time to time by the Board of Directors.</w:t>
      </w:r>
    </w:p>
    <w:p>
      <w:pPr>
        <w:spacing w:after="0" w:line="168" w:lineRule="exact"/>
        <w:rPr>
          <w:rFonts w:ascii="Arial" w:cs="Arial" w:eastAsia="Arial" w:hAnsi="Arial"/>
          <w:sz w:val="20"/>
          <w:szCs w:val="20"/>
          <w:color w:val="auto"/>
        </w:rPr>
      </w:pPr>
    </w:p>
    <w:p>
      <w:pPr>
        <w:jc w:val="both"/>
        <w:ind w:left="-200" w:firstLine="1304"/>
        <w:spacing w:after="0" w:line="232" w:lineRule="auto"/>
        <w:tabs>
          <w:tab w:leader="none" w:pos="151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provisions of this Restated Certificate of Incorporation relating to the rights of any series of Preferred Stock as provided for or fixed pursuant to the provisions of Article IV hereof, directors of the corporation shall be and are divided into the following classes: the 2024 Class, the 2025 Class and the 2026 Class (each as defined below); provided that such division shall terminate at the 2026 annual meeting of stockholders. Subject to the provisions of this Restated Certificate of Incorporation relating to the rights of any series of Preferred Stock as provided for or fixed pursuant to the provisions of Article IV hereof, commencing with the 2024 annual meeting of stockholders, directors of the corporation other than those in the 2025 Class and 2026 Class (each as defined below) shall be elected for a term of one year, expiring at the next succeeding annual meeting of stockholders. Each director of the corporation serving in the class elected at the 2021 annual meeting of stockholders shall serve for a three-year term expiring at the 2024 annual meeting of stockholders (the “2024 Class”), each director of the corporation serving in the class elected at the 2022 annual meeting of stockholders shall serve for a three-year term expiring at the 2025 annual meeting of stockholders (the “2025 Class”), and each director of the corporation serving in the class elected at the 2023 annual meeting of stockholders shall serve for a three-year term expiring at the 2026 annual meeting of stockholders (the “2026 Class”), including any person appointed to fill a vacancy or newly created directorship occurring in the 2024 Class, 2025 Class or the 2026 Class (each of whom shall be deemed to be a member of the class of directors in which the vacancy or newly created directorship occurred), shall continue to hold office until the end of the term for which such director was elected or appointed, as applicable. Subject to the provisions of this Restated Certificate of Incorporation relating to directors elected by the holders of one or more series of Preferred Stock as provided for or fixed pursuant to the provisions of Article IV hereof, (a) commencing with the 2024 annual meeting of stockholders, all directors of the corporation other than those in the 2025 Class and the 2026 Class will be elected for a term of one year, (b) commencing with the 2025 annual meeting of stockholders, all directors of the corporation other than those in the 2026 Class will be elected for a term of one year, and (c) commencing with the 2026 annual meeting of stockholders, all directors of the corporation will be elected for a term of one</w:t>
      </w:r>
      <w:r>
        <w:rPr>
          <w:rFonts w:ascii="Arial" w:cs="Arial" w:eastAsia="Arial" w:hAnsi="Arial"/>
          <w:sz w:val="15"/>
          <w:szCs w:val="15"/>
          <w:color w:val="auto"/>
        </w:rPr>
        <w:t>-</w:t>
      </w:r>
      <w:r>
        <w:rPr>
          <w:rFonts w:ascii="Arial" w:cs="Arial" w:eastAsia="Arial" w:hAnsi="Arial"/>
          <w:sz w:val="18"/>
          <w:szCs w:val="18"/>
          <w:color w:val="auto"/>
        </w:rPr>
        <w:t>year. In all cases, each director shall serve until such director’s successor has been duly elected and qualified or until such director’s earlier death, resignation, retirement, disqualification, or removal from office. No decrease in the number of directors constituting the Board of Directors shall shorten the term of any incumbent director.</w:t>
      </w:r>
    </w:p>
    <w:p>
      <w:pPr>
        <w:spacing w:after="0" w:line="161" w:lineRule="exact"/>
        <w:rPr>
          <w:rFonts w:ascii="Arial" w:cs="Arial" w:eastAsia="Arial" w:hAnsi="Arial"/>
          <w:sz w:val="18"/>
          <w:szCs w:val="18"/>
          <w:color w:val="auto"/>
        </w:rPr>
      </w:pPr>
    </w:p>
    <w:p>
      <w:pPr>
        <w:jc w:val="both"/>
        <w:ind w:left="-200" w:firstLine="1304"/>
        <w:spacing w:after="0" w:line="223" w:lineRule="auto"/>
        <w:tabs>
          <w:tab w:leader="none" w:pos="148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Vacancies</w:t>
      </w:r>
      <w:r>
        <w:rPr>
          <w:rFonts w:ascii="Arial" w:cs="Arial" w:eastAsia="Arial" w:hAnsi="Arial"/>
          <w:sz w:val="19"/>
          <w:szCs w:val="19"/>
          <w:color w:val="auto"/>
        </w:rPr>
        <w:t>.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any vacancies on the Board of Directors resulting from death, resignation, retirement, disqualification, removal, or other cause, shall be filled only by the affirmative vote of a majority of the remaining directors then in office, even though less than a quorum of the Board of Directors, or by a sole remaining director. Any director elected in accordance with the preceding sentence shall hold office (i) for the remainder of the full term of the class of directors in which the new directorship was created or in which the vacancy occurred (subject to the declassification provisions in the preceding paragraph B), or (ii) following the termination of the classification of the Board of Directors, for a term expiring at the next annual meeting of stockholders, and, in either case, until such director’s successor shall have been duly elected and qualified or until his or her earlier resignation, removal from office, death or incapacity. In the event of a vacancy in the Board of Directors, the remaining directors, except as otherwise provided by law, or by the certificate of incorporation or the bylaws of the corporation, may exercise the powers of the full board until the vacancy is 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40"/>
          </w:cols>
          <w:pgMar w:left="520" w:top="1405" w:right="339" w:bottom="1440" w:gutter="0" w:footer="0" w:header="0"/>
        </w:sectPr>
      </w:pPr>
    </w:p>
    <w:bookmarkStart w:id="11" w:name="page12"/>
    <w:bookmarkEnd w:id="11"/>
    <w:p>
      <w:pPr>
        <w:jc w:val="both"/>
        <w:ind w:left="-200" w:firstLine="1304"/>
        <w:spacing w:after="0" w:line="214" w:lineRule="auto"/>
        <w:tabs>
          <w:tab w:leader="none" w:pos="151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Removal of Directors</w:t>
      </w:r>
      <w:r>
        <w:rPr>
          <w:rFonts w:ascii="Arial" w:cs="Arial" w:eastAsia="Arial" w:hAnsi="Arial"/>
          <w:sz w:val="20"/>
          <w:szCs w:val="20"/>
          <w:color w:val="auto"/>
        </w:rPr>
        <w:t>. Subject to the special rights of the holders of one or more series of Preferred Stock with respect to the election of directors, except as otherwise provided by law, each director serving in a class of directors for a term expiring at the third annual meeting of stockholders following the election of such class may be removed only for cause and only by the affirmative vote of the holders of sixty-six and two-thirds percent (66-2/3%) of the voting power of all of the then outstanding shares of the shares of the capital stock of the corporation entitled to vote generally in the election of directors, voting as a single class, and all other directors may be removed with or without cause by the affirmative vote of the holders of sixty-six and two-thirds percent (66-2/3%) of the voting power of all of the then outstanding shares of the shares of the capital stock of the corporation entitled to vote generally in the election of directors, voting as a single class.</w:t>
      </w:r>
    </w:p>
    <w:p>
      <w:pPr>
        <w:spacing w:after="0" w:line="15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ARTICLE VII</w:t>
      </w:r>
    </w:p>
    <w:p>
      <w:pPr>
        <w:spacing w:after="0" w:line="189" w:lineRule="exact"/>
        <w:rPr>
          <w:sz w:val="20"/>
          <w:szCs w:val="20"/>
          <w:color w:val="auto"/>
        </w:rPr>
      </w:pPr>
    </w:p>
    <w:p>
      <w:pPr>
        <w:jc w:val="both"/>
        <w:ind w:left="-200" w:firstLine="1304"/>
        <w:spacing w:after="0" w:line="246" w:lineRule="auto"/>
        <w:tabs>
          <w:tab w:leader="none" w:pos="16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provided for or fixed pursuant to the provisions of Article IV of this Restated Certificate of Incorporation relating to the rights of the holders of any series of Preferred Stock to act by written consent, no action required or permitted to be taken by the stockholders of the corporation at any annual or special meeting of the stockholders of the corporation may be taken without a meeting, and the power of stockholders to consent in writing, without a meeting, to the taking of any action is specifically denied.</w:t>
      </w:r>
    </w:p>
    <w:p>
      <w:pPr>
        <w:spacing w:after="0" w:line="163" w:lineRule="exact"/>
        <w:rPr>
          <w:rFonts w:ascii="Arial" w:cs="Arial" w:eastAsia="Arial" w:hAnsi="Arial"/>
          <w:sz w:val="18"/>
          <w:szCs w:val="18"/>
          <w:color w:val="auto"/>
        </w:rPr>
      </w:pPr>
    </w:p>
    <w:p>
      <w:pPr>
        <w:jc w:val="both"/>
        <w:ind w:left="-200" w:firstLine="1304"/>
        <w:spacing w:after="0" w:line="215" w:lineRule="auto"/>
        <w:tabs>
          <w:tab w:leader="none" w:pos="1609" w:val="left"/>
        </w:tabs>
        <w:numPr>
          <w:ilvl w:val="0"/>
          <w:numId w:val="13"/>
        </w:numPr>
        <w:rPr>
          <w:rFonts w:ascii="Arial" w:cs="Arial" w:eastAsia="Arial" w:hAnsi="Arial"/>
          <w:sz w:val="20"/>
          <w:szCs w:val="20"/>
          <w:color w:val="auto"/>
        </w:rPr>
      </w:pPr>
      <w:r>
        <w:rPr>
          <w:rFonts w:ascii="Arial" w:cs="Arial" w:eastAsia="Arial" w:hAnsi="Arial"/>
          <w:sz w:val="20"/>
          <w:szCs w:val="20"/>
          <w:color w:val="auto"/>
        </w:rPr>
        <w:t>Except as otherwise provided for or fixed pursuant to the provisions of Article IV of this Restated Certificate of Incorporation relating to the rights of the holders of any series of Preferred Stock to call a special meeting of the holders of such series, special meetings of the stockholders of the corporation may be called only by the Chairman of the Board or the Chief Executive Officer of the corporation or by a resolution adopted by the affirmative vote of a majority of the Board of Directors, and any power of stockholders to call a special meeting of stockholders is specifically denied.</w:t>
      </w:r>
    </w:p>
    <w:p>
      <w:pPr>
        <w:spacing w:after="0" w:line="171" w:lineRule="exact"/>
        <w:rPr>
          <w:rFonts w:ascii="Arial" w:cs="Arial" w:eastAsia="Arial" w:hAnsi="Arial"/>
          <w:sz w:val="20"/>
          <w:szCs w:val="20"/>
          <w:color w:val="auto"/>
        </w:rPr>
      </w:pPr>
    </w:p>
    <w:p>
      <w:pPr>
        <w:jc w:val="both"/>
        <w:ind w:left="-200" w:firstLine="1304"/>
        <w:spacing w:after="0" w:line="223" w:lineRule="auto"/>
        <w:tabs>
          <w:tab w:leader="none" w:pos="1519"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169"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ARTICLE VIII</w:t>
      </w:r>
    </w:p>
    <w:p>
      <w:pPr>
        <w:spacing w:after="0" w:line="175" w:lineRule="exact"/>
        <w:rPr>
          <w:sz w:val="20"/>
          <w:szCs w:val="20"/>
          <w:color w:val="auto"/>
        </w:rPr>
      </w:pPr>
    </w:p>
    <w:p>
      <w:pPr>
        <w:jc w:val="both"/>
        <w:ind w:left="-200" w:firstLine="1304"/>
        <w:spacing w:after="0" w:line="246" w:lineRule="auto"/>
        <w:tabs>
          <w:tab w:leader="none" w:pos="148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To the fullest extent permitted by the DGCL, as the same exists or as may hereafter be amended,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63" w:lineRule="exact"/>
        <w:rPr>
          <w:rFonts w:ascii="Arial" w:cs="Arial" w:eastAsia="Arial" w:hAnsi="Arial"/>
          <w:sz w:val="18"/>
          <w:szCs w:val="18"/>
          <w:color w:val="auto"/>
        </w:rPr>
      </w:pPr>
    </w:p>
    <w:p>
      <w:pPr>
        <w:jc w:val="both"/>
        <w:ind w:left="-200" w:firstLine="1304"/>
        <w:spacing w:after="0" w:line="235" w:lineRule="auto"/>
        <w:tabs>
          <w:tab w:leader="none" w:pos="149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was a director or officer of the corporation or is or was serving at the request of the corporation as a director, officer, employee or agent of another corporation or of a partnership, joint venture, trust, employee benefit plan or other enterprise (including the heirs, executors, administrators or estate of such person), shall be indemnified and advanced expenses by the corporation, in accordance with the bylaws of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any other applicable laws as presently or hereinafter in effect. The right to indemnification and advancement of expenses hereunder shall not be exclusive of any other right that any person may have or hereafter acquire under any statute, provision of the Restated Certificate of Incorporation, bylaw, agreement, vote of stockholders or disinterested directors or otherwise.</w:t>
      </w:r>
    </w:p>
    <w:p>
      <w:pPr>
        <w:spacing w:after="0" w:line="173" w:lineRule="exact"/>
        <w:rPr>
          <w:rFonts w:ascii="Arial" w:cs="Arial" w:eastAsia="Arial" w:hAnsi="Arial"/>
          <w:sz w:val="18"/>
          <w:szCs w:val="18"/>
          <w:color w:val="auto"/>
        </w:rPr>
      </w:pPr>
    </w:p>
    <w:p>
      <w:pPr>
        <w:jc w:val="both"/>
        <w:ind w:left="-200" w:firstLine="1304"/>
        <w:spacing w:after="0" w:line="252" w:lineRule="auto"/>
        <w:tabs>
          <w:tab w:leader="none" w:pos="147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to the fullest extent permitted by law, purchase and maintain insurance on behalf of any person who is or was a director, officer, employee or agent of the corporation or another corporation, partnership, joint venture, trust, employee benefit plan or other enterprise against any expense, liability or loss incurred by such person in any such capacity or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40"/>
          </w:cols>
          <w:pgMar w:left="520" w:top="1405" w:right="339" w:bottom="1440" w:gutter="0" w:footer="0" w:header="0"/>
        </w:sectPr>
      </w:pPr>
    </w:p>
    <w:bookmarkStart w:id="12" w:name="page13"/>
    <w:bookmarkEnd w:id="12"/>
    <w:p>
      <w:pPr>
        <w:spacing w:after="0" w:line="236" w:lineRule="auto"/>
        <w:rPr>
          <w:sz w:val="20"/>
          <w:szCs w:val="20"/>
          <w:color w:val="auto"/>
        </w:rPr>
      </w:pPr>
      <w:r>
        <w:rPr>
          <w:rFonts w:ascii="Arial" w:cs="Arial" w:eastAsia="Arial" w:hAnsi="Arial"/>
          <w:sz w:val="20"/>
          <w:szCs w:val="20"/>
          <w:color w:val="auto"/>
        </w:rPr>
        <w:t>of such person’s status as such, whether or not the corporation would have the power to indemnify such person against such expense, liability or loss under the DGCL.</w:t>
      </w:r>
    </w:p>
    <w:p>
      <w:pPr>
        <w:spacing w:after="0" w:line="155" w:lineRule="exact"/>
        <w:rPr>
          <w:sz w:val="20"/>
          <w:szCs w:val="20"/>
          <w:color w:val="auto"/>
        </w:rPr>
      </w:pPr>
    </w:p>
    <w:p>
      <w:pPr>
        <w:ind w:firstLine="1304"/>
        <w:spacing w:after="0" w:line="236" w:lineRule="auto"/>
        <w:tabs>
          <w:tab w:leader="none" w:pos="1703"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Repeal and Modification</w:t>
      </w:r>
      <w:r>
        <w:rPr>
          <w:rFonts w:ascii="Arial" w:cs="Arial" w:eastAsia="Arial" w:hAnsi="Arial"/>
          <w:sz w:val="20"/>
          <w:szCs w:val="20"/>
          <w:color w:val="auto"/>
        </w:rPr>
        <w:t>. Any repeal or modification of the foregoing provisions of this Article VIII shall not adversely affect any right or protection existing hereunder immediately prior to such repeal or modification.</w:t>
      </w:r>
    </w:p>
    <w:p>
      <w:pPr>
        <w:spacing w:after="0" w:line="16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IX</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w:t>
      </w:r>
    </w:p>
    <w:p>
      <w:pPr>
        <w:spacing w:after="0" w:line="226" w:lineRule="auto"/>
        <w:rPr>
          <w:sz w:val="20"/>
          <w:szCs w:val="20"/>
          <w:color w:val="auto"/>
        </w:rPr>
      </w:pPr>
      <w:r>
        <w:rPr>
          <w:rFonts w:ascii="Arial" w:cs="Arial" w:eastAsia="Arial" w:hAnsi="Arial"/>
          <w:sz w:val="18"/>
          <w:szCs w:val="18"/>
          <w:color w:val="auto"/>
        </w:rPr>
        <w:t>a claim of breach of a fiduciary duty owed by any director, officer or other employee of the corporation to the corporation or the corporation’s stockholders, (iii) any action asserting a claim arising pursuant to any provision of the DGCL, or (iv) any action asserting a</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claim governed by the internal affairs doctrine. Any person or entity purchasing or otherwise acquiring any interest in shares of capital stock of the corporation shall be deemed to have notice of and consented to the provisions of this Article IX.</w:t>
      </w:r>
    </w:p>
    <w:p>
      <w:pPr>
        <w:spacing w:after="0" w:line="15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ARTICLE X</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other provision of this Restated Certificate of Incorporation, the affirmative vote of the holders of at least sixty-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six and two-thirds percent (66-2/3%) of the voting power of all of the then outstanding shares of the capital stock of the corporation entitled to vote generally in the election of directors, voting together as a single class, shall be required to amend in any respect or repeal this Article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X, or paragraph B of Article V, or Article VI, VII, VIII or 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13" w:name="page14"/>
    <w:bookmarkEnd w:id="13"/>
    <w:p>
      <w:pPr>
        <w:ind w:firstLine="648"/>
        <w:spacing w:after="0" w:line="256" w:lineRule="auto"/>
        <w:rPr>
          <w:sz w:val="20"/>
          <w:szCs w:val="20"/>
          <w:color w:val="auto"/>
        </w:rPr>
      </w:pPr>
      <w:r>
        <w:rPr>
          <w:rFonts w:ascii="Arial" w:cs="Arial" w:eastAsia="Arial" w:hAnsi="Arial"/>
          <w:sz w:val="20"/>
          <w:szCs w:val="20"/>
          <w:color w:val="auto"/>
        </w:rPr>
        <w:t>IN WITNESS WHEREOF, the corporation has caused this Restated Certificate of Incorporation to be signed by its Chief Executive Officer on this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June, 2023.</w:t>
      </w:r>
    </w:p>
    <w:p>
      <w:pPr>
        <w:spacing w:after="0" w:line="200" w:lineRule="exact"/>
        <w:rPr>
          <w:sz w:val="20"/>
          <w:szCs w:val="20"/>
          <w:color w:val="auto"/>
        </w:rPr>
      </w:pPr>
    </w:p>
    <w:p>
      <w:pPr>
        <w:spacing w:after="0" w:line="396"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VERACYTE, INC.</w:t>
      </w:r>
    </w:p>
    <w:p>
      <w:pPr>
        <w:spacing w:after="0" w:line="200" w:lineRule="exact"/>
        <w:rPr>
          <w:sz w:val="20"/>
          <w:szCs w:val="20"/>
          <w:color w:val="auto"/>
        </w:rPr>
      </w:pPr>
    </w:p>
    <w:p>
      <w:pPr>
        <w:spacing w:after="0" w:line="313" w:lineRule="exact"/>
        <w:rPr>
          <w:sz w:val="20"/>
          <w:szCs w:val="20"/>
          <w:color w:val="auto"/>
        </w:rPr>
      </w:pPr>
    </w:p>
    <w:p>
      <w:pPr>
        <w:ind w:left="5680"/>
        <w:spacing w:after="0"/>
        <w:tabs>
          <w:tab w:leader="none" w:pos="6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19050</wp:posOffset>
            </wp:positionV>
            <wp:extent cx="3094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20"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Marc Stapley</w:t>
      </w:r>
    </w:p>
    <w:p>
      <w:pPr>
        <w:spacing w:after="0" w:line="20"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AMENDED AND RESTATED</w:t>
      </w:r>
    </w:p>
    <w:p>
      <w:pPr>
        <w:jc w:val="center"/>
        <w:ind w:right="1120"/>
        <w:spacing w:after="0" w:line="204" w:lineRule="auto"/>
        <w:rPr>
          <w:sz w:val="20"/>
          <w:szCs w:val="20"/>
          <w:color w:val="auto"/>
        </w:rPr>
      </w:pPr>
      <w:r>
        <w:rPr>
          <w:rFonts w:ascii="Arial" w:cs="Arial" w:eastAsia="Arial" w:hAnsi="Arial"/>
          <w:sz w:val="22"/>
          <w:szCs w:val="22"/>
          <w:b w:val="1"/>
          <w:bCs w:val="1"/>
          <w:color w:val="auto"/>
        </w:rPr>
        <w:t>BYLAWS</w:t>
      </w:r>
    </w:p>
    <w:p>
      <w:pPr>
        <w:jc w:val="center"/>
        <w:ind w:right="1120"/>
        <w:spacing w:after="0" w:line="205" w:lineRule="auto"/>
        <w:rPr>
          <w:sz w:val="20"/>
          <w:szCs w:val="20"/>
          <w:color w:val="auto"/>
        </w:rPr>
      </w:pPr>
      <w:r>
        <w:rPr>
          <w:rFonts w:ascii="Arial" w:cs="Arial" w:eastAsia="Arial" w:hAnsi="Arial"/>
          <w:sz w:val="22"/>
          <w:szCs w:val="22"/>
          <w:b w:val="1"/>
          <w:bCs w:val="1"/>
          <w:color w:val="auto"/>
        </w:rPr>
        <w:t>OF</w:t>
      </w:r>
    </w:p>
    <w:p>
      <w:pPr>
        <w:jc w:val="center"/>
        <w:ind w:right="1120"/>
        <w:spacing w:after="0" w:line="218" w:lineRule="auto"/>
        <w:rPr>
          <w:sz w:val="20"/>
          <w:szCs w:val="20"/>
          <w:color w:val="auto"/>
        </w:rPr>
      </w:pPr>
      <w:r>
        <w:rPr>
          <w:rFonts w:ascii="Arial" w:cs="Arial" w:eastAsia="Arial" w:hAnsi="Arial"/>
          <w:sz w:val="22"/>
          <w:szCs w:val="22"/>
          <w:b w:val="1"/>
          <w:bCs w:val="1"/>
          <w:color w:val="auto"/>
        </w:rPr>
        <w:t>VERACYTE, INC.</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 Delaware corporation)</w:t>
      </w:r>
    </w:p>
    <w:p>
      <w:pPr>
        <w:spacing w:after="0" w:line="182"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As Amended and Restated on June 9, 2023</w:t>
      </w:r>
    </w:p>
    <w:p>
      <w:pPr>
        <w:sectPr>
          <w:pgSz w:w="11900" w:h="16838" w:orient="portrait"/>
          <w:cols w:equalWidth="0" w:num="1">
            <w:col w:w="10120"/>
          </w:cols>
          <w:pgMar w:left="1440" w:top="10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80"/>
        </w:trPr>
        <w:tc>
          <w:tcPr>
            <w:tcW w:w="420" w:type="dxa"/>
            <w:vAlign w:val="bottom"/>
          </w:tcPr>
          <w:p>
            <w:pPr>
              <w:spacing w:after="0"/>
              <w:rPr>
                <w:sz w:val="24"/>
                <w:szCs w:val="24"/>
                <w:color w:val="auto"/>
              </w:rPr>
            </w:pPr>
          </w:p>
        </w:tc>
        <w:tc>
          <w:tcPr>
            <w:tcW w:w="8200" w:type="dxa"/>
            <w:vAlign w:val="bottom"/>
          </w:tcPr>
          <w:p>
            <w:pPr>
              <w:ind w:left="3980"/>
              <w:spacing w:after="0"/>
              <w:rPr>
                <w:sz w:val="20"/>
                <w:szCs w:val="20"/>
                <w:color w:val="auto"/>
              </w:rPr>
            </w:pPr>
            <w:r>
              <w:rPr>
                <w:rFonts w:ascii="Arial" w:cs="Arial" w:eastAsia="Arial" w:hAnsi="Arial"/>
                <w:sz w:val="22"/>
                <w:szCs w:val="22"/>
                <w:b w:val="1"/>
                <w:bCs w:val="1"/>
                <w:color w:val="auto"/>
              </w:rPr>
              <w:t>TABLE OF CONTENTS</w:t>
            </w:r>
          </w:p>
        </w:tc>
        <w:tc>
          <w:tcPr>
            <w:tcW w:w="254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540" w:type="dxa"/>
            <w:vAlign w:val="bottom"/>
          </w:tcPr>
          <w:p>
            <w:pPr>
              <w:ind w:left="2100"/>
              <w:spacing w:after="0"/>
              <w:rPr>
                <w:sz w:val="20"/>
                <w:szCs w:val="20"/>
                <w:color w:val="auto"/>
              </w:rPr>
            </w:pPr>
            <w:r>
              <w:rPr>
                <w:rFonts w:ascii="Arial" w:cs="Arial" w:eastAsia="Arial" w:hAnsi="Arial"/>
                <w:sz w:val="22"/>
                <w:szCs w:val="22"/>
                <w:b w:val="1"/>
                <w:bCs w:val="1"/>
                <w:color w:val="auto"/>
                <w:w w:val="79"/>
              </w:rPr>
              <w:t>Page</w:t>
            </w:r>
          </w:p>
        </w:tc>
      </w:tr>
      <w:tr>
        <w:trPr>
          <w:trHeight w:val="482"/>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Article 1 </w:t>
            </w:r>
            <w:r>
              <w:rPr>
                <w:rFonts w:ascii="Arial" w:cs="Arial" w:eastAsia="Arial" w:hAnsi="Arial"/>
                <w:sz w:val="22"/>
                <w:szCs w:val="22"/>
                <w:color w:val="000000"/>
              </w:rPr>
              <w:t>Offices</w:t>
            </w:r>
          </w:p>
        </w:tc>
        <w:tc>
          <w:tcPr>
            <w:tcW w:w="2540" w:type="dxa"/>
            <w:vAlign w:val="bottom"/>
          </w:tcPr>
          <w:p>
            <w:pPr>
              <w:ind w:left="1920"/>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1.1</w:t>
            </w:r>
          </w:p>
        </w:tc>
        <w:tc>
          <w:tcPr>
            <w:tcW w:w="8200" w:type="dxa"/>
            <w:vAlign w:val="bottom"/>
          </w:tcPr>
          <w:p>
            <w:pPr>
              <w:ind w:left="40"/>
              <w:spacing w:after="0"/>
              <w:rPr>
                <w:sz w:val="20"/>
                <w:szCs w:val="20"/>
                <w:color w:val="auto"/>
              </w:rPr>
            </w:pPr>
            <w:r>
              <w:rPr>
                <w:rFonts w:ascii="Arial" w:cs="Arial" w:eastAsia="Arial" w:hAnsi="Arial"/>
                <w:sz w:val="22"/>
                <w:szCs w:val="22"/>
                <w:color w:val="auto"/>
              </w:rPr>
              <w:t>Registered Office</w:t>
            </w:r>
          </w:p>
        </w:tc>
        <w:tc>
          <w:tcPr>
            <w:tcW w:w="2540" w:type="dxa"/>
            <w:vAlign w:val="bottom"/>
          </w:tcPr>
          <w:p>
            <w:pPr>
              <w:ind w:left="1920"/>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1.2</w:t>
            </w:r>
          </w:p>
        </w:tc>
        <w:tc>
          <w:tcPr>
            <w:tcW w:w="8200" w:type="dxa"/>
            <w:vAlign w:val="bottom"/>
          </w:tcPr>
          <w:p>
            <w:pPr>
              <w:ind w:left="40"/>
              <w:spacing w:after="0"/>
              <w:rPr>
                <w:sz w:val="20"/>
                <w:szCs w:val="20"/>
                <w:color w:val="auto"/>
              </w:rPr>
            </w:pPr>
            <w:r>
              <w:rPr>
                <w:rFonts w:ascii="Arial" w:cs="Arial" w:eastAsia="Arial" w:hAnsi="Arial"/>
                <w:sz w:val="22"/>
                <w:szCs w:val="22"/>
                <w:color w:val="auto"/>
              </w:rPr>
              <w:t>Other Offices</w:t>
            </w:r>
          </w:p>
        </w:tc>
        <w:tc>
          <w:tcPr>
            <w:tcW w:w="2540" w:type="dxa"/>
            <w:vAlign w:val="bottom"/>
          </w:tcPr>
          <w:p>
            <w:pPr>
              <w:ind w:left="1920"/>
              <w:spacing w:after="0"/>
              <w:rPr>
                <w:sz w:val="20"/>
                <w:szCs w:val="20"/>
                <w:color w:val="auto"/>
              </w:rPr>
            </w:pPr>
            <w:r>
              <w:rPr>
                <w:rFonts w:ascii="Arial" w:cs="Arial" w:eastAsia="Arial" w:hAnsi="Arial"/>
                <w:sz w:val="22"/>
                <w:szCs w:val="22"/>
                <w:color w:val="auto"/>
              </w:rPr>
              <w:t>1</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Article 2 </w:t>
            </w:r>
            <w:r>
              <w:rPr>
                <w:rFonts w:ascii="Arial" w:cs="Arial" w:eastAsia="Arial" w:hAnsi="Arial"/>
                <w:sz w:val="22"/>
                <w:szCs w:val="22"/>
                <w:color w:val="000000"/>
              </w:rPr>
              <w:t>Meeting of Stockholders</w:t>
            </w:r>
          </w:p>
        </w:tc>
        <w:tc>
          <w:tcPr>
            <w:tcW w:w="2540" w:type="dxa"/>
            <w:vAlign w:val="bottom"/>
          </w:tcPr>
          <w:p>
            <w:pPr>
              <w:ind w:left="1920"/>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2.1</w:t>
            </w:r>
          </w:p>
        </w:tc>
        <w:tc>
          <w:tcPr>
            <w:tcW w:w="8200" w:type="dxa"/>
            <w:vAlign w:val="bottom"/>
          </w:tcPr>
          <w:p>
            <w:pPr>
              <w:ind w:left="40"/>
              <w:spacing w:after="0"/>
              <w:rPr>
                <w:sz w:val="20"/>
                <w:szCs w:val="20"/>
                <w:color w:val="auto"/>
              </w:rPr>
            </w:pPr>
            <w:r>
              <w:rPr>
                <w:rFonts w:ascii="Arial" w:cs="Arial" w:eastAsia="Arial" w:hAnsi="Arial"/>
                <w:sz w:val="22"/>
                <w:szCs w:val="22"/>
                <w:color w:val="auto"/>
              </w:rPr>
              <w:t>Place of Meeting</w:t>
            </w:r>
          </w:p>
        </w:tc>
        <w:tc>
          <w:tcPr>
            <w:tcW w:w="2540" w:type="dxa"/>
            <w:vAlign w:val="bottom"/>
          </w:tcPr>
          <w:p>
            <w:pPr>
              <w:ind w:left="1920"/>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2.2</w:t>
            </w:r>
          </w:p>
        </w:tc>
        <w:tc>
          <w:tcPr>
            <w:tcW w:w="8200" w:type="dxa"/>
            <w:vAlign w:val="bottom"/>
          </w:tcPr>
          <w:p>
            <w:pPr>
              <w:ind w:left="40"/>
              <w:spacing w:after="0"/>
              <w:rPr>
                <w:sz w:val="20"/>
                <w:szCs w:val="20"/>
                <w:color w:val="auto"/>
              </w:rPr>
            </w:pPr>
            <w:r>
              <w:rPr>
                <w:rFonts w:ascii="Arial" w:cs="Arial" w:eastAsia="Arial" w:hAnsi="Arial"/>
                <w:sz w:val="22"/>
                <w:szCs w:val="22"/>
                <w:color w:val="auto"/>
              </w:rPr>
              <w:t>Annual Meeting</w:t>
            </w:r>
          </w:p>
        </w:tc>
        <w:tc>
          <w:tcPr>
            <w:tcW w:w="2540" w:type="dxa"/>
            <w:vAlign w:val="bottom"/>
          </w:tcPr>
          <w:p>
            <w:pPr>
              <w:ind w:left="1920"/>
              <w:spacing w:after="0"/>
              <w:rPr>
                <w:sz w:val="20"/>
                <w:szCs w:val="20"/>
                <w:color w:val="auto"/>
              </w:rPr>
            </w:pPr>
            <w:r>
              <w:rPr>
                <w:rFonts w:ascii="Arial" w:cs="Arial" w:eastAsia="Arial" w:hAnsi="Arial"/>
                <w:sz w:val="22"/>
                <w:szCs w:val="22"/>
                <w:color w:val="auto"/>
              </w:rPr>
              <w:t>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2.3</w:t>
            </w:r>
          </w:p>
        </w:tc>
        <w:tc>
          <w:tcPr>
            <w:tcW w:w="8200" w:type="dxa"/>
            <w:vAlign w:val="bottom"/>
          </w:tcPr>
          <w:p>
            <w:pPr>
              <w:ind w:left="40"/>
              <w:spacing w:after="0"/>
              <w:rPr>
                <w:sz w:val="20"/>
                <w:szCs w:val="20"/>
                <w:color w:val="auto"/>
              </w:rPr>
            </w:pPr>
            <w:r>
              <w:rPr>
                <w:rFonts w:ascii="Arial" w:cs="Arial" w:eastAsia="Arial" w:hAnsi="Arial"/>
                <w:sz w:val="22"/>
                <w:szCs w:val="22"/>
                <w:color w:val="auto"/>
              </w:rPr>
              <w:t>Special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2.4</w:t>
            </w:r>
          </w:p>
        </w:tc>
        <w:tc>
          <w:tcPr>
            <w:tcW w:w="8200" w:type="dxa"/>
            <w:vAlign w:val="bottom"/>
          </w:tcPr>
          <w:p>
            <w:pPr>
              <w:ind w:left="40"/>
              <w:spacing w:after="0"/>
              <w:rPr>
                <w:sz w:val="20"/>
                <w:szCs w:val="20"/>
                <w:color w:val="auto"/>
              </w:rPr>
            </w:pPr>
            <w:r>
              <w:rPr>
                <w:rFonts w:ascii="Arial" w:cs="Arial" w:eastAsia="Arial" w:hAnsi="Arial"/>
                <w:sz w:val="22"/>
                <w:szCs w:val="22"/>
                <w:color w:val="auto"/>
              </w:rPr>
              <w:t>Notice of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2.5</w:t>
            </w:r>
          </w:p>
        </w:tc>
        <w:tc>
          <w:tcPr>
            <w:tcW w:w="8200" w:type="dxa"/>
            <w:vAlign w:val="bottom"/>
          </w:tcPr>
          <w:p>
            <w:pPr>
              <w:ind w:left="40"/>
              <w:spacing w:after="0"/>
              <w:rPr>
                <w:sz w:val="20"/>
                <w:szCs w:val="20"/>
                <w:color w:val="auto"/>
              </w:rPr>
            </w:pPr>
            <w:r>
              <w:rPr>
                <w:rFonts w:ascii="Arial" w:cs="Arial" w:eastAsia="Arial" w:hAnsi="Arial"/>
                <w:sz w:val="22"/>
                <w:szCs w:val="22"/>
                <w:color w:val="auto"/>
              </w:rPr>
              <w:t>List of Stockholders</w:t>
            </w:r>
          </w:p>
        </w:tc>
        <w:tc>
          <w:tcPr>
            <w:tcW w:w="2540" w:type="dxa"/>
            <w:vAlign w:val="bottom"/>
          </w:tcPr>
          <w:p>
            <w:pPr>
              <w:ind w:left="1920"/>
              <w:spacing w:after="0"/>
              <w:rPr>
                <w:sz w:val="20"/>
                <w:szCs w:val="20"/>
                <w:color w:val="auto"/>
              </w:rPr>
            </w:pPr>
            <w:r>
              <w:rPr>
                <w:rFonts w:ascii="Arial" w:cs="Arial" w:eastAsia="Arial" w:hAnsi="Arial"/>
                <w:sz w:val="22"/>
                <w:szCs w:val="22"/>
                <w:color w:val="auto"/>
              </w:rPr>
              <w:t>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2.6</w:t>
            </w:r>
          </w:p>
        </w:tc>
        <w:tc>
          <w:tcPr>
            <w:tcW w:w="8200" w:type="dxa"/>
            <w:vAlign w:val="bottom"/>
          </w:tcPr>
          <w:p>
            <w:pPr>
              <w:ind w:left="40"/>
              <w:spacing w:after="0"/>
              <w:rPr>
                <w:sz w:val="20"/>
                <w:szCs w:val="20"/>
                <w:color w:val="auto"/>
              </w:rPr>
            </w:pPr>
            <w:r>
              <w:rPr>
                <w:rFonts w:ascii="Arial" w:cs="Arial" w:eastAsia="Arial" w:hAnsi="Arial"/>
                <w:sz w:val="22"/>
                <w:szCs w:val="22"/>
                <w:color w:val="auto"/>
              </w:rPr>
              <w:t>Organization and Conduct of Business</w:t>
            </w:r>
          </w:p>
        </w:tc>
        <w:tc>
          <w:tcPr>
            <w:tcW w:w="2540" w:type="dxa"/>
            <w:vAlign w:val="bottom"/>
          </w:tcPr>
          <w:p>
            <w:pPr>
              <w:ind w:left="1920"/>
              <w:spacing w:after="0"/>
              <w:rPr>
                <w:sz w:val="20"/>
                <w:szCs w:val="20"/>
                <w:color w:val="auto"/>
              </w:rPr>
            </w:pPr>
            <w:r>
              <w:rPr>
                <w:rFonts w:ascii="Arial" w:cs="Arial" w:eastAsia="Arial" w:hAnsi="Arial"/>
                <w:sz w:val="22"/>
                <w:szCs w:val="22"/>
                <w:color w:val="auto"/>
              </w:rPr>
              <w:t>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2.7</w:t>
            </w:r>
          </w:p>
        </w:tc>
        <w:tc>
          <w:tcPr>
            <w:tcW w:w="8200" w:type="dxa"/>
            <w:vAlign w:val="bottom"/>
          </w:tcPr>
          <w:p>
            <w:pPr>
              <w:ind w:left="40"/>
              <w:spacing w:after="0"/>
              <w:rPr>
                <w:sz w:val="20"/>
                <w:szCs w:val="20"/>
                <w:color w:val="auto"/>
              </w:rPr>
            </w:pPr>
            <w:r>
              <w:rPr>
                <w:rFonts w:ascii="Arial" w:cs="Arial" w:eastAsia="Arial" w:hAnsi="Arial"/>
                <w:sz w:val="22"/>
                <w:szCs w:val="22"/>
                <w:color w:val="auto"/>
              </w:rPr>
              <w:t>Quorum</w:t>
            </w:r>
          </w:p>
        </w:tc>
        <w:tc>
          <w:tcPr>
            <w:tcW w:w="2540" w:type="dxa"/>
            <w:vAlign w:val="bottom"/>
          </w:tcPr>
          <w:p>
            <w:pPr>
              <w:ind w:left="1920"/>
              <w:spacing w:after="0"/>
              <w:rPr>
                <w:sz w:val="20"/>
                <w:szCs w:val="20"/>
                <w:color w:val="auto"/>
              </w:rPr>
            </w:pPr>
            <w:r>
              <w:rPr>
                <w:rFonts w:ascii="Arial" w:cs="Arial" w:eastAsia="Arial" w:hAnsi="Arial"/>
                <w:sz w:val="22"/>
                <w:szCs w:val="22"/>
                <w:color w:val="auto"/>
              </w:rPr>
              <w:t>7</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2.8</w:t>
            </w:r>
          </w:p>
        </w:tc>
        <w:tc>
          <w:tcPr>
            <w:tcW w:w="8200" w:type="dxa"/>
            <w:vAlign w:val="bottom"/>
          </w:tcPr>
          <w:p>
            <w:pPr>
              <w:ind w:left="40"/>
              <w:spacing w:after="0"/>
              <w:rPr>
                <w:sz w:val="20"/>
                <w:szCs w:val="20"/>
                <w:color w:val="auto"/>
              </w:rPr>
            </w:pPr>
            <w:r>
              <w:rPr>
                <w:rFonts w:ascii="Arial" w:cs="Arial" w:eastAsia="Arial" w:hAnsi="Arial"/>
                <w:sz w:val="22"/>
                <w:szCs w:val="22"/>
                <w:color w:val="auto"/>
              </w:rPr>
              <w:t>Adjournments</w:t>
            </w:r>
          </w:p>
        </w:tc>
        <w:tc>
          <w:tcPr>
            <w:tcW w:w="2540" w:type="dxa"/>
            <w:vAlign w:val="bottom"/>
          </w:tcPr>
          <w:p>
            <w:pPr>
              <w:ind w:left="1920"/>
              <w:spacing w:after="0"/>
              <w:rPr>
                <w:sz w:val="20"/>
                <w:szCs w:val="20"/>
                <w:color w:val="auto"/>
              </w:rPr>
            </w:pPr>
            <w:r>
              <w:rPr>
                <w:rFonts w:ascii="Arial" w:cs="Arial" w:eastAsia="Arial" w:hAnsi="Arial"/>
                <w:sz w:val="22"/>
                <w:szCs w:val="22"/>
                <w:color w:val="auto"/>
              </w:rPr>
              <w:t>7</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2.9</w:t>
            </w:r>
          </w:p>
        </w:tc>
        <w:tc>
          <w:tcPr>
            <w:tcW w:w="8200" w:type="dxa"/>
            <w:vAlign w:val="bottom"/>
          </w:tcPr>
          <w:p>
            <w:pPr>
              <w:ind w:left="40"/>
              <w:spacing w:after="0"/>
              <w:rPr>
                <w:sz w:val="20"/>
                <w:szCs w:val="20"/>
                <w:color w:val="auto"/>
              </w:rPr>
            </w:pPr>
            <w:r>
              <w:rPr>
                <w:rFonts w:ascii="Arial" w:cs="Arial" w:eastAsia="Arial" w:hAnsi="Arial"/>
                <w:sz w:val="22"/>
                <w:szCs w:val="22"/>
                <w:color w:val="auto"/>
              </w:rPr>
              <w:t>Voting Rights</w:t>
            </w:r>
          </w:p>
        </w:tc>
        <w:tc>
          <w:tcPr>
            <w:tcW w:w="2540" w:type="dxa"/>
            <w:vAlign w:val="bottom"/>
          </w:tcPr>
          <w:p>
            <w:pPr>
              <w:ind w:left="1920"/>
              <w:spacing w:after="0"/>
              <w:rPr>
                <w:sz w:val="20"/>
                <w:szCs w:val="20"/>
                <w:color w:val="auto"/>
              </w:rPr>
            </w:pPr>
            <w:r>
              <w:rPr>
                <w:rFonts w:ascii="Arial" w:cs="Arial" w:eastAsia="Arial" w:hAnsi="Arial"/>
                <w:sz w:val="22"/>
                <w:szCs w:val="22"/>
                <w:color w:val="auto"/>
              </w:rPr>
              <w:t>7</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2.10</w:t>
            </w:r>
          </w:p>
        </w:tc>
        <w:tc>
          <w:tcPr>
            <w:tcW w:w="8200" w:type="dxa"/>
            <w:vAlign w:val="bottom"/>
          </w:tcPr>
          <w:p>
            <w:pPr>
              <w:ind w:left="160"/>
              <w:spacing w:after="0"/>
              <w:rPr>
                <w:sz w:val="20"/>
                <w:szCs w:val="20"/>
                <w:color w:val="auto"/>
              </w:rPr>
            </w:pPr>
            <w:r>
              <w:rPr>
                <w:rFonts w:ascii="Arial" w:cs="Arial" w:eastAsia="Arial" w:hAnsi="Arial"/>
                <w:sz w:val="22"/>
                <w:szCs w:val="22"/>
                <w:color w:val="auto"/>
              </w:rPr>
              <w:t>Action at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7</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2.11  </w:t>
            </w:r>
            <w:r>
              <w:rPr>
                <w:rFonts w:ascii="Arial" w:cs="Arial" w:eastAsia="Arial" w:hAnsi="Arial"/>
                <w:sz w:val="22"/>
                <w:szCs w:val="22"/>
                <w:color w:val="000000"/>
              </w:rPr>
              <w:t>Record Date for Stockholder Notice and Voting</w:t>
            </w:r>
          </w:p>
        </w:tc>
        <w:tc>
          <w:tcPr>
            <w:tcW w:w="2540" w:type="dxa"/>
            <w:vAlign w:val="bottom"/>
          </w:tcPr>
          <w:p>
            <w:pPr>
              <w:ind w:left="1920"/>
              <w:spacing w:after="0"/>
              <w:rPr>
                <w:sz w:val="20"/>
                <w:szCs w:val="20"/>
                <w:color w:val="auto"/>
              </w:rPr>
            </w:pPr>
            <w:r>
              <w:rPr>
                <w:rFonts w:ascii="Arial" w:cs="Arial" w:eastAsia="Arial" w:hAnsi="Arial"/>
                <w:sz w:val="22"/>
                <w:szCs w:val="22"/>
                <w:color w:val="auto"/>
              </w:rPr>
              <w:t>8</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2.12</w:t>
            </w:r>
          </w:p>
        </w:tc>
        <w:tc>
          <w:tcPr>
            <w:tcW w:w="8200" w:type="dxa"/>
            <w:vAlign w:val="bottom"/>
          </w:tcPr>
          <w:p>
            <w:pPr>
              <w:ind w:left="160"/>
              <w:spacing w:after="0"/>
              <w:rPr>
                <w:sz w:val="20"/>
                <w:szCs w:val="20"/>
                <w:color w:val="auto"/>
              </w:rPr>
            </w:pPr>
            <w:r>
              <w:rPr>
                <w:rFonts w:ascii="Arial" w:cs="Arial" w:eastAsia="Arial" w:hAnsi="Arial"/>
                <w:sz w:val="22"/>
                <w:szCs w:val="22"/>
                <w:color w:val="auto"/>
              </w:rPr>
              <w:t>Proxies</w:t>
            </w:r>
          </w:p>
        </w:tc>
        <w:tc>
          <w:tcPr>
            <w:tcW w:w="2540" w:type="dxa"/>
            <w:vAlign w:val="bottom"/>
          </w:tcPr>
          <w:p>
            <w:pPr>
              <w:ind w:left="1920"/>
              <w:spacing w:after="0"/>
              <w:rPr>
                <w:sz w:val="20"/>
                <w:szCs w:val="20"/>
                <w:color w:val="auto"/>
              </w:rPr>
            </w:pPr>
            <w:r>
              <w:rPr>
                <w:rFonts w:ascii="Arial" w:cs="Arial" w:eastAsia="Arial" w:hAnsi="Arial"/>
                <w:sz w:val="22"/>
                <w:szCs w:val="22"/>
                <w:color w:val="auto"/>
              </w:rPr>
              <w:t>8</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2.13</w:t>
            </w:r>
          </w:p>
        </w:tc>
        <w:tc>
          <w:tcPr>
            <w:tcW w:w="8200" w:type="dxa"/>
            <w:vAlign w:val="bottom"/>
          </w:tcPr>
          <w:p>
            <w:pPr>
              <w:ind w:left="160"/>
              <w:spacing w:after="0"/>
              <w:rPr>
                <w:sz w:val="20"/>
                <w:szCs w:val="20"/>
                <w:color w:val="auto"/>
              </w:rPr>
            </w:pPr>
            <w:r>
              <w:rPr>
                <w:rFonts w:ascii="Arial" w:cs="Arial" w:eastAsia="Arial" w:hAnsi="Arial"/>
                <w:sz w:val="22"/>
                <w:szCs w:val="22"/>
                <w:color w:val="auto"/>
              </w:rPr>
              <w:t>Inspectors of Election</w:t>
            </w:r>
          </w:p>
        </w:tc>
        <w:tc>
          <w:tcPr>
            <w:tcW w:w="2540" w:type="dxa"/>
            <w:vAlign w:val="bottom"/>
          </w:tcPr>
          <w:p>
            <w:pPr>
              <w:ind w:left="1920"/>
              <w:spacing w:after="0"/>
              <w:rPr>
                <w:sz w:val="20"/>
                <w:szCs w:val="20"/>
                <w:color w:val="auto"/>
              </w:rPr>
            </w:pPr>
            <w:r>
              <w:rPr>
                <w:rFonts w:ascii="Arial" w:cs="Arial" w:eastAsia="Arial" w:hAnsi="Arial"/>
                <w:sz w:val="22"/>
                <w:szCs w:val="22"/>
                <w:color w:val="auto"/>
              </w:rPr>
              <w:t>9</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2.14  </w:t>
            </w:r>
            <w:r>
              <w:rPr>
                <w:rFonts w:ascii="Arial" w:cs="Arial" w:eastAsia="Arial" w:hAnsi="Arial"/>
                <w:sz w:val="22"/>
                <w:szCs w:val="22"/>
                <w:color w:val="000000"/>
              </w:rPr>
              <w:t>Action Without a Meeting</w:t>
            </w:r>
          </w:p>
        </w:tc>
        <w:tc>
          <w:tcPr>
            <w:tcW w:w="2540" w:type="dxa"/>
            <w:vAlign w:val="bottom"/>
          </w:tcPr>
          <w:p>
            <w:pPr>
              <w:ind w:left="1920"/>
              <w:spacing w:after="0"/>
              <w:rPr>
                <w:sz w:val="20"/>
                <w:szCs w:val="20"/>
                <w:color w:val="auto"/>
              </w:rPr>
            </w:pPr>
            <w:r>
              <w:rPr>
                <w:rFonts w:ascii="Arial" w:cs="Arial" w:eastAsia="Arial" w:hAnsi="Arial"/>
                <w:sz w:val="22"/>
                <w:szCs w:val="22"/>
                <w:color w:val="auto"/>
              </w:rPr>
              <w:t>9</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2.15</w:t>
            </w:r>
          </w:p>
        </w:tc>
        <w:tc>
          <w:tcPr>
            <w:tcW w:w="8200" w:type="dxa"/>
            <w:vAlign w:val="bottom"/>
          </w:tcPr>
          <w:p>
            <w:pPr>
              <w:ind w:left="160"/>
              <w:spacing w:after="0"/>
              <w:rPr>
                <w:sz w:val="20"/>
                <w:szCs w:val="20"/>
                <w:color w:val="auto"/>
              </w:rPr>
            </w:pPr>
            <w:r>
              <w:rPr>
                <w:rFonts w:ascii="Arial" w:cs="Arial" w:eastAsia="Arial" w:hAnsi="Arial"/>
                <w:sz w:val="22"/>
                <w:szCs w:val="22"/>
                <w:color w:val="auto"/>
              </w:rPr>
              <w:t>Emergency Bylaws</w:t>
            </w:r>
          </w:p>
        </w:tc>
        <w:tc>
          <w:tcPr>
            <w:tcW w:w="2540" w:type="dxa"/>
            <w:vAlign w:val="bottom"/>
          </w:tcPr>
          <w:p>
            <w:pPr>
              <w:ind w:left="1920"/>
              <w:spacing w:after="0"/>
              <w:rPr>
                <w:sz w:val="20"/>
                <w:szCs w:val="20"/>
                <w:color w:val="auto"/>
              </w:rPr>
            </w:pPr>
            <w:r>
              <w:rPr>
                <w:rFonts w:ascii="Arial" w:cs="Arial" w:eastAsia="Arial" w:hAnsi="Arial"/>
                <w:sz w:val="22"/>
                <w:szCs w:val="22"/>
                <w:color w:val="auto"/>
              </w:rPr>
              <w:t>9</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2.16   </w:t>
            </w:r>
            <w:r>
              <w:rPr>
                <w:rFonts w:ascii="Arial" w:cs="Arial" w:eastAsia="Arial" w:hAnsi="Arial"/>
                <w:sz w:val="22"/>
                <w:szCs w:val="22"/>
                <w:color w:val="000000"/>
              </w:rPr>
              <w:t>Delivery to the Corporation</w:t>
            </w:r>
          </w:p>
        </w:tc>
        <w:tc>
          <w:tcPr>
            <w:tcW w:w="2540" w:type="dxa"/>
            <w:vAlign w:val="bottom"/>
          </w:tcPr>
          <w:p>
            <w:pPr>
              <w:ind w:left="1920"/>
              <w:spacing w:after="0"/>
              <w:rPr>
                <w:sz w:val="20"/>
                <w:szCs w:val="20"/>
                <w:color w:val="auto"/>
              </w:rPr>
            </w:pPr>
            <w:r>
              <w:rPr>
                <w:rFonts w:ascii="Arial" w:cs="Arial" w:eastAsia="Arial" w:hAnsi="Arial"/>
                <w:sz w:val="22"/>
                <w:szCs w:val="22"/>
                <w:color w:val="auto"/>
              </w:rPr>
              <w:t>10</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Article 3 </w:t>
            </w:r>
            <w:r>
              <w:rPr>
                <w:rFonts w:ascii="Arial" w:cs="Arial" w:eastAsia="Arial" w:hAnsi="Arial"/>
                <w:sz w:val="22"/>
                <w:szCs w:val="22"/>
                <w:color w:val="000000"/>
              </w:rPr>
              <w:t>Directors</w:t>
            </w:r>
          </w:p>
        </w:tc>
        <w:tc>
          <w:tcPr>
            <w:tcW w:w="2540" w:type="dxa"/>
            <w:vAlign w:val="bottom"/>
          </w:tcPr>
          <w:p>
            <w:pPr>
              <w:ind w:left="1920"/>
              <w:spacing w:after="0"/>
              <w:rPr>
                <w:sz w:val="20"/>
                <w:szCs w:val="20"/>
                <w:color w:val="auto"/>
              </w:rPr>
            </w:pPr>
            <w:r>
              <w:rPr>
                <w:rFonts w:ascii="Arial" w:cs="Arial" w:eastAsia="Arial" w:hAnsi="Arial"/>
                <w:sz w:val="22"/>
                <w:szCs w:val="22"/>
                <w:color w:val="auto"/>
              </w:rPr>
              <w:t>10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3.1</w:t>
            </w:r>
          </w:p>
        </w:tc>
        <w:tc>
          <w:tcPr>
            <w:tcW w:w="8200" w:type="dxa"/>
            <w:vAlign w:val="bottom"/>
          </w:tcPr>
          <w:p>
            <w:pPr>
              <w:ind w:left="40"/>
              <w:spacing w:after="0"/>
              <w:rPr>
                <w:sz w:val="20"/>
                <w:szCs w:val="20"/>
                <w:color w:val="auto"/>
              </w:rPr>
            </w:pPr>
            <w:r>
              <w:rPr>
                <w:rFonts w:ascii="Arial" w:cs="Arial" w:eastAsia="Arial" w:hAnsi="Arial"/>
                <w:sz w:val="22"/>
                <w:szCs w:val="22"/>
                <w:color w:val="auto"/>
              </w:rPr>
              <w:t>Number, Election, Tenure and Qualifications</w:t>
            </w:r>
          </w:p>
        </w:tc>
        <w:tc>
          <w:tcPr>
            <w:tcW w:w="2540" w:type="dxa"/>
            <w:vAlign w:val="bottom"/>
          </w:tcPr>
          <w:p>
            <w:pPr>
              <w:ind w:left="1920"/>
              <w:spacing w:after="0"/>
              <w:rPr>
                <w:sz w:val="20"/>
                <w:szCs w:val="20"/>
                <w:color w:val="auto"/>
              </w:rPr>
            </w:pPr>
            <w:r>
              <w:rPr>
                <w:rFonts w:ascii="Arial" w:cs="Arial" w:eastAsia="Arial" w:hAnsi="Arial"/>
                <w:sz w:val="22"/>
                <w:szCs w:val="22"/>
                <w:color w:val="auto"/>
              </w:rPr>
              <w:t>10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3.2</w:t>
            </w:r>
          </w:p>
        </w:tc>
        <w:tc>
          <w:tcPr>
            <w:tcW w:w="8200" w:type="dxa"/>
            <w:vAlign w:val="bottom"/>
          </w:tcPr>
          <w:p>
            <w:pPr>
              <w:ind w:left="40"/>
              <w:spacing w:after="0"/>
              <w:rPr>
                <w:sz w:val="20"/>
                <w:szCs w:val="20"/>
                <w:color w:val="auto"/>
              </w:rPr>
            </w:pPr>
            <w:r>
              <w:rPr>
                <w:rFonts w:ascii="Arial" w:cs="Arial" w:eastAsia="Arial" w:hAnsi="Arial"/>
                <w:sz w:val="22"/>
                <w:szCs w:val="22"/>
                <w:color w:val="auto"/>
              </w:rPr>
              <w:t>Enlargement and Vacancies</w:t>
            </w:r>
          </w:p>
        </w:tc>
        <w:tc>
          <w:tcPr>
            <w:tcW w:w="2540" w:type="dxa"/>
            <w:vAlign w:val="bottom"/>
          </w:tcPr>
          <w:p>
            <w:pPr>
              <w:ind w:left="1920"/>
              <w:spacing w:after="0"/>
              <w:rPr>
                <w:sz w:val="20"/>
                <w:szCs w:val="20"/>
                <w:color w:val="auto"/>
              </w:rPr>
            </w:pPr>
            <w:r>
              <w:rPr>
                <w:rFonts w:ascii="Arial" w:cs="Arial" w:eastAsia="Arial" w:hAnsi="Arial"/>
                <w:sz w:val="22"/>
                <w:szCs w:val="22"/>
                <w:color w:val="auto"/>
              </w:rPr>
              <w:t>15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3.3</w:t>
            </w:r>
          </w:p>
        </w:tc>
        <w:tc>
          <w:tcPr>
            <w:tcW w:w="8200" w:type="dxa"/>
            <w:vAlign w:val="bottom"/>
          </w:tcPr>
          <w:p>
            <w:pPr>
              <w:ind w:left="40"/>
              <w:spacing w:after="0"/>
              <w:rPr>
                <w:sz w:val="20"/>
                <w:szCs w:val="20"/>
                <w:color w:val="auto"/>
              </w:rPr>
            </w:pPr>
            <w:r>
              <w:rPr>
                <w:rFonts w:ascii="Arial" w:cs="Arial" w:eastAsia="Arial" w:hAnsi="Arial"/>
                <w:sz w:val="22"/>
                <w:szCs w:val="22"/>
                <w:color w:val="auto"/>
              </w:rPr>
              <w:t>Resignation and Removal</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3.4</w:t>
            </w:r>
          </w:p>
        </w:tc>
        <w:tc>
          <w:tcPr>
            <w:tcW w:w="8200" w:type="dxa"/>
            <w:vAlign w:val="bottom"/>
          </w:tcPr>
          <w:p>
            <w:pPr>
              <w:ind w:left="40"/>
              <w:spacing w:after="0"/>
              <w:rPr>
                <w:sz w:val="20"/>
                <w:szCs w:val="20"/>
                <w:color w:val="auto"/>
              </w:rPr>
            </w:pPr>
            <w:r>
              <w:rPr>
                <w:rFonts w:ascii="Arial" w:cs="Arial" w:eastAsia="Arial" w:hAnsi="Arial"/>
                <w:sz w:val="22"/>
                <w:szCs w:val="22"/>
                <w:color w:val="auto"/>
              </w:rPr>
              <w:t>Powers</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3.5</w:t>
            </w:r>
          </w:p>
        </w:tc>
        <w:tc>
          <w:tcPr>
            <w:tcW w:w="8200" w:type="dxa"/>
            <w:vAlign w:val="bottom"/>
          </w:tcPr>
          <w:p>
            <w:pPr>
              <w:ind w:left="40"/>
              <w:spacing w:after="0"/>
              <w:rPr>
                <w:sz w:val="20"/>
                <w:szCs w:val="20"/>
                <w:color w:val="auto"/>
              </w:rPr>
            </w:pPr>
            <w:r>
              <w:rPr>
                <w:rFonts w:ascii="Arial" w:cs="Arial" w:eastAsia="Arial" w:hAnsi="Arial"/>
                <w:sz w:val="22"/>
                <w:szCs w:val="22"/>
                <w:color w:val="auto"/>
              </w:rPr>
              <w:t>Chair of the Board</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3.6</w:t>
            </w:r>
          </w:p>
        </w:tc>
        <w:tc>
          <w:tcPr>
            <w:tcW w:w="8200" w:type="dxa"/>
            <w:vAlign w:val="bottom"/>
          </w:tcPr>
          <w:p>
            <w:pPr>
              <w:ind w:left="40"/>
              <w:spacing w:after="0"/>
              <w:rPr>
                <w:sz w:val="20"/>
                <w:szCs w:val="20"/>
                <w:color w:val="auto"/>
              </w:rPr>
            </w:pPr>
            <w:r>
              <w:rPr>
                <w:rFonts w:ascii="Arial" w:cs="Arial" w:eastAsia="Arial" w:hAnsi="Arial"/>
                <w:sz w:val="22"/>
                <w:szCs w:val="22"/>
                <w:color w:val="auto"/>
              </w:rPr>
              <w:t>Place of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3.7</w:t>
            </w:r>
          </w:p>
        </w:tc>
        <w:tc>
          <w:tcPr>
            <w:tcW w:w="8200" w:type="dxa"/>
            <w:vAlign w:val="bottom"/>
          </w:tcPr>
          <w:p>
            <w:pPr>
              <w:ind w:left="40"/>
              <w:spacing w:after="0"/>
              <w:rPr>
                <w:sz w:val="20"/>
                <w:szCs w:val="20"/>
                <w:color w:val="auto"/>
              </w:rPr>
            </w:pPr>
            <w:r>
              <w:rPr>
                <w:rFonts w:ascii="Arial" w:cs="Arial" w:eastAsia="Arial" w:hAnsi="Arial"/>
                <w:sz w:val="22"/>
                <w:szCs w:val="22"/>
                <w:color w:val="auto"/>
              </w:rPr>
              <w:t>[Reserved]</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3.8</w:t>
            </w:r>
          </w:p>
        </w:tc>
        <w:tc>
          <w:tcPr>
            <w:tcW w:w="8200" w:type="dxa"/>
            <w:vAlign w:val="bottom"/>
          </w:tcPr>
          <w:p>
            <w:pPr>
              <w:ind w:left="40"/>
              <w:spacing w:after="0"/>
              <w:rPr>
                <w:sz w:val="20"/>
                <w:szCs w:val="20"/>
                <w:color w:val="auto"/>
              </w:rPr>
            </w:pPr>
            <w:r>
              <w:rPr>
                <w:rFonts w:ascii="Arial" w:cs="Arial" w:eastAsia="Arial" w:hAnsi="Arial"/>
                <w:sz w:val="22"/>
                <w:szCs w:val="22"/>
                <w:color w:val="auto"/>
              </w:rPr>
              <w:t>Regular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3.9</w:t>
            </w:r>
          </w:p>
        </w:tc>
        <w:tc>
          <w:tcPr>
            <w:tcW w:w="8200" w:type="dxa"/>
            <w:vAlign w:val="bottom"/>
          </w:tcPr>
          <w:p>
            <w:pPr>
              <w:ind w:left="40"/>
              <w:spacing w:after="0"/>
              <w:rPr>
                <w:sz w:val="20"/>
                <w:szCs w:val="20"/>
                <w:color w:val="auto"/>
              </w:rPr>
            </w:pPr>
            <w:r>
              <w:rPr>
                <w:rFonts w:ascii="Arial" w:cs="Arial" w:eastAsia="Arial" w:hAnsi="Arial"/>
                <w:sz w:val="22"/>
                <w:szCs w:val="22"/>
                <w:color w:val="auto"/>
              </w:rPr>
              <w:t>Special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16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3.10</w:t>
            </w:r>
          </w:p>
        </w:tc>
        <w:tc>
          <w:tcPr>
            <w:tcW w:w="8200" w:type="dxa"/>
            <w:vAlign w:val="bottom"/>
          </w:tcPr>
          <w:p>
            <w:pPr>
              <w:ind w:left="160"/>
              <w:spacing w:after="0"/>
              <w:rPr>
                <w:sz w:val="20"/>
                <w:szCs w:val="20"/>
                <w:color w:val="auto"/>
              </w:rPr>
            </w:pPr>
            <w:r>
              <w:rPr>
                <w:rFonts w:ascii="Arial" w:cs="Arial" w:eastAsia="Arial" w:hAnsi="Arial"/>
                <w:sz w:val="22"/>
                <w:szCs w:val="22"/>
                <w:color w:val="auto"/>
              </w:rPr>
              <w:t>Quorum, Action at Meeting, Adjournments</w:t>
            </w:r>
          </w:p>
        </w:tc>
        <w:tc>
          <w:tcPr>
            <w:tcW w:w="2540" w:type="dxa"/>
            <w:vAlign w:val="bottom"/>
          </w:tcPr>
          <w:p>
            <w:pPr>
              <w:ind w:left="1920"/>
              <w:spacing w:after="0"/>
              <w:rPr>
                <w:sz w:val="20"/>
                <w:szCs w:val="20"/>
                <w:color w:val="auto"/>
              </w:rPr>
            </w:pPr>
            <w:r>
              <w:rPr>
                <w:rFonts w:ascii="Arial" w:cs="Arial" w:eastAsia="Arial" w:hAnsi="Arial"/>
                <w:sz w:val="22"/>
                <w:szCs w:val="22"/>
                <w:color w:val="auto"/>
              </w:rPr>
              <w:t>17</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3.11</w:t>
            </w:r>
          </w:p>
        </w:tc>
        <w:tc>
          <w:tcPr>
            <w:tcW w:w="8200" w:type="dxa"/>
            <w:vAlign w:val="bottom"/>
          </w:tcPr>
          <w:p>
            <w:pPr>
              <w:ind w:left="140"/>
              <w:spacing w:after="0"/>
              <w:rPr>
                <w:sz w:val="20"/>
                <w:szCs w:val="20"/>
                <w:color w:val="auto"/>
              </w:rPr>
            </w:pPr>
            <w:r>
              <w:rPr>
                <w:rFonts w:ascii="Arial" w:cs="Arial" w:eastAsia="Arial" w:hAnsi="Arial"/>
                <w:sz w:val="22"/>
                <w:szCs w:val="22"/>
                <w:color w:val="auto"/>
              </w:rPr>
              <w:t>Action Without Meeting</w:t>
            </w:r>
          </w:p>
        </w:tc>
        <w:tc>
          <w:tcPr>
            <w:tcW w:w="2540" w:type="dxa"/>
            <w:vAlign w:val="bottom"/>
          </w:tcPr>
          <w:p>
            <w:pPr>
              <w:ind w:left="1920"/>
              <w:spacing w:after="0"/>
              <w:rPr>
                <w:sz w:val="20"/>
                <w:szCs w:val="20"/>
                <w:color w:val="auto"/>
              </w:rPr>
            </w:pPr>
            <w:r>
              <w:rPr>
                <w:rFonts w:ascii="Arial" w:cs="Arial" w:eastAsia="Arial" w:hAnsi="Arial"/>
                <w:sz w:val="22"/>
                <w:szCs w:val="22"/>
                <w:color w:val="auto"/>
              </w:rPr>
              <w:t>17</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3.12</w:t>
            </w:r>
          </w:p>
        </w:tc>
        <w:tc>
          <w:tcPr>
            <w:tcW w:w="8200" w:type="dxa"/>
            <w:vAlign w:val="bottom"/>
          </w:tcPr>
          <w:p>
            <w:pPr>
              <w:ind w:left="160"/>
              <w:spacing w:after="0"/>
              <w:rPr>
                <w:sz w:val="20"/>
                <w:szCs w:val="20"/>
                <w:color w:val="auto"/>
              </w:rPr>
            </w:pPr>
            <w:r>
              <w:rPr>
                <w:rFonts w:ascii="Arial" w:cs="Arial" w:eastAsia="Arial" w:hAnsi="Arial"/>
                <w:sz w:val="22"/>
                <w:szCs w:val="22"/>
                <w:color w:val="auto"/>
              </w:rPr>
              <w:t>Remote Meetings</w:t>
            </w:r>
          </w:p>
        </w:tc>
        <w:tc>
          <w:tcPr>
            <w:tcW w:w="2540" w:type="dxa"/>
            <w:vAlign w:val="bottom"/>
          </w:tcPr>
          <w:p>
            <w:pPr>
              <w:ind w:left="1920"/>
              <w:spacing w:after="0"/>
              <w:rPr>
                <w:sz w:val="20"/>
                <w:szCs w:val="20"/>
                <w:color w:val="auto"/>
              </w:rPr>
            </w:pPr>
            <w:r>
              <w:rPr>
                <w:rFonts w:ascii="Arial" w:cs="Arial" w:eastAsia="Arial" w:hAnsi="Arial"/>
                <w:sz w:val="22"/>
                <w:szCs w:val="22"/>
                <w:color w:val="auto"/>
              </w:rPr>
              <w:t>17</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3.13</w:t>
            </w:r>
          </w:p>
        </w:tc>
        <w:tc>
          <w:tcPr>
            <w:tcW w:w="8200" w:type="dxa"/>
            <w:vAlign w:val="bottom"/>
          </w:tcPr>
          <w:p>
            <w:pPr>
              <w:ind w:left="160"/>
              <w:spacing w:after="0"/>
              <w:rPr>
                <w:sz w:val="20"/>
                <w:szCs w:val="20"/>
                <w:color w:val="auto"/>
              </w:rPr>
            </w:pPr>
            <w:r>
              <w:rPr>
                <w:rFonts w:ascii="Arial" w:cs="Arial" w:eastAsia="Arial" w:hAnsi="Arial"/>
                <w:sz w:val="22"/>
                <w:szCs w:val="22"/>
                <w:color w:val="auto"/>
              </w:rPr>
              <w:t>Committees</w:t>
            </w:r>
          </w:p>
        </w:tc>
        <w:tc>
          <w:tcPr>
            <w:tcW w:w="2540" w:type="dxa"/>
            <w:vAlign w:val="bottom"/>
          </w:tcPr>
          <w:p>
            <w:pPr>
              <w:ind w:left="1920"/>
              <w:spacing w:after="0"/>
              <w:rPr>
                <w:sz w:val="20"/>
                <w:szCs w:val="20"/>
                <w:color w:val="auto"/>
              </w:rPr>
            </w:pPr>
            <w:r>
              <w:rPr>
                <w:rFonts w:ascii="Arial" w:cs="Arial" w:eastAsia="Arial" w:hAnsi="Arial"/>
                <w:sz w:val="22"/>
                <w:szCs w:val="22"/>
                <w:color w:val="auto"/>
              </w:rPr>
              <w:t>17</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3.14  </w:t>
            </w:r>
            <w:r>
              <w:rPr>
                <w:rFonts w:ascii="Arial" w:cs="Arial" w:eastAsia="Arial" w:hAnsi="Arial"/>
                <w:sz w:val="22"/>
                <w:szCs w:val="22"/>
                <w:color w:val="000000"/>
              </w:rPr>
              <w:t>Fees and Compensation of Directors</w:t>
            </w:r>
          </w:p>
        </w:tc>
        <w:tc>
          <w:tcPr>
            <w:tcW w:w="2540" w:type="dxa"/>
            <w:vAlign w:val="bottom"/>
          </w:tcPr>
          <w:p>
            <w:pPr>
              <w:ind w:left="1920"/>
              <w:spacing w:after="0"/>
              <w:rPr>
                <w:sz w:val="20"/>
                <w:szCs w:val="20"/>
                <w:color w:val="auto"/>
              </w:rPr>
            </w:pPr>
            <w:r>
              <w:rPr>
                <w:rFonts w:ascii="Arial" w:cs="Arial" w:eastAsia="Arial" w:hAnsi="Arial"/>
                <w:sz w:val="22"/>
                <w:szCs w:val="22"/>
                <w:color w:val="auto"/>
              </w:rPr>
              <w:t>18</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3.15  </w:t>
            </w:r>
            <w:r>
              <w:rPr>
                <w:rFonts w:ascii="Arial" w:cs="Arial" w:eastAsia="Arial" w:hAnsi="Arial"/>
                <w:sz w:val="22"/>
                <w:szCs w:val="22"/>
                <w:color w:val="000000"/>
              </w:rPr>
              <w:t>Submission of Questionnaire, Representation and Agreement</w:t>
            </w:r>
          </w:p>
        </w:tc>
        <w:tc>
          <w:tcPr>
            <w:tcW w:w="2540" w:type="dxa"/>
            <w:vAlign w:val="bottom"/>
          </w:tcPr>
          <w:p>
            <w:pPr>
              <w:ind w:left="1920"/>
              <w:spacing w:after="0"/>
              <w:rPr>
                <w:sz w:val="20"/>
                <w:szCs w:val="20"/>
                <w:color w:val="auto"/>
              </w:rPr>
            </w:pPr>
            <w:r>
              <w:rPr>
                <w:rFonts w:ascii="Arial" w:cs="Arial" w:eastAsia="Arial" w:hAnsi="Arial"/>
                <w:sz w:val="22"/>
                <w:szCs w:val="22"/>
                <w:color w:val="auto"/>
              </w:rPr>
              <w:t>18</w:t>
            </w:r>
          </w:p>
        </w:tc>
      </w:tr>
      <w:tr>
        <w:trPr>
          <w:trHeight w:val="270"/>
        </w:trPr>
        <w:tc>
          <w:tcPr>
            <w:tcW w:w="8620" w:type="dxa"/>
            <w:vAlign w:val="bottom"/>
            <w:gridSpan w:val="2"/>
          </w:tcPr>
          <w:p>
            <w:pPr>
              <w:spacing w:after="0"/>
              <w:rPr>
                <w:sz w:val="20"/>
                <w:szCs w:val="20"/>
                <w:color w:val="auto"/>
              </w:rPr>
            </w:pPr>
            <w:r>
              <w:rPr>
                <w:rFonts w:ascii="Arial" w:cs="Arial" w:eastAsia="Arial" w:hAnsi="Arial"/>
                <w:sz w:val="22"/>
                <w:szCs w:val="22"/>
                <w:color w:val="010000"/>
              </w:rPr>
              <w:t xml:space="preserve">Article 4 </w:t>
            </w:r>
            <w:r>
              <w:rPr>
                <w:rFonts w:ascii="Arial" w:cs="Arial" w:eastAsia="Arial" w:hAnsi="Arial"/>
                <w:sz w:val="22"/>
                <w:szCs w:val="22"/>
                <w:color w:val="000000"/>
              </w:rPr>
              <w:t>Officers</w:t>
            </w:r>
          </w:p>
        </w:tc>
        <w:tc>
          <w:tcPr>
            <w:tcW w:w="2540" w:type="dxa"/>
            <w:vAlign w:val="bottom"/>
          </w:tcPr>
          <w:p>
            <w:pPr>
              <w:ind w:left="1920"/>
              <w:spacing w:after="0"/>
              <w:rPr>
                <w:sz w:val="20"/>
                <w:szCs w:val="20"/>
                <w:color w:val="auto"/>
              </w:rPr>
            </w:pPr>
            <w:r>
              <w:rPr>
                <w:rFonts w:ascii="Arial" w:cs="Arial" w:eastAsia="Arial" w:hAnsi="Arial"/>
                <w:sz w:val="22"/>
                <w:szCs w:val="22"/>
                <w:color w:val="auto"/>
              </w:rPr>
              <w:t>19</w:t>
            </w:r>
          </w:p>
        </w:tc>
      </w:tr>
      <w:tr>
        <w:trPr>
          <w:trHeight w:val="274"/>
        </w:trPr>
        <w:tc>
          <w:tcPr>
            <w:tcW w:w="420" w:type="dxa"/>
            <w:vAlign w:val="bottom"/>
          </w:tcPr>
          <w:p>
            <w:pPr>
              <w:spacing w:after="0"/>
              <w:rPr>
                <w:sz w:val="20"/>
                <w:szCs w:val="20"/>
                <w:color w:val="auto"/>
              </w:rPr>
            </w:pPr>
            <w:r>
              <w:rPr>
                <w:rFonts w:ascii="Arial" w:cs="Arial" w:eastAsia="Arial" w:hAnsi="Arial"/>
                <w:sz w:val="22"/>
                <w:szCs w:val="22"/>
                <w:color w:val="010000"/>
              </w:rPr>
              <w:t>4.1</w:t>
            </w:r>
          </w:p>
        </w:tc>
        <w:tc>
          <w:tcPr>
            <w:tcW w:w="8200" w:type="dxa"/>
            <w:vAlign w:val="bottom"/>
          </w:tcPr>
          <w:p>
            <w:pPr>
              <w:ind w:left="40"/>
              <w:spacing w:after="0"/>
              <w:rPr>
                <w:sz w:val="20"/>
                <w:szCs w:val="20"/>
                <w:color w:val="auto"/>
              </w:rPr>
            </w:pPr>
            <w:r>
              <w:rPr>
                <w:rFonts w:ascii="Arial" w:cs="Arial" w:eastAsia="Arial" w:hAnsi="Arial"/>
                <w:sz w:val="22"/>
                <w:szCs w:val="22"/>
                <w:color w:val="auto"/>
              </w:rPr>
              <w:t>Officers Designated</w:t>
            </w:r>
          </w:p>
        </w:tc>
        <w:tc>
          <w:tcPr>
            <w:tcW w:w="2540" w:type="dxa"/>
            <w:vAlign w:val="bottom"/>
          </w:tcPr>
          <w:p>
            <w:pPr>
              <w:ind w:left="1920"/>
              <w:spacing w:after="0"/>
              <w:rPr>
                <w:sz w:val="20"/>
                <w:szCs w:val="20"/>
                <w:color w:val="auto"/>
              </w:rPr>
            </w:pPr>
            <w:r>
              <w:rPr>
                <w:rFonts w:ascii="Arial" w:cs="Arial" w:eastAsia="Arial" w:hAnsi="Arial"/>
                <w:sz w:val="22"/>
                <w:szCs w:val="22"/>
                <w:color w:val="auto"/>
              </w:rPr>
              <w:t>19</w:t>
            </w:r>
          </w:p>
        </w:tc>
      </w:tr>
    </w:tbl>
    <w:p>
      <w:pPr>
        <w:spacing w:after="0" w:line="200" w:lineRule="exact"/>
        <w:rPr>
          <w:sz w:val="20"/>
          <w:szCs w:val="20"/>
          <w:color w:val="auto"/>
        </w:rPr>
      </w:pPr>
    </w:p>
    <w:p>
      <w:pPr>
        <w:sectPr>
          <w:pgSz w:w="11900" w:h="16838" w:orient="portrait"/>
          <w:cols w:equalWidth="0" w:num="1">
            <w:col w:w="11160"/>
          </w:cols>
          <w:pgMar w:left="40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395" w:right="339" w:bottom="1440" w:gutter="0" w:footer="0" w:header="0"/>
          <w:type w:val="continuous"/>
        </w:sectPr>
      </w:pPr>
    </w:p>
    <w:bookmarkStart w:id="16" w:name="page17"/>
    <w:bookmarkEnd w:id="1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4.2</w:t>
            </w:r>
          </w:p>
        </w:tc>
        <w:tc>
          <w:tcPr>
            <w:tcW w:w="7420" w:type="dxa"/>
            <w:vAlign w:val="bottom"/>
          </w:tcPr>
          <w:p>
            <w:pPr>
              <w:ind w:left="40"/>
              <w:spacing w:after="0"/>
              <w:rPr>
                <w:sz w:val="20"/>
                <w:szCs w:val="20"/>
                <w:color w:val="auto"/>
              </w:rPr>
            </w:pPr>
            <w:r>
              <w:rPr>
                <w:rFonts w:ascii="Arial" w:cs="Arial" w:eastAsia="Arial" w:hAnsi="Arial"/>
                <w:sz w:val="22"/>
                <w:szCs w:val="22"/>
                <w:color w:val="auto"/>
              </w:rPr>
              <w:t>[Reserved]</w:t>
            </w:r>
          </w:p>
        </w:tc>
        <w:tc>
          <w:tcPr>
            <w:tcW w:w="2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4.3</w:t>
            </w:r>
          </w:p>
        </w:tc>
        <w:tc>
          <w:tcPr>
            <w:tcW w:w="7420" w:type="dxa"/>
            <w:vAlign w:val="bottom"/>
          </w:tcPr>
          <w:p>
            <w:pPr>
              <w:ind w:left="40"/>
              <w:spacing w:after="0"/>
              <w:rPr>
                <w:sz w:val="20"/>
                <w:szCs w:val="20"/>
                <w:color w:val="auto"/>
              </w:rPr>
            </w:pPr>
            <w:r>
              <w:rPr>
                <w:rFonts w:ascii="Arial" w:cs="Arial" w:eastAsia="Arial" w:hAnsi="Arial"/>
                <w:sz w:val="22"/>
                <w:szCs w:val="22"/>
                <w:color w:val="auto"/>
              </w:rPr>
              <w:t>Tenure</w:t>
            </w:r>
          </w:p>
        </w:tc>
        <w:tc>
          <w:tcPr>
            <w:tcW w:w="2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4.4</w:t>
            </w:r>
          </w:p>
        </w:tc>
        <w:tc>
          <w:tcPr>
            <w:tcW w:w="7420" w:type="dxa"/>
            <w:vAlign w:val="bottom"/>
          </w:tcPr>
          <w:p>
            <w:pPr>
              <w:ind w:left="40"/>
              <w:spacing w:after="0"/>
              <w:rPr>
                <w:sz w:val="20"/>
                <w:szCs w:val="20"/>
                <w:color w:val="auto"/>
              </w:rPr>
            </w:pPr>
            <w:r>
              <w:rPr>
                <w:rFonts w:ascii="Arial" w:cs="Arial" w:eastAsia="Arial" w:hAnsi="Arial"/>
                <w:sz w:val="22"/>
                <w:szCs w:val="22"/>
                <w:color w:val="auto"/>
              </w:rPr>
              <w:t>Chief Executive Officer</w:t>
            </w:r>
          </w:p>
        </w:tc>
        <w:tc>
          <w:tcPr>
            <w:tcW w:w="29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4.5</w:t>
            </w:r>
          </w:p>
        </w:tc>
        <w:tc>
          <w:tcPr>
            <w:tcW w:w="7420" w:type="dxa"/>
            <w:vAlign w:val="bottom"/>
          </w:tcPr>
          <w:p>
            <w:pPr>
              <w:ind w:left="40"/>
              <w:spacing w:after="0"/>
              <w:rPr>
                <w:sz w:val="20"/>
                <w:szCs w:val="20"/>
                <w:color w:val="auto"/>
              </w:rPr>
            </w:pPr>
            <w:r>
              <w:rPr>
                <w:rFonts w:ascii="Arial" w:cs="Arial" w:eastAsia="Arial" w:hAnsi="Arial"/>
                <w:sz w:val="22"/>
                <w:szCs w:val="22"/>
                <w:color w:val="auto"/>
              </w:rPr>
              <w:t>President</w:t>
            </w:r>
          </w:p>
        </w:tc>
        <w:tc>
          <w:tcPr>
            <w:tcW w:w="2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4.6</w:t>
            </w:r>
          </w:p>
        </w:tc>
        <w:tc>
          <w:tcPr>
            <w:tcW w:w="7420" w:type="dxa"/>
            <w:vAlign w:val="bottom"/>
          </w:tcPr>
          <w:p>
            <w:pPr>
              <w:ind w:left="40"/>
              <w:spacing w:after="0"/>
              <w:rPr>
                <w:sz w:val="20"/>
                <w:szCs w:val="20"/>
                <w:color w:val="auto"/>
              </w:rPr>
            </w:pPr>
            <w:r>
              <w:rPr>
                <w:rFonts w:ascii="Arial" w:cs="Arial" w:eastAsia="Arial" w:hAnsi="Arial"/>
                <w:sz w:val="22"/>
                <w:szCs w:val="22"/>
                <w:color w:val="auto"/>
              </w:rPr>
              <w:t>Chief Financial Officer</w:t>
            </w:r>
          </w:p>
        </w:tc>
        <w:tc>
          <w:tcPr>
            <w:tcW w:w="2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4.7</w:t>
            </w:r>
          </w:p>
        </w:tc>
        <w:tc>
          <w:tcPr>
            <w:tcW w:w="7420" w:type="dxa"/>
            <w:vAlign w:val="bottom"/>
          </w:tcPr>
          <w:p>
            <w:pPr>
              <w:ind w:left="40"/>
              <w:spacing w:after="0"/>
              <w:rPr>
                <w:sz w:val="20"/>
                <w:szCs w:val="20"/>
                <w:color w:val="auto"/>
              </w:rPr>
            </w:pPr>
            <w:r>
              <w:rPr>
                <w:rFonts w:ascii="Arial" w:cs="Arial" w:eastAsia="Arial" w:hAnsi="Arial"/>
                <w:sz w:val="22"/>
                <w:szCs w:val="22"/>
                <w:color w:val="auto"/>
              </w:rPr>
              <w:t>Vice President</w:t>
            </w:r>
          </w:p>
        </w:tc>
        <w:tc>
          <w:tcPr>
            <w:tcW w:w="2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4.8</w:t>
            </w:r>
          </w:p>
        </w:tc>
        <w:tc>
          <w:tcPr>
            <w:tcW w:w="7420" w:type="dxa"/>
            <w:vAlign w:val="bottom"/>
          </w:tcPr>
          <w:p>
            <w:pPr>
              <w:ind w:left="40"/>
              <w:spacing w:after="0"/>
              <w:rPr>
                <w:sz w:val="20"/>
                <w:szCs w:val="20"/>
                <w:color w:val="auto"/>
              </w:rPr>
            </w:pPr>
            <w:r>
              <w:rPr>
                <w:rFonts w:ascii="Arial" w:cs="Arial" w:eastAsia="Arial" w:hAnsi="Arial"/>
                <w:sz w:val="22"/>
                <w:szCs w:val="22"/>
                <w:color w:val="auto"/>
              </w:rPr>
              <w:t>Secretary</w:t>
            </w:r>
          </w:p>
        </w:tc>
        <w:tc>
          <w:tcPr>
            <w:tcW w:w="2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4.9</w:t>
            </w:r>
          </w:p>
        </w:tc>
        <w:tc>
          <w:tcPr>
            <w:tcW w:w="7420" w:type="dxa"/>
            <w:vAlign w:val="bottom"/>
          </w:tcPr>
          <w:p>
            <w:pPr>
              <w:ind w:left="40"/>
              <w:spacing w:after="0"/>
              <w:rPr>
                <w:sz w:val="20"/>
                <w:szCs w:val="20"/>
                <w:color w:val="auto"/>
              </w:rPr>
            </w:pPr>
            <w:r>
              <w:rPr>
                <w:rFonts w:ascii="Arial" w:cs="Arial" w:eastAsia="Arial" w:hAnsi="Arial"/>
                <w:sz w:val="22"/>
                <w:szCs w:val="22"/>
                <w:color w:val="auto"/>
              </w:rPr>
              <w:t>Assistant Secretary</w:t>
            </w:r>
          </w:p>
        </w:tc>
        <w:tc>
          <w:tcPr>
            <w:tcW w:w="29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4.10</w:t>
            </w:r>
          </w:p>
        </w:tc>
        <w:tc>
          <w:tcPr>
            <w:tcW w:w="7420" w:type="dxa"/>
            <w:vAlign w:val="bottom"/>
          </w:tcPr>
          <w:p>
            <w:pPr>
              <w:ind w:left="160"/>
              <w:spacing w:after="0"/>
              <w:rPr>
                <w:sz w:val="20"/>
                <w:szCs w:val="20"/>
                <w:color w:val="auto"/>
              </w:rPr>
            </w:pPr>
            <w:r>
              <w:rPr>
                <w:rFonts w:ascii="Arial" w:cs="Arial" w:eastAsia="Arial" w:hAnsi="Arial"/>
                <w:sz w:val="22"/>
                <w:szCs w:val="22"/>
                <w:color w:val="auto"/>
              </w:rPr>
              <w:t>Treasurer and Assistant Treasurers</w:t>
            </w:r>
          </w:p>
        </w:tc>
        <w:tc>
          <w:tcPr>
            <w:tcW w:w="2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w w:val="93"/>
              </w:rPr>
              <w:t>4.11</w:t>
            </w:r>
          </w:p>
        </w:tc>
        <w:tc>
          <w:tcPr>
            <w:tcW w:w="7420" w:type="dxa"/>
            <w:vAlign w:val="bottom"/>
          </w:tcPr>
          <w:p>
            <w:pPr>
              <w:ind w:left="140"/>
              <w:spacing w:after="0"/>
              <w:rPr>
                <w:sz w:val="20"/>
                <w:szCs w:val="20"/>
                <w:color w:val="auto"/>
              </w:rPr>
            </w:pPr>
            <w:r>
              <w:rPr>
                <w:rFonts w:ascii="Arial" w:cs="Arial" w:eastAsia="Arial" w:hAnsi="Arial"/>
                <w:sz w:val="22"/>
                <w:szCs w:val="22"/>
                <w:color w:val="auto"/>
              </w:rPr>
              <w:t>Delegation of Authority</w:t>
            </w:r>
          </w:p>
        </w:tc>
        <w:tc>
          <w:tcPr>
            <w:tcW w:w="2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7840" w:type="dxa"/>
            <w:vAlign w:val="bottom"/>
            <w:gridSpan w:val="2"/>
          </w:tcPr>
          <w:p>
            <w:pPr>
              <w:spacing w:after="0"/>
              <w:rPr>
                <w:sz w:val="20"/>
                <w:szCs w:val="20"/>
                <w:color w:val="auto"/>
              </w:rPr>
            </w:pPr>
            <w:r>
              <w:rPr>
                <w:rFonts w:ascii="Arial" w:cs="Arial" w:eastAsia="Arial" w:hAnsi="Arial"/>
                <w:sz w:val="22"/>
                <w:szCs w:val="22"/>
                <w:color w:val="010000"/>
              </w:rPr>
              <w:t xml:space="preserve">Article 5 </w:t>
            </w:r>
            <w:r>
              <w:rPr>
                <w:rFonts w:ascii="Arial" w:cs="Arial" w:eastAsia="Arial" w:hAnsi="Arial"/>
                <w:sz w:val="22"/>
                <w:szCs w:val="22"/>
                <w:color w:val="000000"/>
              </w:rPr>
              <w:t>Notices</w:t>
            </w:r>
          </w:p>
        </w:tc>
        <w:tc>
          <w:tcPr>
            <w:tcW w:w="2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5.1</w:t>
            </w:r>
          </w:p>
        </w:tc>
        <w:tc>
          <w:tcPr>
            <w:tcW w:w="7420" w:type="dxa"/>
            <w:vAlign w:val="bottom"/>
          </w:tcPr>
          <w:p>
            <w:pPr>
              <w:ind w:left="40"/>
              <w:spacing w:after="0"/>
              <w:rPr>
                <w:sz w:val="20"/>
                <w:szCs w:val="20"/>
                <w:color w:val="auto"/>
              </w:rPr>
            </w:pPr>
            <w:r>
              <w:rPr>
                <w:rFonts w:ascii="Arial" w:cs="Arial" w:eastAsia="Arial" w:hAnsi="Arial"/>
                <w:sz w:val="22"/>
                <w:szCs w:val="22"/>
                <w:color w:val="auto"/>
              </w:rPr>
              <w:t>Form and Delivery</w:t>
            </w:r>
          </w:p>
        </w:tc>
        <w:tc>
          <w:tcPr>
            <w:tcW w:w="2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5.2</w:t>
            </w:r>
          </w:p>
        </w:tc>
        <w:tc>
          <w:tcPr>
            <w:tcW w:w="7420" w:type="dxa"/>
            <w:vAlign w:val="bottom"/>
          </w:tcPr>
          <w:p>
            <w:pPr>
              <w:ind w:left="40"/>
              <w:spacing w:after="0"/>
              <w:rPr>
                <w:sz w:val="20"/>
                <w:szCs w:val="20"/>
                <w:color w:val="auto"/>
              </w:rPr>
            </w:pPr>
            <w:r>
              <w:rPr>
                <w:rFonts w:ascii="Arial" w:cs="Arial" w:eastAsia="Arial" w:hAnsi="Arial"/>
                <w:sz w:val="22"/>
                <w:szCs w:val="22"/>
                <w:color w:val="auto"/>
              </w:rPr>
              <w:t>Affidavit of Giving Notice</w:t>
            </w:r>
          </w:p>
        </w:tc>
        <w:tc>
          <w:tcPr>
            <w:tcW w:w="2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5.3</w:t>
            </w:r>
          </w:p>
        </w:tc>
        <w:tc>
          <w:tcPr>
            <w:tcW w:w="7420" w:type="dxa"/>
            <w:vAlign w:val="bottom"/>
          </w:tcPr>
          <w:p>
            <w:pPr>
              <w:ind w:left="40"/>
              <w:spacing w:after="0"/>
              <w:rPr>
                <w:sz w:val="20"/>
                <w:szCs w:val="20"/>
                <w:color w:val="auto"/>
              </w:rPr>
            </w:pPr>
            <w:r>
              <w:rPr>
                <w:rFonts w:ascii="Arial" w:cs="Arial" w:eastAsia="Arial" w:hAnsi="Arial"/>
                <w:sz w:val="22"/>
                <w:szCs w:val="22"/>
                <w:color w:val="auto"/>
              </w:rPr>
              <w:t>Waiver of Notice</w:t>
            </w:r>
          </w:p>
        </w:tc>
        <w:tc>
          <w:tcPr>
            <w:tcW w:w="29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0"/>
        </w:trPr>
        <w:tc>
          <w:tcPr>
            <w:tcW w:w="7840" w:type="dxa"/>
            <w:vAlign w:val="bottom"/>
            <w:gridSpan w:val="2"/>
          </w:tcPr>
          <w:p>
            <w:pPr>
              <w:spacing w:after="0"/>
              <w:rPr>
                <w:sz w:val="20"/>
                <w:szCs w:val="20"/>
                <w:color w:val="auto"/>
              </w:rPr>
            </w:pPr>
            <w:r>
              <w:rPr>
                <w:rFonts w:ascii="Arial" w:cs="Arial" w:eastAsia="Arial" w:hAnsi="Arial"/>
                <w:sz w:val="22"/>
                <w:szCs w:val="22"/>
                <w:color w:val="010000"/>
              </w:rPr>
              <w:t xml:space="preserve">Article 6 </w:t>
            </w:r>
            <w:r>
              <w:rPr>
                <w:rFonts w:ascii="Arial" w:cs="Arial" w:eastAsia="Arial" w:hAnsi="Arial"/>
                <w:sz w:val="22"/>
                <w:szCs w:val="22"/>
                <w:color w:val="000000"/>
              </w:rPr>
              <w:t>Indemnification and Insurance</w:t>
            </w:r>
          </w:p>
        </w:tc>
        <w:tc>
          <w:tcPr>
            <w:tcW w:w="29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6.1</w:t>
            </w:r>
          </w:p>
        </w:tc>
        <w:tc>
          <w:tcPr>
            <w:tcW w:w="7420" w:type="dxa"/>
            <w:vAlign w:val="bottom"/>
          </w:tcPr>
          <w:p>
            <w:pPr>
              <w:ind w:left="40"/>
              <w:spacing w:after="0"/>
              <w:rPr>
                <w:sz w:val="20"/>
                <w:szCs w:val="20"/>
                <w:color w:val="auto"/>
              </w:rPr>
            </w:pPr>
            <w:r>
              <w:rPr>
                <w:rFonts w:ascii="Arial" w:cs="Arial" w:eastAsia="Arial" w:hAnsi="Arial"/>
                <w:sz w:val="22"/>
                <w:szCs w:val="22"/>
                <w:color w:val="auto"/>
              </w:rPr>
              <w:t>Indemnification</w:t>
            </w:r>
          </w:p>
        </w:tc>
        <w:tc>
          <w:tcPr>
            <w:tcW w:w="29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6.2</w:t>
            </w:r>
          </w:p>
        </w:tc>
        <w:tc>
          <w:tcPr>
            <w:tcW w:w="7420" w:type="dxa"/>
            <w:vAlign w:val="bottom"/>
          </w:tcPr>
          <w:p>
            <w:pPr>
              <w:ind w:left="40"/>
              <w:spacing w:after="0"/>
              <w:rPr>
                <w:sz w:val="20"/>
                <w:szCs w:val="20"/>
                <w:color w:val="auto"/>
              </w:rPr>
            </w:pPr>
            <w:r>
              <w:rPr>
                <w:rFonts w:ascii="Arial" w:cs="Arial" w:eastAsia="Arial" w:hAnsi="Arial"/>
                <w:sz w:val="22"/>
                <w:szCs w:val="22"/>
                <w:color w:val="auto"/>
              </w:rPr>
              <w:t>Advance Payment</w:t>
            </w:r>
          </w:p>
        </w:tc>
        <w:tc>
          <w:tcPr>
            <w:tcW w:w="29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6.3</w:t>
            </w:r>
          </w:p>
        </w:tc>
        <w:tc>
          <w:tcPr>
            <w:tcW w:w="7420" w:type="dxa"/>
            <w:vAlign w:val="bottom"/>
          </w:tcPr>
          <w:p>
            <w:pPr>
              <w:ind w:left="40"/>
              <w:spacing w:after="0"/>
              <w:rPr>
                <w:sz w:val="20"/>
                <w:szCs w:val="20"/>
                <w:color w:val="auto"/>
              </w:rPr>
            </w:pPr>
            <w:r>
              <w:rPr>
                <w:rFonts w:ascii="Arial" w:cs="Arial" w:eastAsia="Arial" w:hAnsi="Arial"/>
                <w:sz w:val="22"/>
                <w:szCs w:val="22"/>
                <w:color w:val="auto"/>
              </w:rPr>
              <w:t>Non-Exclusivity and Survival of Rights; Amendments</w:t>
            </w:r>
          </w:p>
        </w:tc>
        <w:tc>
          <w:tcPr>
            <w:tcW w:w="29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6.4</w:t>
            </w:r>
          </w:p>
        </w:tc>
        <w:tc>
          <w:tcPr>
            <w:tcW w:w="7420" w:type="dxa"/>
            <w:vAlign w:val="bottom"/>
          </w:tcPr>
          <w:p>
            <w:pPr>
              <w:ind w:left="40"/>
              <w:spacing w:after="0"/>
              <w:rPr>
                <w:sz w:val="20"/>
                <w:szCs w:val="20"/>
                <w:color w:val="auto"/>
              </w:rPr>
            </w:pPr>
            <w:r>
              <w:rPr>
                <w:rFonts w:ascii="Arial" w:cs="Arial" w:eastAsia="Arial" w:hAnsi="Arial"/>
                <w:sz w:val="22"/>
                <w:szCs w:val="22"/>
                <w:color w:val="auto"/>
              </w:rPr>
              <w:t>Determination; Claim</w:t>
            </w:r>
          </w:p>
        </w:tc>
        <w:tc>
          <w:tcPr>
            <w:tcW w:w="29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6.5</w:t>
            </w:r>
          </w:p>
        </w:tc>
        <w:tc>
          <w:tcPr>
            <w:tcW w:w="7420" w:type="dxa"/>
            <w:vAlign w:val="bottom"/>
          </w:tcPr>
          <w:p>
            <w:pPr>
              <w:ind w:left="40"/>
              <w:spacing w:after="0"/>
              <w:rPr>
                <w:sz w:val="20"/>
                <w:szCs w:val="20"/>
                <w:color w:val="auto"/>
              </w:rPr>
            </w:pPr>
            <w:r>
              <w:rPr>
                <w:rFonts w:ascii="Arial" w:cs="Arial" w:eastAsia="Arial" w:hAnsi="Arial"/>
                <w:sz w:val="22"/>
                <w:szCs w:val="22"/>
                <w:color w:val="auto"/>
              </w:rPr>
              <w:t>Insurance</w:t>
            </w:r>
          </w:p>
        </w:tc>
        <w:tc>
          <w:tcPr>
            <w:tcW w:w="29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6.6</w:t>
            </w:r>
          </w:p>
        </w:tc>
        <w:tc>
          <w:tcPr>
            <w:tcW w:w="7420" w:type="dxa"/>
            <w:vAlign w:val="bottom"/>
          </w:tcPr>
          <w:p>
            <w:pPr>
              <w:ind w:left="40"/>
              <w:spacing w:after="0"/>
              <w:rPr>
                <w:sz w:val="20"/>
                <w:szCs w:val="20"/>
                <w:color w:val="auto"/>
              </w:rPr>
            </w:pPr>
            <w:r>
              <w:rPr>
                <w:rFonts w:ascii="Arial" w:cs="Arial" w:eastAsia="Arial" w:hAnsi="Arial"/>
                <w:sz w:val="22"/>
                <w:szCs w:val="22"/>
                <w:color w:val="auto"/>
              </w:rPr>
              <w:t>Severability</w:t>
            </w:r>
          </w:p>
        </w:tc>
        <w:tc>
          <w:tcPr>
            <w:tcW w:w="29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6.7</w:t>
            </w:r>
          </w:p>
        </w:tc>
        <w:tc>
          <w:tcPr>
            <w:tcW w:w="7420" w:type="dxa"/>
            <w:vAlign w:val="bottom"/>
          </w:tcPr>
          <w:p>
            <w:pPr>
              <w:ind w:left="40"/>
              <w:spacing w:after="0"/>
              <w:rPr>
                <w:sz w:val="20"/>
                <w:szCs w:val="20"/>
                <w:color w:val="auto"/>
              </w:rPr>
            </w:pPr>
            <w:r>
              <w:rPr>
                <w:rFonts w:ascii="Arial" w:cs="Arial" w:eastAsia="Arial" w:hAnsi="Arial"/>
                <w:sz w:val="22"/>
                <w:szCs w:val="22"/>
                <w:color w:val="auto"/>
              </w:rPr>
              <w:t>Reliance</w:t>
            </w:r>
          </w:p>
        </w:tc>
        <w:tc>
          <w:tcPr>
            <w:tcW w:w="29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6.8</w:t>
            </w:r>
          </w:p>
        </w:tc>
        <w:tc>
          <w:tcPr>
            <w:tcW w:w="7420" w:type="dxa"/>
            <w:vAlign w:val="bottom"/>
          </w:tcPr>
          <w:p>
            <w:pPr>
              <w:ind w:left="40"/>
              <w:spacing w:after="0"/>
              <w:rPr>
                <w:sz w:val="20"/>
                <w:szCs w:val="20"/>
                <w:color w:val="auto"/>
              </w:rPr>
            </w:pPr>
            <w:r>
              <w:rPr>
                <w:rFonts w:ascii="Arial" w:cs="Arial" w:eastAsia="Arial" w:hAnsi="Arial"/>
                <w:sz w:val="22"/>
                <w:szCs w:val="22"/>
                <w:color w:val="auto"/>
              </w:rPr>
              <w:t>Indemnification of Other Persons</w:t>
            </w:r>
          </w:p>
        </w:tc>
        <w:tc>
          <w:tcPr>
            <w:tcW w:w="2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6.9</w:t>
            </w:r>
          </w:p>
        </w:tc>
        <w:tc>
          <w:tcPr>
            <w:tcW w:w="7420" w:type="dxa"/>
            <w:vAlign w:val="bottom"/>
          </w:tcPr>
          <w:p>
            <w:pPr>
              <w:ind w:left="40"/>
              <w:spacing w:after="0"/>
              <w:rPr>
                <w:sz w:val="20"/>
                <w:szCs w:val="20"/>
                <w:color w:val="auto"/>
              </w:rPr>
            </w:pPr>
            <w:r>
              <w:rPr>
                <w:rFonts w:ascii="Arial" w:cs="Arial" w:eastAsia="Arial" w:hAnsi="Arial"/>
                <w:sz w:val="22"/>
                <w:szCs w:val="22"/>
                <w:color w:val="auto"/>
              </w:rPr>
              <w:t>Indemnification for Successful Defense</w:t>
            </w:r>
          </w:p>
        </w:tc>
        <w:tc>
          <w:tcPr>
            <w:tcW w:w="2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7840" w:type="dxa"/>
            <w:vAlign w:val="bottom"/>
            <w:gridSpan w:val="2"/>
          </w:tcPr>
          <w:p>
            <w:pPr>
              <w:spacing w:after="0"/>
              <w:rPr>
                <w:sz w:val="20"/>
                <w:szCs w:val="20"/>
                <w:color w:val="auto"/>
              </w:rPr>
            </w:pPr>
            <w:r>
              <w:rPr>
                <w:rFonts w:ascii="Arial" w:cs="Arial" w:eastAsia="Arial" w:hAnsi="Arial"/>
                <w:sz w:val="22"/>
                <w:szCs w:val="22"/>
                <w:color w:val="010000"/>
              </w:rPr>
              <w:t xml:space="preserve">Article 7 </w:t>
            </w:r>
            <w:r>
              <w:rPr>
                <w:rFonts w:ascii="Arial" w:cs="Arial" w:eastAsia="Arial" w:hAnsi="Arial"/>
                <w:sz w:val="22"/>
                <w:szCs w:val="22"/>
                <w:color w:val="000000"/>
              </w:rPr>
              <w:t>Capital Stock</w:t>
            </w:r>
          </w:p>
        </w:tc>
        <w:tc>
          <w:tcPr>
            <w:tcW w:w="2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7.1</w:t>
            </w:r>
          </w:p>
        </w:tc>
        <w:tc>
          <w:tcPr>
            <w:tcW w:w="7420" w:type="dxa"/>
            <w:vAlign w:val="bottom"/>
          </w:tcPr>
          <w:p>
            <w:pPr>
              <w:ind w:left="40"/>
              <w:spacing w:after="0"/>
              <w:rPr>
                <w:sz w:val="20"/>
                <w:szCs w:val="20"/>
                <w:color w:val="auto"/>
              </w:rPr>
            </w:pPr>
            <w:r>
              <w:rPr>
                <w:rFonts w:ascii="Arial" w:cs="Arial" w:eastAsia="Arial" w:hAnsi="Arial"/>
                <w:sz w:val="22"/>
                <w:szCs w:val="22"/>
                <w:color w:val="auto"/>
              </w:rPr>
              <w:t>Certificates for Shares</w:t>
            </w:r>
          </w:p>
        </w:tc>
        <w:tc>
          <w:tcPr>
            <w:tcW w:w="29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7.2</w:t>
            </w:r>
          </w:p>
        </w:tc>
        <w:tc>
          <w:tcPr>
            <w:tcW w:w="7420" w:type="dxa"/>
            <w:vAlign w:val="bottom"/>
          </w:tcPr>
          <w:p>
            <w:pPr>
              <w:ind w:left="40"/>
              <w:spacing w:after="0"/>
              <w:rPr>
                <w:sz w:val="20"/>
                <w:szCs w:val="20"/>
                <w:color w:val="auto"/>
              </w:rPr>
            </w:pPr>
            <w:r>
              <w:rPr>
                <w:rFonts w:ascii="Arial" w:cs="Arial" w:eastAsia="Arial" w:hAnsi="Arial"/>
                <w:sz w:val="22"/>
                <w:szCs w:val="22"/>
                <w:color w:val="auto"/>
              </w:rPr>
              <w:t>Signatures on Certificates</w:t>
            </w:r>
          </w:p>
        </w:tc>
        <w:tc>
          <w:tcPr>
            <w:tcW w:w="2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7.3</w:t>
            </w:r>
          </w:p>
        </w:tc>
        <w:tc>
          <w:tcPr>
            <w:tcW w:w="7420" w:type="dxa"/>
            <w:vAlign w:val="bottom"/>
          </w:tcPr>
          <w:p>
            <w:pPr>
              <w:ind w:left="40"/>
              <w:spacing w:after="0"/>
              <w:rPr>
                <w:sz w:val="20"/>
                <w:szCs w:val="20"/>
                <w:color w:val="auto"/>
              </w:rPr>
            </w:pPr>
            <w:r>
              <w:rPr>
                <w:rFonts w:ascii="Arial" w:cs="Arial" w:eastAsia="Arial" w:hAnsi="Arial"/>
                <w:sz w:val="22"/>
                <w:szCs w:val="22"/>
                <w:color w:val="auto"/>
              </w:rPr>
              <w:t>Transfer of Stock</w:t>
            </w:r>
          </w:p>
        </w:tc>
        <w:tc>
          <w:tcPr>
            <w:tcW w:w="2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7.4</w:t>
            </w:r>
          </w:p>
        </w:tc>
        <w:tc>
          <w:tcPr>
            <w:tcW w:w="7420" w:type="dxa"/>
            <w:vAlign w:val="bottom"/>
          </w:tcPr>
          <w:p>
            <w:pPr>
              <w:ind w:left="40"/>
              <w:spacing w:after="0"/>
              <w:rPr>
                <w:sz w:val="20"/>
                <w:szCs w:val="20"/>
                <w:color w:val="auto"/>
              </w:rPr>
            </w:pPr>
            <w:r>
              <w:rPr>
                <w:rFonts w:ascii="Arial" w:cs="Arial" w:eastAsia="Arial" w:hAnsi="Arial"/>
                <w:sz w:val="22"/>
                <w:szCs w:val="22"/>
                <w:color w:val="auto"/>
              </w:rPr>
              <w:t>Registered Stockholders</w:t>
            </w:r>
          </w:p>
        </w:tc>
        <w:tc>
          <w:tcPr>
            <w:tcW w:w="2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7.5</w:t>
            </w:r>
          </w:p>
        </w:tc>
        <w:tc>
          <w:tcPr>
            <w:tcW w:w="7420" w:type="dxa"/>
            <w:vAlign w:val="bottom"/>
          </w:tcPr>
          <w:p>
            <w:pPr>
              <w:ind w:left="40"/>
              <w:spacing w:after="0"/>
              <w:rPr>
                <w:sz w:val="20"/>
                <w:szCs w:val="20"/>
                <w:color w:val="auto"/>
              </w:rPr>
            </w:pPr>
            <w:r>
              <w:rPr>
                <w:rFonts w:ascii="Arial" w:cs="Arial" w:eastAsia="Arial" w:hAnsi="Arial"/>
                <w:sz w:val="22"/>
                <w:szCs w:val="22"/>
                <w:color w:val="auto"/>
              </w:rPr>
              <w:t>Lost, Stolen or Destroyed Certificates</w:t>
            </w:r>
          </w:p>
        </w:tc>
        <w:tc>
          <w:tcPr>
            <w:tcW w:w="2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7840" w:type="dxa"/>
            <w:vAlign w:val="bottom"/>
            <w:gridSpan w:val="2"/>
          </w:tcPr>
          <w:p>
            <w:pPr>
              <w:spacing w:after="0"/>
              <w:rPr>
                <w:sz w:val="20"/>
                <w:szCs w:val="20"/>
                <w:color w:val="auto"/>
              </w:rPr>
            </w:pPr>
            <w:r>
              <w:rPr>
                <w:rFonts w:ascii="Arial" w:cs="Arial" w:eastAsia="Arial" w:hAnsi="Arial"/>
                <w:sz w:val="22"/>
                <w:szCs w:val="22"/>
                <w:color w:val="010000"/>
              </w:rPr>
              <w:t xml:space="preserve">Article 8 </w:t>
            </w:r>
            <w:r>
              <w:rPr>
                <w:rFonts w:ascii="Arial" w:cs="Arial" w:eastAsia="Arial" w:hAnsi="Arial"/>
                <w:sz w:val="22"/>
                <w:szCs w:val="22"/>
                <w:color w:val="000000"/>
              </w:rPr>
              <w:t>General Provisions</w:t>
            </w:r>
          </w:p>
        </w:tc>
        <w:tc>
          <w:tcPr>
            <w:tcW w:w="2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8.1</w:t>
            </w:r>
          </w:p>
        </w:tc>
        <w:tc>
          <w:tcPr>
            <w:tcW w:w="7420" w:type="dxa"/>
            <w:vAlign w:val="bottom"/>
          </w:tcPr>
          <w:p>
            <w:pPr>
              <w:ind w:left="40"/>
              <w:spacing w:after="0"/>
              <w:rPr>
                <w:sz w:val="20"/>
                <w:szCs w:val="20"/>
                <w:color w:val="auto"/>
              </w:rPr>
            </w:pPr>
            <w:r>
              <w:rPr>
                <w:rFonts w:ascii="Arial" w:cs="Arial" w:eastAsia="Arial" w:hAnsi="Arial"/>
                <w:sz w:val="22"/>
                <w:szCs w:val="22"/>
                <w:color w:val="auto"/>
              </w:rPr>
              <w:t>Dividends</w:t>
            </w:r>
          </w:p>
        </w:tc>
        <w:tc>
          <w:tcPr>
            <w:tcW w:w="29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8.2</w:t>
            </w:r>
          </w:p>
        </w:tc>
        <w:tc>
          <w:tcPr>
            <w:tcW w:w="7420" w:type="dxa"/>
            <w:vAlign w:val="bottom"/>
          </w:tcPr>
          <w:p>
            <w:pPr>
              <w:ind w:left="40"/>
              <w:spacing w:after="0"/>
              <w:rPr>
                <w:sz w:val="20"/>
                <w:szCs w:val="20"/>
                <w:color w:val="auto"/>
              </w:rPr>
            </w:pPr>
            <w:r>
              <w:rPr>
                <w:rFonts w:ascii="Arial" w:cs="Arial" w:eastAsia="Arial" w:hAnsi="Arial"/>
                <w:sz w:val="22"/>
                <w:szCs w:val="22"/>
                <w:color w:val="auto"/>
              </w:rPr>
              <w:t>Checks</w:t>
            </w:r>
          </w:p>
        </w:tc>
        <w:tc>
          <w:tcPr>
            <w:tcW w:w="2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8.3</w:t>
            </w:r>
          </w:p>
        </w:tc>
        <w:tc>
          <w:tcPr>
            <w:tcW w:w="7420" w:type="dxa"/>
            <w:vAlign w:val="bottom"/>
          </w:tcPr>
          <w:p>
            <w:pPr>
              <w:ind w:left="40"/>
              <w:spacing w:after="0"/>
              <w:rPr>
                <w:sz w:val="20"/>
                <w:szCs w:val="20"/>
                <w:color w:val="auto"/>
              </w:rPr>
            </w:pPr>
            <w:r>
              <w:rPr>
                <w:rFonts w:ascii="Arial" w:cs="Arial" w:eastAsia="Arial" w:hAnsi="Arial"/>
                <w:sz w:val="22"/>
                <w:szCs w:val="22"/>
                <w:color w:val="auto"/>
              </w:rPr>
              <w:t>Corporate Seal</w:t>
            </w:r>
          </w:p>
        </w:tc>
        <w:tc>
          <w:tcPr>
            <w:tcW w:w="2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8.4</w:t>
            </w:r>
          </w:p>
        </w:tc>
        <w:tc>
          <w:tcPr>
            <w:tcW w:w="7420" w:type="dxa"/>
            <w:vAlign w:val="bottom"/>
          </w:tcPr>
          <w:p>
            <w:pPr>
              <w:ind w:left="40"/>
              <w:spacing w:after="0"/>
              <w:rPr>
                <w:sz w:val="20"/>
                <w:szCs w:val="20"/>
                <w:color w:val="auto"/>
              </w:rPr>
            </w:pPr>
            <w:r>
              <w:rPr>
                <w:rFonts w:ascii="Arial" w:cs="Arial" w:eastAsia="Arial" w:hAnsi="Arial"/>
                <w:sz w:val="22"/>
                <w:szCs w:val="22"/>
                <w:color w:val="auto"/>
              </w:rPr>
              <w:t>Execution of Corporate Contracts and Instruments</w:t>
            </w:r>
          </w:p>
        </w:tc>
        <w:tc>
          <w:tcPr>
            <w:tcW w:w="2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010000"/>
              </w:rPr>
              <w:t>8.5</w:t>
            </w:r>
          </w:p>
        </w:tc>
        <w:tc>
          <w:tcPr>
            <w:tcW w:w="7420" w:type="dxa"/>
            <w:vAlign w:val="bottom"/>
          </w:tcPr>
          <w:p>
            <w:pPr>
              <w:ind w:left="40"/>
              <w:spacing w:after="0"/>
              <w:rPr>
                <w:sz w:val="20"/>
                <w:szCs w:val="20"/>
                <w:color w:val="auto"/>
              </w:rPr>
            </w:pPr>
            <w:r>
              <w:rPr>
                <w:rFonts w:ascii="Arial" w:cs="Arial" w:eastAsia="Arial" w:hAnsi="Arial"/>
                <w:sz w:val="22"/>
                <w:szCs w:val="22"/>
                <w:color w:val="auto"/>
              </w:rPr>
              <w:t>Representation of Shares of Other Corporations</w:t>
            </w:r>
          </w:p>
        </w:tc>
        <w:tc>
          <w:tcPr>
            <w:tcW w:w="2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0"/>
        </w:trPr>
        <w:tc>
          <w:tcPr>
            <w:tcW w:w="7840" w:type="dxa"/>
            <w:vAlign w:val="bottom"/>
            <w:gridSpan w:val="2"/>
          </w:tcPr>
          <w:p>
            <w:pPr>
              <w:spacing w:after="0"/>
              <w:rPr>
                <w:sz w:val="20"/>
                <w:szCs w:val="20"/>
                <w:color w:val="auto"/>
              </w:rPr>
            </w:pPr>
            <w:r>
              <w:rPr>
                <w:rFonts w:ascii="Arial" w:cs="Arial" w:eastAsia="Arial" w:hAnsi="Arial"/>
                <w:sz w:val="22"/>
                <w:szCs w:val="22"/>
                <w:color w:val="010000"/>
              </w:rPr>
              <w:t xml:space="preserve">Article 9 </w:t>
            </w:r>
            <w:r>
              <w:rPr>
                <w:rFonts w:ascii="Arial" w:cs="Arial" w:eastAsia="Arial" w:hAnsi="Arial"/>
                <w:sz w:val="22"/>
                <w:szCs w:val="22"/>
                <w:color w:val="000000"/>
              </w:rPr>
              <w:t>Amendments</w:t>
            </w:r>
          </w:p>
        </w:tc>
        <w:tc>
          <w:tcPr>
            <w:tcW w:w="29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74"/>
        </w:trPr>
        <w:tc>
          <w:tcPr>
            <w:tcW w:w="7840" w:type="dxa"/>
            <w:vAlign w:val="bottom"/>
            <w:gridSpan w:val="2"/>
          </w:tcPr>
          <w:p>
            <w:pPr>
              <w:spacing w:after="0"/>
              <w:rPr>
                <w:sz w:val="20"/>
                <w:szCs w:val="20"/>
                <w:color w:val="auto"/>
              </w:rPr>
            </w:pPr>
            <w:r>
              <w:rPr>
                <w:rFonts w:ascii="Arial" w:cs="Arial" w:eastAsia="Arial" w:hAnsi="Arial"/>
                <w:sz w:val="22"/>
                <w:szCs w:val="22"/>
                <w:color w:val="010000"/>
              </w:rPr>
              <w:t xml:space="preserve">Article 10 </w:t>
            </w:r>
            <w:r>
              <w:rPr>
                <w:rFonts w:ascii="Arial" w:cs="Arial" w:eastAsia="Arial" w:hAnsi="Arial"/>
                <w:sz w:val="22"/>
                <w:szCs w:val="22"/>
                <w:color w:val="000000"/>
              </w:rPr>
              <w:t>Exclusive Forum</w:t>
            </w:r>
          </w:p>
        </w:tc>
        <w:tc>
          <w:tcPr>
            <w:tcW w:w="292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200" w:lineRule="exact"/>
        <w:rPr>
          <w:sz w:val="20"/>
          <w:szCs w:val="20"/>
          <w:color w:val="auto"/>
        </w:rPr>
      </w:pPr>
    </w:p>
    <w:p>
      <w:pPr>
        <w:sectPr>
          <w:pgSz w:w="11900" w:h="16838" w:orient="portrait"/>
          <w:cols w:equalWidth="0" w:num="1">
            <w:col w:w="10760"/>
          </w:cols>
          <w:pgMar w:left="40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760"/>
          </w:cols>
          <w:pgMar w:left="400" w:top="1440" w:right="7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jc w:val="center"/>
        <w:ind w:right="-19"/>
        <w:spacing w:after="0" w:line="233"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VERACYTE,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Delaware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w:t>
      </w:r>
    </w:p>
    <w:p>
      <w:pPr>
        <w:spacing w:after="0" w:line="20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color w:val="000000"/>
        </w:rPr>
        <w:t>Registered Office. The registered office of the corporation shall be set forth in the certificate of incorporation of the</w:t>
      </w:r>
      <w:r>
        <w:rPr>
          <w:rFonts w:ascii="Arial" w:cs="Arial" w:eastAsia="Arial" w:hAnsi="Arial"/>
          <w:sz w:val="22"/>
          <w:szCs w:val="22"/>
          <w:color w:val="010000"/>
        </w:rPr>
        <w:t xml:space="preserve"> </w:t>
      </w:r>
      <w:r>
        <w:rPr>
          <w:rFonts w:ascii="Arial" w:cs="Arial" w:eastAsia="Arial" w:hAnsi="Arial"/>
          <w:sz w:val="22"/>
          <w:szCs w:val="22"/>
          <w:color w:val="000000"/>
        </w:rPr>
        <w:t>corporation (the “Certificate of Incorporation”).</w:t>
      </w:r>
    </w:p>
    <w:p>
      <w:pPr>
        <w:spacing w:after="0" w:line="188" w:lineRule="exact"/>
        <w:rPr>
          <w:sz w:val="20"/>
          <w:szCs w:val="20"/>
          <w:color w:val="auto"/>
        </w:rPr>
      </w:pPr>
    </w:p>
    <w:p>
      <w:pPr>
        <w:jc w:val="both"/>
        <w:ind w:right="560" w:firstLine="648"/>
        <w:spacing w:after="0"/>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color w:val="000000"/>
        </w:rPr>
        <w:t>Other Offices. The corporation may also have offices at such other places, either within or without the State of</w:t>
      </w:r>
      <w:r>
        <w:rPr>
          <w:rFonts w:ascii="Arial" w:cs="Arial" w:eastAsia="Arial" w:hAnsi="Arial"/>
          <w:sz w:val="22"/>
          <w:szCs w:val="22"/>
          <w:color w:val="010000"/>
        </w:rPr>
        <w:t xml:space="preserve"> </w:t>
      </w:r>
      <w:r>
        <w:rPr>
          <w:rFonts w:ascii="Arial" w:cs="Arial" w:eastAsia="Arial" w:hAnsi="Arial"/>
          <w:sz w:val="22"/>
          <w:szCs w:val="22"/>
          <w:color w:val="000000"/>
        </w:rPr>
        <w:t>Delaware, as the board of directors of the corporation (the “Board”) may from time to time designate or the business of the corporation may require.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MEETING OF STOCKHOLDERS</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color w:val="010000"/>
        </w:rPr>
        <w:t xml:space="preserve">2.1 </w:t>
      </w:r>
      <w:r>
        <w:rPr>
          <w:rFonts w:ascii="Arial" w:cs="Arial" w:eastAsia="Arial" w:hAnsi="Arial"/>
          <w:sz w:val="21"/>
          <w:szCs w:val="21"/>
          <w:color w:val="000000"/>
        </w:rPr>
        <w:t>Place of Meeting. Meetings of stockholders may be held at such place, either within or without the State of</w:t>
      </w:r>
      <w:r>
        <w:rPr>
          <w:rFonts w:ascii="Arial" w:cs="Arial" w:eastAsia="Arial" w:hAnsi="Arial"/>
          <w:sz w:val="21"/>
          <w:szCs w:val="21"/>
          <w:color w:val="010000"/>
        </w:rPr>
        <w:t xml:space="preserve"> </w:t>
      </w:r>
      <w:r>
        <w:rPr>
          <w:rFonts w:ascii="Arial" w:cs="Arial" w:eastAsia="Arial" w:hAnsi="Arial"/>
          <w:sz w:val="21"/>
          <w:szCs w:val="21"/>
          <w:color w:val="000000"/>
        </w:rPr>
        <w:t>Delaware, 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 The Board may postpone, reschedule or cancel at any time and for any reason any previously scheduled special or annual meeting of stockholders, before or after the notice for such meeting has been sent to the stockholders.</w:t>
      </w:r>
    </w:p>
    <w:p>
      <w:pPr>
        <w:spacing w:after="0" w:line="187" w:lineRule="exact"/>
        <w:rPr>
          <w:sz w:val="20"/>
          <w:szCs w:val="20"/>
          <w:color w:val="auto"/>
        </w:rPr>
      </w:pPr>
    </w:p>
    <w:p>
      <w:pPr>
        <w:ind w:right="120" w:firstLine="648"/>
        <w:spacing w:after="0" w:line="239"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Annual Meeting. Annual meetings of stockholders shall be held each year at such date and time as shall be</w:t>
      </w:r>
      <w:r>
        <w:rPr>
          <w:rFonts w:ascii="Arial" w:cs="Arial" w:eastAsia="Arial" w:hAnsi="Arial"/>
          <w:sz w:val="22"/>
          <w:szCs w:val="22"/>
          <w:color w:val="010000"/>
        </w:rPr>
        <w:t xml:space="preserve"> </w:t>
      </w:r>
      <w:r>
        <w:rPr>
          <w:rFonts w:ascii="Arial" w:cs="Arial" w:eastAsia="Arial" w:hAnsi="Arial"/>
          <w:sz w:val="22"/>
          <w:szCs w:val="22"/>
          <w:color w:val="000000"/>
        </w:rPr>
        <w:t>designated from time to time by the Board and stated in the notice of the meeting. At each such annual meeting, the stockholders shall elect the number of directors equal to the number of directors whose term expires at such meeting (or, if fewer, the number of directors properly nominated and qualified for election). The stockholders shall also transact such other business as may properly be brought before the meeting.</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To be properly brought before the annual meeting, business must be (a) specified in the notice of meeting (or any</w:t>
      </w:r>
    </w:p>
    <w:p>
      <w:pPr>
        <w:spacing w:after="0" w:line="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supplement thereto) given by or at the direction of the Board (or a committee thereof), (b) otherwise properly brought before the meeting by or at the direction of the Board, or (c) otherwise properly brought before the meeting by a stockholder who is a stockholder of record of the corporation (and, with respect to any beneficial owner, if different, on whose behalf such business is proposed, only if such beneficial owner was the beneficial owner of shares of the corporation) at the time of giving of the notice provided for in this Section and at the time of the annual meeting, who is entitled to vote at the meeting, and who timely complies with the notice, information and other procedures and requirements set forth in this Section. The requirements of this Section shall apply to any business to be brought before an annual meeting by a stockholder, other than (i) the nomination of a person for election as a director, which must be made in compliance with, and shall be exclusively governed by, Section</w:t>
      </w:r>
    </w:p>
    <w:p>
      <w:pPr>
        <w:sectPr>
          <w:pgSz w:w="11900" w:h="16838" w:orient="portrait"/>
          <w:cols w:equalWidth="0" w:num="1">
            <w:col w:w="11240"/>
          </w:cols>
          <w:pgMar w:left="320" w:top="1408" w:right="339" w:bottom="1440" w:gutter="0" w:footer="0" w:header="0"/>
        </w:sectPr>
      </w:pPr>
    </w:p>
    <w:bookmarkStart w:id="18" w:name="page19"/>
    <w:bookmarkEnd w:id="18"/>
    <w:p>
      <w:pPr>
        <w:ind w:right="20"/>
        <w:spacing w:after="0" w:line="251" w:lineRule="auto"/>
        <w:rPr>
          <w:sz w:val="20"/>
          <w:szCs w:val="20"/>
          <w:color w:val="auto"/>
        </w:rPr>
      </w:pPr>
      <w:r>
        <w:rPr>
          <w:rFonts w:ascii="Arial" w:cs="Arial" w:eastAsia="Arial" w:hAnsi="Arial"/>
          <w:sz w:val="21"/>
          <w:szCs w:val="21"/>
          <w:color w:val="auto"/>
        </w:rPr>
        <w:t>3.1 of these bylaws, and (ii) matters properly brought under Rule 14a-8 (or any successor rule or regulation) promulgated under the Securities Exchange Act of 1934 (the “Exchange Act”) and included in the corporation’s notice of meeting. In addition, if the stockholder, the beneficial owner, if any, or any associated person (as defined below) of such stockholder or beneficial owner has provided the corporation with a Solicitation Notice (as defined below), such stockholder, beneficial owner, if any, or associated person of such stockholder or beneficial owner must have delivered a proxy statement and form of proxy to holders of at least the percentage of the corporation’s capital stock required under applicable law to carry such proposals and must have included in such materials the Solicitation Notice. If no Solicitation Notice relating thereto has been timely provided pursuant to this Section 2.2, the stockholder, the beneficial owner, if any, or any associated person of such stockholder or beneficial owner proposing such business must not have solicited a number of proxies sufficient to have required the delivery of such a Solicitation Notice under this Section 2.2.</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received by the Secretary of the corporation at the principal executive offices of the corporation not earlier than 5:00 p.m. Eastern Time on the 120th day nor later than 5:00 p.m. Eastern Time on the 90th day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5:00 p.m. Eastern Time on the later of (x) the 90th day prior to the date of such scheduled annual meeting and (y) the 10th day following the earlier to occur of the day on which notice of the date of the scheduled annual meeting was given or day on which public announcement (as defined below) of the date of such scheduled annual meeting was first made. In no event shall any adjournment, postponement or rescheduling (or a public announcement thereof) of an annual meeting for which notice has been given or a public announcement of the meeting date has been made commence a new time period (or extend any time period) for the giving of the stockholder’s notice as described above.</w:t>
      </w:r>
    </w:p>
    <w:p>
      <w:pPr>
        <w:spacing w:after="0" w:line="155" w:lineRule="exact"/>
        <w:rPr>
          <w:sz w:val="20"/>
          <w:szCs w:val="20"/>
          <w:color w:val="auto"/>
        </w:rPr>
      </w:pPr>
    </w:p>
    <w:p>
      <w:pPr>
        <w:ind w:right="120" w:firstLine="648"/>
        <w:spacing w:after="0" w:line="280" w:lineRule="auto"/>
        <w:rPr>
          <w:sz w:val="20"/>
          <w:szCs w:val="20"/>
          <w:color w:val="auto"/>
        </w:rPr>
      </w:pPr>
      <w:r>
        <w:rPr>
          <w:rFonts w:ascii="Arial" w:cs="Arial" w:eastAsia="Arial" w:hAnsi="Arial"/>
          <w:sz w:val="19"/>
          <w:szCs w:val="19"/>
          <w:color w:val="auto"/>
        </w:rPr>
        <w:t>A stockholder’s notice to the Secretary shall set forth the following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and (ii) as to the stockholder giving the notice, the beneficial owner, if any, on whose behalf the business is being proposed and any associated person of such stockholder or beneficial owner,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19"/>
          <w:szCs w:val="19"/>
          <w:color w:val="auto"/>
        </w:rPr>
        <w:t>certification regarding whether such stockholder, beneficial owner, if any, and any associated person of such stockholder or beneficial owner has complied with all applicable federal, state and other legal requirements in connection with such stockholder’s, beneficial owner’s and any associated person’s of such stockholder or beneficial owner acquisition of shares of capital stock or other securities of the corporation and/or such stockholder’s, beneficial owner’s and any associated person’s of such stockholder or beneficial owner acts or omissions as a stockholder of the corporation, (D) any material interest (including any substantial interest within the meaning of Item 5 of Schedule 14A under the Exchange Act) in such business of the stockholder, the beneficial owner, if any, and any associated person of the stockholder or the beneficial owner, (E) a representation (x) as to whether or not the stockholder, any beneficial owner or any other participant (used herein as defined in Item 4 of Schedule 14A under the Exchange Act) will engage in a solicitation within the meaning of Exchange Act Rule 14a-1(l) with respect to the business proposal and, if so, the name of each participant in such solicitation and the amount of the cost of the solicitation that has been and will be borne (directly or indirectly) by each participant in such solicitation and (y) as to whether the stockholder, the beneficial owner, if any, or any associated person of such stockholder or beneficial owner intends, or is or intends to be part of a group that intends, to (i) deliver, or make available, a proxy statement and/or form of proxy to holders of at least the percentage of the corporation’s outstanding shares that, together with shares owned by the stockholder, the beneficial owner or associated person of such stockholder or beneficial owner and any such group, would be required to approve or adopt such business and/or (ii) otherwise to solicit proxies from stockholders in support of such business (an affirmative statement of such intent to solicit in accordance with the foregoing clause (E)(y)(i) being a “Solicitation Notice”), and (F) 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 a stockholder proposal; (G) the class, series and number of shares of the corporation that are owned beneficially by the stockholder or beneficial owner and any associated person thereof as of the date of the notice, (H)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 (I) a representation that the stockholder will provide the corporation in writing the information required by clauses (A) through (J) of this paragraph updated as of the record date for the meeting promptly following the later of the record date or the date on which public announcement of the record date was first made, (J) a description of any agreement, arrangement or understanding with respect to such business between or among the stockholder or beneficial owner and any associated person thereof, and any other person or persons, on the other hand, (including their names) in connection with such business (and/or the voting of shares of any class or series of capital stock of the corporation) (including any agreement that would be required to be disclosed pursuant to Item 5 or Item 6 of Schedule 13D under the Exchange Act (or any successor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4" w:right="359" w:bottom="1440" w:gutter="0" w:footer="0" w:header="0"/>
        </w:sectPr>
      </w:pPr>
    </w:p>
    <w:bookmarkStart w:id="20" w:name="page21"/>
    <w:bookmarkEnd w:id="20"/>
    <w:p>
      <w:pPr>
        <w:ind w:right="80"/>
        <w:spacing w:after="0" w:line="241" w:lineRule="auto"/>
        <w:rPr>
          <w:sz w:val="20"/>
          <w:szCs w:val="20"/>
          <w:color w:val="auto"/>
        </w:rPr>
      </w:pPr>
      <w:r>
        <w:rPr>
          <w:rFonts w:ascii="Arial" w:cs="Arial" w:eastAsia="Arial" w:hAnsi="Arial"/>
          <w:sz w:val="22"/>
          <w:szCs w:val="22"/>
          <w:color w:val="auto"/>
        </w:rPr>
        <w:t>regardless of whether the requirement to file a Schedule 13D is applicable to the stockholder, beneficial owner or associated person of such stockholder or beneficial owner), and (iv) a representation that the stockholder (or a qualified representative (as defined below) of the stockholder) intends to appear at the meeting (including virtually in the case of a meeting conducted solely by means of remote communications) to propose such business.</w:t>
      </w:r>
    </w:p>
    <w:p>
      <w:pPr>
        <w:spacing w:after="0" w:line="19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Notwithstanding anything in these bylaws to the contrary, (a) no business shall be conducted at the annual meeting except in accordance with the procedures set forth in this Section; and (b) unless otherwise required by law, if a stockholder intending to propose business at an annual meeting pursuant to the preceding paragraph does not provide the updated information required under clause (ii) of the preceding paragraph to the corporation promptly following the later of the record date or the date on which public announcement of the record date was first made, the stockholder (or a qualified representative of the stockholder) does not appear at the meeting to present the proposed business or any stockholder, beneficial owner or an associated person of such stockholder or beneficial owner acted contrary to any representation, certification or agreement required by this Section 2.2 or otherwise failed to comply with this Section 2.2 (or any law, rule or regulation identified in this Section 2.2) or provided false or misleading information to the corporation, such business shall not be transacted, notwithstanding that proxies in respect of such business may have been received by the corporation. For purposes of these bylaws, to be considered a “qualified representative” of the stockholder, a person must be a duly authorized officer, manager, trustee or partner of such stockholder or authorized by a writing executed by such stockholder (or a reliable reproduction or electronic transmission of the writing) delivered to the corporation at least 5 business days prior to the meeting by the 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and any violation thereof shall be deemed a violation of these bylaws; provided, however, that any references in this Section to the Exchange Act or the rules and regulations thereunder are not intended to and shall not limit the requirements applicable to proposals as to any business to be considered pursuant to the preceding 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2.2 or Sections 2.3 or 3.1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 nominations of persons for election to the Board if and to the extent provided for under law, the Certificate of Incorporation, or these bylaws.</w:t>
      </w:r>
    </w:p>
    <w:p>
      <w:pPr>
        <w:spacing w:after="0" w:line="184" w:lineRule="exact"/>
        <w:rPr>
          <w:sz w:val="20"/>
          <w:szCs w:val="20"/>
          <w:color w:val="auto"/>
        </w:rPr>
      </w:pPr>
    </w:p>
    <w:p>
      <w:pPr>
        <w:jc w:val="both"/>
        <w:ind w:right="140" w:firstLine="648"/>
        <w:spacing w:after="0" w:line="305" w:lineRule="auto"/>
        <w:rPr>
          <w:sz w:val="20"/>
          <w:szCs w:val="20"/>
          <w:color w:val="auto"/>
        </w:rPr>
      </w:pPr>
      <w:r>
        <w:rPr>
          <w:rFonts w:ascii="Arial" w:cs="Arial" w:eastAsia="Arial" w:hAnsi="Arial"/>
          <w:sz w:val="19"/>
          <w:szCs w:val="19"/>
          <w:color w:val="auto"/>
        </w:rPr>
        <w:t>The Chair of the Board (or such other person presiding at the meeting in accordance with these bylaws) shall, if the facts warrant, determine and declare to the meeting that business was not properly brought before the meeting in accordance with the provisions of this Section (including a failure to comply with any law, rule or regulation identified herein), and if he or she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14" w:right="359" w:bottom="1440" w:gutter="0" w:footer="0" w:header="0"/>
        </w:sectPr>
      </w:pPr>
    </w:p>
    <w:bookmarkStart w:id="21" w:name="page22"/>
    <w:bookmarkEnd w:id="21"/>
    <w:p>
      <w:pPr>
        <w:ind w:right="420"/>
        <w:spacing w:after="0" w:line="250" w:lineRule="auto"/>
        <w:rPr>
          <w:sz w:val="20"/>
          <w:szCs w:val="20"/>
          <w:color w:val="auto"/>
        </w:rPr>
      </w:pPr>
      <w:r>
        <w:rPr>
          <w:rFonts w:ascii="Arial" w:cs="Arial" w:eastAsia="Arial" w:hAnsi="Arial"/>
          <w:sz w:val="22"/>
          <w:szCs w:val="22"/>
          <w:color w:val="auto"/>
        </w:rPr>
        <w:t>should so determine, he or she shall so declare to the meeting and any such business not properly brought before the meeting shall not be transacted.</w:t>
      </w:r>
    </w:p>
    <w:p>
      <w:pPr>
        <w:spacing w:after="0" w:line="188" w:lineRule="exact"/>
        <w:rPr>
          <w:sz w:val="20"/>
          <w:szCs w:val="20"/>
          <w:color w:val="auto"/>
        </w:rPr>
      </w:pPr>
    </w:p>
    <w:p>
      <w:pPr>
        <w:ind w:right="220" w:firstLine="648"/>
        <w:spacing w:after="0" w:line="285" w:lineRule="auto"/>
        <w:rPr>
          <w:sz w:val="20"/>
          <w:szCs w:val="20"/>
          <w:color w:val="auto"/>
        </w:rPr>
      </w:pPr>
      <w:r>
        <w:rPr>
          <w:rFonts w:ascii="Arial" w:cs="Arial" w:eastAsia="Arial" w:hAnsi="Arial"/>
          <w:sz w:val="19"/>
          <w:szCs w:val="19"/>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(the “SEC”)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w:t>
      </w:r>
    </w:p>
    <w:p>
      <w:pPr>
        <w:spacing w:after="0" w:line="144"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010000"/>
        </w:rPr>
        <w:t xml:space="preserve">2.3 </w:t>
      </w:r>
      <w:r>
        <w:rPr>
          <w:rFonts w:ascii="Arial" w:cs="Arial" w:eastAsia="Arial" w:hAnsi="Arial"/>
          <w:sz w:val="19"/>
          <w:szCs w:val="19"/>
          <w:color w:val="000000"/>
        </w:rPr>
        <w:t>Special Meetings. Special meetings of the stockholders may be called for any purpose or purposes, unless otherwise</w:t>
      </w:r>
      <w:r>
        <w:rPr>
          <w:rFonts w:ascii="Arial" w:cs="Arial" w:eastAsia="Arial" w:hAnsi="Arial"/>
          <w:sz w:val="19"/>
          <w:szCs w:val="19"/>
          <w:color w:val="010000"/>
        </w:rPr>
        <w:t xml:space="preserve"> </w:t>
      </w:r>
      <w:r>
        <w:rPr>
          <w:rFonts w:ascii="Arial" w:cs="Arial" w:eastAsia="Arial" w:hAnsi="Arial"/>
          <w:sz w:val="19"/>
          <w:szCs w:val="19"/>
          <w:color w:val="000000"/>
        </w:rPr>
        <w:t>prescribed by statute or by the Certificate of Incorporation, by the Secretary only at (a) the written request of the Chair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 If the election of directors is included as business to be brought before a special meeting in the corporation’s notice of meeting, then nominations of persons for election to the Board at a special meeting of stockholders may be made (a) by or at the direction of the Board or any committee thereof or (b)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and at the time of the special meeting, who is entitled to vote at the meeting and who delivers timely written notice to the Secretary of the corporation setting forth the information required by Section 3.1. To be timely, a stockholder’s notice must be received by the Secretary of the corporation at the principal executive offices of the corporation (A) not earlier than 5:00 p.m. Eastern Time on the day that is 120 days prior to the date of the special meeting nor (B) later than 5:00 p.m. Eastern Time on the day that is the later of 90 days prior to the date of the special meeting or, if the date of such special meeting is fewer than 90 days after the public announcement of the date of the special meeting, the 10th day following the day on which such public announcement was first made. A stockholder’s notice to the Secretary given pursuant to this Section 2.3 shall comply with the notice, information and other requirements of Section 3.1. Further, the stockholder must have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and the Board or an executive officer designated thereby shall have determined that the stockholder has satisfied the notice requirements of Section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3.1. In no event shall an adjournment or, postponement or rescheduling (or the public announcement thereof) of a special meeting commence a new time period (or extend any time period) for providing such notice. For the avoidance of doubt, the fifth through eighth paragraphs of Section 3.1 shall apply to stockholder notices relating to director nominations given in connection with special meetings of stockholders pursuant to this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4" w:right="359" w:bottom="1440" w:gutter="0" w:footer="0" w:header="0"/>
        </w:sectPr>
      </w:pPr>
    </w:p>
    <w:bookmarkStart w:id="22" w:name="page23"/>
    <w:bookmarkEnd w:id="22"/>
    <w:p>
      <w:pPr>
        <w:ind w:right="20" w:firstLine="648"/>
        <w:spacing w:after="0" w:line="282" w:lineRule="auto"/>
        <w:rPr>
          <w:sz w:val="20"/>
          <w:szCs w:val="20"/>
          <w:color w:val="auto"/>
        </w:rPr>
      </w:pPr>
      <w:r>
        <w:rPr>
          <w:rFonts w:ascii="Arial" w:cs="Arial" w:eastAsia="Arial" w:hAnsi="Arial"/>
          <w:sz w:val="19"/>
          <w:szCs w:val="19"/>
          <w:color w:val="010000"/>
        </w:rPr>
        <w:t xml:space="preserve">2.4 </w:t>
      </w:r>
      <w:r>
        <w:rPr>
          <w:rFonts w:ascii="Arial" w:cs="Arial" w:eastAsia="Arial" w:hAnsi="Arial"/>
          <w:sz w:val="19"/>
          <w:szCs w:val="19"/>
          <w:color w:val="000000"/>
        </w:rPr>
        <w:t>Notice of Meetings. Except as otherwise provided by law, notice of each meeting of stockholders, annual or special,</w:t>
      </w:r>
      <w:r>
        <w:rPr>
          <w:rFonts w:ascii="Arial" w:cs="Arial" w:eastAsia="Arial" w:hAnsi="Arial"/>
          <w:sz w:val="19"/>
          <w:szCs w:val="19"/>
          <w:color w:val="010000"/>
        </w:rPr>
        <w:t xml:space="preserve"> </w:t>
      </w:r>
      <w:r>
        <w:rPr>
          <w:rFonts w:ascii="Arial" w:cs="Arial" w:eastAsia="Arial" w:hAnsi="Arial"/>
          <w:sz w:val="19"/>
          <w:szCs w:val="19"/>
          <w:color w:val="000000"/>
        </w:rPr>
        <w:t>shall be given in accordance with applicable law (including, without limitation, as set forth in Article 5 of these bylaws) stating the place, if any, date and time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such special meeting is called, shall be given to each stockholder entitled to vote at such meeting as of the record date for determining the stockholders entitled to notice of the meeting not less than 10 nor more than 60 days before the date of the meeting, unless otherwise required by applicable law.</w:t>
      </w:r>
    </w:p>
    <w:p>
      <w:pPr>
        <w:spacing w:after="0" w:line="1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color w:val="010000"/>
        </w:rPr>
        <w:t xml:space="preserve">2.5 </w:t>
      </w:r>
      <w:r>
        <w:rPr>
          <w:rFonts w:ascii="Arial" w:cs="Arial" w:eastAsia="Arial" w:hAnsi="Arial"/>
          <w:sz w:val="19"/>
          <w:szCs w:val="19"/>
          <w:color w:val="000000"/>
        </w:rPr>
        <w:t>List of Stockholders. The corporation shall prepare and make, no later than the tenth (10</w:t>
      </w:r>
      <w:r>
        <w:rPr>
          <w:rFonts w:ascii="Arial" w:cs="Arial" w:eastAsia="Arial" w:hAnsi="Arial"/>
          <w:sz w:val="25"/>
          <w:szCs w:val="25"/>
          <w:color w:val="000000"/>
          <w:vertAlign w:val="superscript"/>
        </w:rPr>
        <w:t>th</w:t>
      </w:r>
      <w:r>
        <w:rPr>
          <w:rFonts w:ascii="Arial" w:cs="Arial" w:eastAsia="Arial" w:hAnsi="Arial"/>
          <w:sz w:val="19"/>
          <w:szCs w:val="19"/>
          <w:color w:val="000000"/>
        </w:rPr>
        <w:t>) day before each meeting</w:t>
      </w:r>
      <w:r>
        <w:rPr>
          <w:rFonts w:ascii="Arial" w:cs="Arial" w:eastAsia="Arial" w:hAnsi="Arial"/>
          <w:sz w:val="19"/>
          <w:szCs w:val="19"/>
          <w:color w:val="010000"/>
        </w:rPr>
        <w:t xml:space="preserve"> </w:t>
      </w:r>
      <w:r>
        <w:rPr>
          <w:rFonts w:ascii="Arial" w:cs="Arial" w:eastAsia="Arial" w:hAnsi="Arial"/>
          <w:sz w:val="19"/>
          <w:szCs w:val="19"/>
          <w:color w:val="000000"/>
        </w:rPr>
        <w:t>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2.5 or to vote in person or by proxy at any meeting of stockholders. Notwithstanding the foregoing, the corporation may maintain and authorize examination of the list of stockholders in any manner expressly permitted by the General Corporation Law of the State of Delaware (the “DGCL”) at the time.</w:t>
      </w:r>
    </w:p>
    <w:p>
      <w:pPr>
        <w:spacing w:after="0" w:line="163"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010000"/>
        </w:rPr>
        <w:t xml:space="preserve">2.6 </w:t>
      </w:r>
      <w:r>
        <w:rPr>
          <w:rFonts w:ascii="Arial" w:cs="Arial" w:eastAsia="Arial" w:hAnsi="Arial"/>
          <w:sz w:val="19"/>
          <w:szCs w:val="19"/>
          <w:color w:val="000000"/>
        </w:rPr>
        <w:t>Organization and Conduct of Business. The Chair of the Board or, in his or her absence, the Chief Executive Officer</w:t>
      </w:r>
      <w:r>
        <w:rPr>
          <w:rFonts w:ascii="Arial" w:cs="Arial" w:eastAsia="Arial" w:hAnsi="Arial"/>
          <w:sz w:val="19"/>
          <w:szCs w:val="19"/>
          <w:color w:val="010000"/>
        </w:rPr>
        <w:t xml:space="preserve"> </w:t>
      </w:r>
      <w:r>
        <w:rPr>
          <w:rFonts w:ascii="Arial" w:cs="Arial" w:eastAsia="Arial" w:hAnsi="Arial"/>
          <w:sz w:val="19"/>
          <w:szCs w:val="19"/>
          <w:color w:val="000000"/>
        </w:rPr>
        <w:t>or President of the corporation or, in their absence, such person as the Board may have designated or, in the absence of such a person, such person as may be chosen by the holders of a majority of the shares entitled to vote at the meeting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43"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chair of any meeting of stockholders shall determine the order of business and the procedure at the meeting, including such rules, regulations or procedures regarding the manner of voting and the conduct of discussion as seems to him or her in order.</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Such rules, regulations or procedures may include, without limitation, the following: (a) the establishment of an agenda or order of business for the meeting, (b) rules and procedures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23" w:name="page24"/>
    <w:bookmarkEnd w:id="23"/>
    <w:p>
      <w:pPr>
        <w:jc w:val="both"/>
        <w:ind w:right="60"/>
        <w:spacing w:after="0" w:line="278" w:lineRule="auto"/>
        <w:rPr>
          <w:sz w:val="20"/>
          <w:szCs w:val="20"/>
          <w:color w:val="auto"/>
        </w:rPr>
      </w:pPr>
      <w:r>
        <w:rPr>
          <w:rFonts w:ascii="Arial" w:cs="Arial" w:eastAsia="Arial" w:hAnsi="Arial"/>
          <w:sz w:val="19"/>
          <w:szCs w:val="19"/>
          <w:color w:val="auto"/>
        </w:rPr>
        <w:t>maintaining order at the meeting and the safety of those present, (c) limitations on attendance at or participation in the meeting to stockholders entitled to vote at the meeting, their duly authorized and constituted proxies or such other persons as the chair of the meeting or the Board shall determine, (d) restrictions on entry to the meeting after the time fixed for the commencement thereof,</w:t>
      </w:r>
    </w:p>
    <w:p>
      <w:pPr>
        <w:spacing w:after="0" w:line="1" w:lineRule="exact"/>
        <w:rPr>
          <w:sz w:val="20"/>
          <w:szCs w:val="20"/>
          <w:color w:val="auto"/>
        </w:rPr>
      </w:pPr>
    </w:p>
    <w:p>
      <w:pPr>
        <w:ind w:right="80" w:firstLine="8"/>
        <w:spacing w:after="0" w:line="238" w:lineRule="auto"/>
        <w:tabs>
          <w:tab w:leader="none" w:pos="294" w:val="left"/>
        </w:tabs>
        <w:numPr>
          <w:ilvl w:val="0"/>
          <w:numId w:val="16"/>
        </w:numPr>
        <w:rPr>
          <w:rFonts w:ascii="Arial" w:cs="Arial" w:eastAsia="Arial" w:hAnsi="Arial"/>
          <w:sz w:val="22"/>
          <w:szCs w:val="22"/>
          <w:color w:val="auto"/>
        </w:rPr>
      </w:pPr>
      <w:r>
        <w:rPr>
          <w:rFonts w:ascii="Arial" w:cs="Arial" w:eastAsia="Arial" w:hAnsi="Arial"/>
          <w:sz w:val="22"/>
          <w:szCs w:val="22"/>
          <w:color w:val="auto"/>
        </w:rPr>
        <w:t>limitations on the time allotted to questions or comments by participants, (f) restricting the use of audio/video recording devices and cell phones, (g) complying with any state and local laws and regulations concerning safety and security, (h) procedures (if any) requiring attendees to provide the corporation advance notice of their intent to attend the meeting; and (i) any additional attendance or other procedures or requirements for proponents submitting a proposal pursuant to Rule 14a-8 promulgated under the Exchange Act.</w:t>
      </w:r>
    </w:p>
    <w:p>
      <w:pPr>
        <w:spacing w:after="0" w:line="186" w:lineRule="exact"/>
        <w:rPr>
          <w:sz w:val="20"/>
          <w:szCs w:val="20"/>
          <w:color w:val="auto"/>
        </w:rPr>
      </w:pPr>
    </w:p>
    <w:p>
      <w:pPr>
        <w:ind w:right="40" w:firstLine="648"/>
        <w:spacing w:after="0" w:line="251" w:lineRule="auto"/>
        <w:rPr>
          <w:sz w:val="20"/>
          <w:szCs w:val="20"/>
          <w:color w:val="auto"/>
        </w:rPr>
      </w:pPr>
      <w:r>
        <w:rPr>
          <w:rFonts w:ascii="Arial" w:cs="Arial" w:eastAsia="Arial" w:hAnsi="Arial"/>
          <w:sz w:val="21"/>
          <w:szCs w:val="21"/>
          <w:color w:val="010000"/>
        </w:rPr>
        <w:t xml:space="preserve">2.7 </w:t>
      </w:r>
      <w:r>
        <w:rPr>
          <w:rFonts w:ascii="Arial" w:cs="Arial" w:eastAsia="Arial" w:hAnsi="Arial"/>
          <w:sz w:val="21"/>
          <w:szCs w:val="21"/>
          <w:color w:val="000000"/>
        </w:rPr>
        <w:t>Quorum. Except where otherwise required by law or the Certificate of Incorporation or these bylaws, the holders of</w:t>
      </w:r>
      <w:r>
        <w:rPr>
          <w:rFonts w:ascii="Arial" w:cs="Arial" w:eastAsia="Arial" w:hAnsi="Arial"/>
          <w:sz w:val="21"/>
          <w:szCs w:val="21"/>
          <w:color w:val="010000"/>
        </w:rPr>
        <w:t xml:space="preserve"> </w:t>
      </w:r>
      <w:r>
        <w:rPr>
          <w:rFonts w:ascii="Arial" w:cs="Arial" w:eastAsia="Arial" w:hAnsi="Arial"/>
          <w:sz w:val="21"/>
          <w:szCs w:val="21"/>
          <w:color w:val="000000"/>
        </w:rPr>
        <w:t>a majority of the voting power of the capital stock issued and outstanding and entitled to vote, present in person or represented by proxy, shall constitute a quorum for the transaction of business at all meetings of the stockholders. If a quorum shall fail to attend any meeting, the chair of the meeting or, if directed to be voted on by the chair of the meeting, the holders of a majority of the voting power of the capital stock issued and outstanding and entitled to vote who are present in person or represented by proxy at the meeting, may adjourn the meeting. A quorum, once established at a meeting, shall not be broken by the withdrawal of enough votes to leave less than a quorum.</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010000"/>
        </w:rPr>
        <w:t xml:space="preserve">2.8 </w:t>
      </w:r>
      <w:r>
        <w:rPr>
          <w:rFonts w:ascii="Arial" w:cs="Arial" w:eastAsia="Arial" w:hAnsi="Arial"/>
          <w:sz w:val="19"/>
          <w:szCs w:val="19"/>
          <w:color w:val="000000"/>
        </w:rPr>
        <w:t>Adjournments. Notwithstanding Section 2.7 of these bylaws, the chair of the meeting shall have the power to</w:t>
      </w:r>
      <w:r>
        <w:rPr>
          <w:rFonts w:ascii="Arial" w:cs="Arial" w:eastAsia="Arial" w:hAnsi="Arial"/>
          <w:sz w:val="19"/>
          <w:szCs w:val="19"/>
          <w:color w:val="010000"/>
        </w:rPr>
        <w:t xml:space="preserve"> </w:t>
      </w:r>
      <w:r>
        <w:rPr>
          <w:rFonts w:ascii="Arial" w:cs="Arial" w:eastAsia="Arial" w:hAnsi="Arial"/>
          <w:sz w:val="19"/>
          <w:szCs w:val="19"/>
          <w:color w:val="000000"/>
        </w:rPr>
        <w:t xml:space="preserve">adjourn the meeting to another time, date and place (if any), regardless of whether a quorum is present, at any time and for any reason. At such adjourned meeting any business may be transacted which might have been transacted at the original meeting. </w:t>
      </w:r>
      <w:r>
        <w:rPr>
          <w:rFonts w:ascii="Arial" w:cs="Arial" w:eastAsia="Arial" w:hAnsi="Arial"/>
          <w:sz w:val="19"/>
          <w:szCs w:val="19"/>
          <w:color w:val="010101"/>
        </w:rPr>
        <w:t>If a</w:t>
      </w:r>
      <w:r>
        <w:rPr>
          <w:rFonts w:ascii="Arial" w:cs="Arial" w:eastAsia="Arial" w:hAnsi="Arial"/>
          <w:sz w:val="19"/>
          <w:szCs w:val="19"/>
          <w:color w:val="000000"/>
        </w:rPr>
        <w:t xml:space="preserve"> </w:t>
      </w:r>
      <w:r>
        <w:rPr>
          <w:rFonts w:ascii="Arial" w:cs="Arial" w:eastAsia="Arial" w:hAnsi="Arial"/>
          <w:sz w:val="19"/>
          <w:szCs w:val="19"/>
          <w:color w:val="010101"/>
        </w:rPr>
        <w:t xml:space="preserve">quorum is present at the original meeting, it shall also be deemed present at the adjourned meeting. </w:t>
      </w:r>
      <w:r>
        <w:rPr>
          <w:rFonts w:ascii="Arial" w:cs="Arial" w:eastAsia="Arial" w:hAnsi="Arial"/>
          <w:sz w:val="19"/>
          <w:szCs w:val="19"/>
          <w:color w:val="000000"/>
        </w:rPr>
        <w:t>When a meeting is adjourned</w:t>
      </w:r>
      <w:r>
        <w:rPr>
          <w:rFonts w:ascii="Arial" w:cs="Arial" w:eastAsia="Arial" w:hAnsi="Arial"/>
          <w:sz w:val="19"/>
          <w:szCs w:val="19"/>
          <w:color w:val="010101"/>
        </w:rPr>
        <w:t xml:space="preserve"> </w:t>
      </w:r>
      <w:r>
        <w:rPr>
          <w:rFonts w:ascii="Arial" w:cs="Arial" w:eastAsia="Arial" w:hAnsi="Arial"/>
          <w:sz w:val="19"/>
          <w:szCs w:val="19"/>
          <w:color w:val="000000"/>
        </w:rPr>
        <w:t>to another place, date or time (including an adjournment taken to address a technical failure to convene or continue a meeting using remote communication), notice need not be given of the adjourned meeting if the place, date and time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provided, however, that (x) if the adjournment is for more than 30 days a notice of the adjourned meeting shall be given to each stockholder of record entitled to vote at the meeting, and (y) if after the adjournment a new or if a new record date is fixed for stockholders entitled to vote is fixed for the adjourned meeting, the board of directors shall fix a new record date for notice of such adjourned meeting in accordance with Section 2.11 hereof, and shall give notice of the adjourned meeting to each stockholder of record entitled to vote thereat as of the record date fixed for such adjourned meeting.</w:t>
      </w:r>
    </w:p>
    <w:p>
      <w:pPr>
        <w:spacing w:after="0" w:line="15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010000"/>
        </w:rPr>
        <w:t xml:space="preserve">2.9 </w:t>
      </w:r>
      <w:r>
        <w:rPr>
          <w:rFonts w:ascii="Arial" w:cs="Arial" w:eastAsia="Arial" w:hAnsi="Arial"/>
          <w:sz w:val="19"/>
          <w:szCs w:val="19"/>
          <w:color w:val="000000"/>
        </w:rPr>
        <w:t>Voting Rights. Unless otherwise provided in the Certificate of Incorporation, each stockholder shall at every meeting</w:t>
      </w:r>
      <w:r>
        <w:rPr>
          <w:rFonts w:ascii="Arial" w:cs="Arial" w:eastAsia="Arial" w:hAnsi="Arial"/>
          <w:sz w:val="19"/>
          <w:szCs w:val="19"/>
          <w:color w:val="010000"/>
        </w:rPr>
        <w:t xml:space="preserve"> </w:t>
      </w:r>
      <w:r>
        <w:rPr>
          <w:rFonts w:ascii="Arial" w:cs="Arial" w:eastAsia="Arial" w:hAnsi="Arial"/>
          <w:sz w:val="19"/>
          <w:szCs w:val="19"/>
          <w:color w:val="000000"/>
        </w:rPr>
        <w:t>of the stockholders be entitled to one vote for each share of the capital stock having voting power held by such stockholder.</w:t>
      </w:r>
    </w:p>
    <w:p>
      <w:pPr>
        <w:spacing w:after="0" w:line="91"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010000"/>
        </w:rPr>
        <w:t xml:space="preserve">2.10 </w:t>
      </w:r>
      <w:r>
        <w:rPr>
          <w:rFonts w:ascii="Arial" w:cs="Arial" w:eastAsia="Arial" w:hAnsi="Arial"/>
          <w:sz w:val="22"/>
          <w:szCs w:val="22"/>
          <w:color w:val="000000"/>
        </w:rPr>
        <w:t>Action at Meetings. When a quorum is present at any meeting, the affirmative vote of the holders of a majority of</w:t>
      </w:r>
      <w:r>
        <w:rPr>
          <w:rFonts w:ascii="Arial" w:cs="Arial" w:eastAsia="Arial" w:hAnsi="Arial"/>
          <w:sz w:val="22"/>
          <w:szCs w:val="22"/>
          <w:color w:val="010000"/>
        </w:rPr>
        <w:t xml:space="preserve"> </w:t>
      </w:r>
      <w:r>
        <w:rPr>
          <w:rFonts w:ascii="Arial" w:cs="Arial" w:eastAsia="Arial" w:hAnsi="Arial"/>
          <w:sz w:val="22"/>
          <w:szCs w:val="22"/>
          <w:color w:val="000000"/>
        </w:rPr>
        <w:t>the voting power of the capital stock present in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9"/>
          <w:szCs w:val="19"/>
          <w:color w:val="auto"/>
        </w:rPr>
        <w:t>represented by proxy and entitled to vote on the question shall decide any question brought before such meeting, unless the question is one upon which by express provision of law or of the Certificate of Incorporation or of these bylaws, a different vote is required, in which case such express provision shall govern and control the decision of such question. A nominee for director shall be elected to the Board if the number of votes cast “for” such nominee’s election exceed the number of votes cast “against” such nominee’s election (with “abstentions” and “broker non-votes” (or other shares of capital stock of the corporation similarly not entitled to vote) not counted as a vote cast either “for” or “against” that director’s election); provided, however, that directors shall be elected by a plurality of the votes cast at any meeting of stockholders for which (a) the Secretary of the corporation receives a notice that a stockholder has nominated a person for election to the Board in compliance with the advance notice requirements for nominations set forth in Sections 2.3 or 3.1 of these bylaws and (b) such nomination has not been withdrawn by such stockholder on or before the fourteenth (14th) day preceding the date the corporation files its definitive proxy statement (regardless of whether or not thereafter revised or supplemented) with the SEC for the applicable meeting of stockholders. If directors are to be elected by a plurality of the votes cast, stockholders shall not be permitted to vote against a nominee.</w:t>
      </w:r>
    </w:p>
    <w:p>
      <w:pPr>
        <w:spacing w:after="0" w:line="173" w:lineRule="exact"/>
        <w:rPr>
          <w:sz w:val="20"/>
          <w:szCs w:val="20"/>
          <w:color w:val="auto"/>
        </w:rPr>
      </w:pPr>
    </w:p>
    <w:p>
      <w:pPr>
        <w:ind w:right="80" w:firstLine="648"/>
        <w:spacing w:after="0" w:line="276" w:lineRule="auto"/>
        <w:rPr>
          <w:sz w:val="20"/>
          <w:szCs w:val="20"/>
          <w:color w:val="auto"/>
        </w:rPr>
      </w:pPr>
      <w:r>
        <w:rPr>
          <w:rFonts w:ascii="Arial" w:cs="Arial" w:eastAsia="Arial" w:hAnsi="Arial"/>
          <w:sz w:val="19"/>
          <w:szCs w:val="19"/>
          <w:color w:val="010000"/>
        </w:rPr>
        <w:t xml:space="preserve">2.11 </w:t>
      </w:r>
      <w:r>
        <w:rPr>
          <w:rFonts w:ascii="Arial" w:cs="Arial" w:eastAsia="Arial" w:hAnsi="Arial"/>
          <w:sz w:val="19"/>
          <w:szCs w:val="19"/>
          <w:color w:val="000000"/>
        </w:rPr>
        <w:t>Record Date for Stockholder Notice and Voting. For purposes of determining the stockholders entitled to notice of,</w:t>
      </w:r>
      <w:r>
        <w:rPr>
          <w:rFonts w:ascii="Arial" w:cs="Arial" w:eastAsia="Arial" w:hAnsi="Arial"/>
          <w:sz w:val="19"/>
          <w:szCs w:val="19"/>
          <w:color w:val="010000"/>
        </w:rPr>
        <w:t xml:space="preserve"> </w:t>
      </w:r>
      <w:r>
        <w:rPr>
          <w:rFonts w:ascii="Arial" w:cs="Arial" w:eastAsia="Arial" w:hAnsi="Arial"/>
          <w:sz w:val="19"/>
          <w:szCs w:val="19"/>
          <w:color w:val="000000"/>
        </w:rPr>
        <w:t>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record date shall not precede the date upon which the resolution fixing the record date is adopted by the board of directors, and which shall not be more than</w:t>
      </w:r>
    </w:p>
    <w:p>
      <w:pPr>
        <w:spacing w:after="0" w:line="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60 days nor fewer than 10 days before the date of any such meeting nor more than 60 days before any other action to which the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Section 213(a) of the DGCL at the adjourned meeting. If the Board does not so fix a record date,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170" w:lineRule="exact"/>
        <w:rPr>
          <w:sz w:val="20"/>
          <w:szCs w:val="20"/>
          <w:color w:val="auto"/>
        </w:rPr>
      </w:pPr>
    </w:p>
    <w:p>
      <w:pPr>
        <w:jc w:val="both"/>
        <w:ind w:right="80" w:firstLine="648"/>
        <w:spacing w:after="0" w:line="247" w:lineRule="auto"/>
        <w:rPr>
          <w:sz w:val="20"/>
          <w:szCs w:val="20"/>
          <w:color w:val="auto"/>
        </w:rPr>
      </w:pPr>
      <w:r>
        <w:rPr>
          <w:rFonts w:ascii="Arial" w:cs="Arial" w:eastAsia="Arial" w:hAnsi="Arial"/>
          <w:sz w:val="22"/>
          <w:szCs w:val="22"/>
          <w:color w:val="010000"/>
        </w:rPr>
        <w:t xml:space="preserve">2.12 </w:t>
      </w:r>
      <w:r>
        <w:rPr>
          <w:rFonts w:ascii="Arial" w:cs="Arial" w:eastAsia="Arial" w:hAnsi="Arial"/>
          <w:sz w:val="22"/>
          <w:szCs w:val="22"/>
          <w:color w:val="000000"/>
        </w:rPr>
        <w:t>Proxies. Each stockholder entitled to vote at a meeting of stockholders may authorize another person or persons to</w:t>
      </w:r>
      <w:r>
        <w:rPr>
          <w:rFonts w:ascii="Arial" w:cs="Arial" w:eastAsia="Arial" w:hAnsi="Arial"/>
          <w:sz w:val="22"/>
          <w:szCs w:val="22"/>
          <w:color w:val="010000"/>
        </w:rPr>
        <w:t xml:space="preserve"> </w:t>
      </w:r>
      <w:r>
        <w:rPr>
          <w:rFonts w:ascii="Arial" w:cs="Arial" w:eastAsia="Arial" w:hAnsi="Arial"/>
          <w:sz w:val="22"/>
          <w:szCs w:val="22"/>
          <w:color w:val="000000"/>
        </w:rPr>
        <w:t>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25" w:name="page26"/>
    <w:bookmarkEnd w:id="25"/>
    <w:p>
      <w:pPr>
        <w:ind w:right="280" w:firstLine="648"/>
        <w:spacing w:after="0" w:line="250" w:lineRule="auto"/>
        <w:rPr>
          <w:sz w:val="20"/>
          <w:szCs w:val="20"/>
          <w:color w:val="auto"/>
        </w:rPr>
      </w:pPr>
      <w:r>
        <w:rPr>
          <w:rFonts w:ascii="Arial" w:cs="Arial" w:eastAsia="Arial" w:hAnsi="Arial"/>
          <w:sz w:val="22"/>
          <w:szCs w:val="22"/>
          <w:color w:val="auto"/>
        </w:rPr>
        <w:t>Any stockholder directly or indirectly soliciting proxies from other stockholders must use a proxy card color other than white, which shall be reserved for exclusive use by the Board.</w:t>
      </w:r>
    </w:p>
    <w:p>
      <w:pPr>
        <w:spacing w:after="0" w:line="188" w:lineRule="exact"/>
        <w:rPr>
          <w:sz w:val="20"/>
          <w:szCs w:val="20"/>
          <w:color w:val="auto"/>
        </w:rPr>
      </w:pPr>
    </w:p>
    <w:p>
      <w:pPr>
        <w:ind w:right="20" w:firstLine="648"/>
        <w:spacing w:after="0" w:line="280" w:lineRule="auto"/>
        <w:rPr>
          <w:sz w:val="20"/>
          <w:szCs w:val="20"/>
          <w:color w:val="auto"/>
        </w:rPr>
      </w:pPr>
      <w:r>
        <w:rPr>
          <w:rFonts w:ascii="Arial" w:cs="Arial" w:eastAsia="Arial" w:hAnsi="Arial"/>
          <w:sz w:val="19"/>
          <w:szCs w:val="19"/>
          <w:color w:val="010000"/>
        </w:rPr>
        <w:t xml:space="preserve">2.13 </w:t>
      </w:r>
      <w:r>
        <w:rPr>
          <w:rFonts w:ascii="Arial" w:cs="Arial" w:eastAsia="Arial" w:hAnsi="Arial"/>
          <w:sz w:val="19"/>
          <w:szCs w:val="19"/>
          <w:color w:val="000000"/>
        </w:rPr>
        <w:t>Inspectors of Election. The corporation shall, in advance of any meeting of stockholders, appoint one or more</w:t>
      </w:r>
      <w:r>
        <w:rPr>
          <w:rFonts w:ascii="Arial" w:cs="Arial" w:eastAsia="Arial" w:hAnsi="Arial"/>
          <w:sz w:val="19"/>
          <w:szCs w:val="19"/>
          <w:color w:val="010000"/>
        </w:rPr>
        <w:t xml:space="preserve"> </w:t>
      </w:r>
      <w:r>
        <w:rPr>
          <w:rFonts w:ascii="Arial" w:cs="Arial" w:eastAsia="Arial" w:hAnsi="Arial"/>
          <w:sz w:val="19"/>
          <w:szCs w:val="19"/>
          <w:color w:val="000000"/>
        </w:rPr>
        <w:t>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49" w:lineRule="exact"/>
        <w:rPr>
          <w:sz w:val="20"/>
          <w:szCs w:val="20"/>
          <w:color w:val="auto"/>
        </w:rPr>
      </w:pPr>
    </w:p>
    <w:p>
      <w:pPr>
        <w:ind w:right="60" w:firstLine="648"/>
        <w:spacing w:after="0" w:line="280" w:lineRule="auto"/>
        <w:rPr>
          <w:sz w:val="20"/>
          <w:szCs w:val="20"/>
          <w:color w:val="auto"/>
        </w:rPr>
      </w:pPr>
      <w:r>
        <w:rPr>
          <w:rFonts w:ascii="Arial" w:cs="Arial" w:eastAsia="Arial" w:hAnsi="Arial"/>
          <w:sz w:val="19"/>
          <w:szCs w:val="19"/>
          <w:color w:val="auto"/>
        </w:rPr>
        <w:t>In determining the validity and counting of proxies and ballots, the inspectors shall be limited to an examination of the proxies, any envelopes submitted with those proxies, any information provided pursuant to Section 211(a)(2)b.(i) or (iii)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51"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010000"/>
        </w:rPr>
        <w:t xml:space="preserve">2.14 </w:t>
      </w:r>
      <w:r>
        <w:rPr>
          <w:rFonts w:ascii="Arial" w:cs="Arial" w:eastAsia="Arial" w:hAnsi="Arial"/>
          <w:sz w:val="19"/>
          <w:szCs w:val="19"/>
          <w:color w:val="000000"/>
        </w:rPr>
        <w:t>Action Without a Meeting. Except as otherwise provided for or fixed pursuant to the provisions of the Certificate</w:t>
      </w:r>
      <w:r>
        <w:rPr>
          <w:rFonts w:ascii="Arial" w:cs="Arial" w:eastAsia="Arial" w:hAnsi="Arial"/>
          <w:sz w:val="19"/>
          <w:szCs w:val="19"/>
          <w:color w:val="010000"/>
        </w:rPr>
        <w:t xml:space="preserve"> </w:t>
      </w:r>
      <w:r>
        <w:rPr>
          <w:rFonts w:ascii="Arial" w:cs="Arial" w:eastAsia="Arial" w:hAnsi="Arial"/>
          <w:sz w:val="19"/>
          <w:szCs w:val="19"/>
          <w:color w:val="000000"/>
        </w:rPr>
        <w:t>of Incorporation relating to the rights of holders of any series of Preferred Stock to act by written consent, no action required or permitted to be taken at any annual or special meeting of the stockholders of the corporation may be taken without a meeting and the power of the stockholders to consent in writing, without a meeting, to the taking of any action is specifically denied.</w:t>
      </w:r>
    </w:p>
    <w:p>
      <w:pPr>
        <w:spacing w:after="0" w:line="152"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010000"/>
        </w:rPr>
        <w:t xml:space="preserve">2.15 </w:t>
      </w:r>
      <w:r>
        <w:rPr>
          <w:rFonts w:ascii="Arial" w:cs="Arial" w:eastAsia="Arial" w:hAnsi="Arial"/>
          <w:sz w:val="19"/>
          <w:szCs w:val="19"/>
          <w:color w:val="000000"/>
        </w:rPr>
        <w:t>Emergency Bylaws. This Section 2.15 shall be operative during any emergency condition (an “Emergency”) as</w:t>
      </w:r>
      <w:r>
        <w:rPr>
          <w:rFonts w:ascii="Arial" w:cs="Arial" w:eastAsia="Arial" w:hAnsi="Arial"/>
          <w:sz w:val="19"/>
          <w:szCs w:val="19"/>
          <w:color w:val="010000"/>
        </w:rPr>
        <w:t xml:space="preserve"> </w:t>
      </w:r>
      <w:r>
        <w:rPr>
          <w:rFonts w:ascii="Arial" w:cs="Arial" w:eastAsia="Arial" w:hAnsi="Arial"/>
          <w:sz w:val="19"/>
          <w:szCs w:val="19"/>
          <w:color w:val="000000"/>
        </w:rPr>
        <w:t>contemplated by Section 110 of the DGCL,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26" w:name="page27"/>
    <w:bookmarkEnd w:id="26"/>
    <w:p>
      <w:pPr>
        <w:ind w:right="140"/>
        <w:spacing w:after="0" w:line="278" w:lineRule="auto"/>
        <w:rPr>
          <w:sz w:val="20"/>
          <w:szCs w:val="20"/>
          <w:color w:val="auto"/>
        </w:rPr>
      </w:pPr>
      <w:r>
        <w:rPr>
          <w:rFonts w:ascii="Arial" w:cs="Arial" w:eastAsia="Arial" w:hAnsi="Arial"/>
          <w:sz w:val="19"/>
          <w:szCs w:val="19"/>
          <w:color w:val="auto"/>
        </w:rPr>
        <w:t>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110 of the DGCL. For purposes of this Section 2.15, the term “Designated Officer”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193" w:lineRule="exact"/>
        <w:rPr>
          <w:sz w:val="20"/>
          <w:szCs w:val="20"/>
          <w:color w:val="auto"/>
        </w:rPr>
      </w:pPr>
    </w:p>
    <w:p>
      <w:pPr>
        <w:ind w:right="320" w:firstLine="648"/>
        <w:spacing w:after="0" w:line="282" w:lineRule="auto"/>
        <w:rPr>
          <w:sz w:val="20"/>
          <w:szCs w:val="20"/>
          <w:color w:val="auto"/>
        </w:rPr>
      </w:pPr>
      <w:r>
        <w:rPr>
          <w:rFonts w:ascii="Arial" w:cs="Arial" w:eastAsia="Arial" w:hAnsi="Arial"/>
          <w:sz w:val="19"/>
          <w:szCs w:val="19"/>
          <w:color w:val="010000"/>
        </w:rPr>
        <w:t xml:space="preserve">2.16 </w:t>
      </w:r>
      <w:r>
        <w:rPr>
          <w:rFonts w:ascii="Arial" w:cs="Arial" w:eastAsia="Arial" w:hAnsi="Arial"/>
          <w:sz w:val="19"/>
          <w:szCs w:val="19"/>
          <w:color w:val="000000"/>
        </w:rPr>
        <w:t>Delivery to the Corporation. Whenever this Article 2 or Section 3.1 of Article 3 of these bylaws requires one or</w:t>
      </w:r>
      <w:r>
        <w:rPr>
          <w:rFonts w:ascii="Arial" w:cs="Arial" w:eastAsia="Arial" w:hAnsi="Arial"/>
          <w:sz w:val="19"/>
          <w:szCs w:val="19"/>
          <w:color w:val="010000"/>
        </w:rPr>
        <w:t xml:space="preserve"> </w:t>
      </w:r>
      <w:r>
        <w:rPr>
          <w:rFonts w:ascii="Arial" w:cs="Arial" w:eastAsia="Arial" w:hAnsi="Arial"/>
          <w:sz w:val="19"/>
          <w:szCs w:val="19"/>
          <w:color w:val="000000"/>
        </w:rPr>
        <w:t>more persons (including a record or beneficial owner of stock) to deliver a document or information to the corporation or any officer, employee or agent thereof (including any notice, request, questionnaire, revocation, representation, statement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w:t>
      </w:r>
    </w:p>
    <w:p>
      <w:pPr>
        <w:spacing w:after="0" w:line="202" w:lineRule="exact"/>
        <w:rPr>
          <w:sz w:val="20"/>
          <w:szCs w:val="20"/>
          <w:color w:val="auto"/>
        </w:rPr>
      </w:pPr>
    </w:p>
    <w:p>
      <w:pPr>
        <w:ind w:right="80" w:firstLine="648"/>
        <w:spacing w:after="0" w:line="253"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color w:val="000000"/>
        </w:rPr>
        <w:t>Number, Election, Tenure and Qualifications. Except as otherwise provided for in the Certificate of Incorporation</w:t>
      </w:r>
      <w:r>
        <w:rPr>
          <w:rFonts w:ascii="Arial" w:cs="Arial" w:eastAsia="Arial" w:hAnsi="Arial"/>
          <w:sz w:val="21"/>
          <w:szCs w:val="21"/>
          <w:color w:val="010000"/>
        </w:rPr>
        <w:t xml:space="preserve"> </w:t>
      </w:r>
      <w:r>
        <w:rPr>
          <w:rFonts w:ascii="Arial" w:cs="Arial" w:eastAsia="Arial" w:hAnsi="Arial"/>
          <w:sz w:val="21"/>
          <w:szCs w:val="21"/>
          <w:color w:val="000000"/>
        </w:rPr>
        <w:t>relating to the rights of holders of any series of preferred stock of the corporation with respect to the election of directors, the authorized number of directors shall be determined from time to time by resolution adopted by the Board, provided the Board shall consist of at least one member. No decrease in the number of authorized directors shall have the effect of removing any director before that director’s term of office expires. The classes of directors, if any, that shall constitute the entire Board shall be as provided in the Certificate of Incorporation.</w:t>
      </w:r>
    </w:p>
    <w:p>
      <w:pPr>
        <w:spacing w:after="0" w:line="174" w:lineRule="exact"/>
        <w:rPr>
          <w:sz w:val="20"/>
          <w:szCs w:val="20"/>
          <w:color w:val="auto"/>
        </w:rPr>
      </w:pPr>
    </w:p>
    <w:p>
      <w:pPr>
        <w:jc w:val="both"/>
        <w:ind w:right="80" w:firstLine="648"/>
        <w:spacing w:after="0" w:line="247" w:lineRule="auto"/>
        <w:rPr>
          <w:sz w:val="20"/>
          <w:szCs w:val="20"/>
          <w:color w:val="auto"/>
        </w:rPr>
      </w:pPr>
      <w:r>
        <w:rPr>
          <w:rFonts w:ascii="Arial" w:cs="Arial" w:eastAsia="Arial" w:hAnsi="Arial"/>
          <w:sz w:val="22"/>
          <w:szCs w:val="22"/>
          <w:color w:val="auto"/>
        </w:rPr>
        <w:t>At each annual meeting of the stockholders, directors whose terms are then expiring shall be elected, except as otherwise provided in Section 3.2, and each director so elected shall hold office until such director’s successor is duly elected and qualified or until such director’s earlier resignation, removal, death or incapacity.</w:t>
      </w:r>
    </w:p>
    <w:p>
      <w:pPr>
        <w:spacing w:after="0" w:line="177"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Only persons who are nominated in accordance with the following procedures, or the procedures set forth in Section 2.3 of these bylaws, as applicable,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(and, with respect to any beneficial owner, if different, on whose behalf such nomination or nominations are made, only if such beneficial owner was the beneficial owner of shares of the corporation)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14" w:right="359" w:bottom="1440" w:gutter="0" w:footer="0" w:header="0"/>
        </w:sectPr>
      </w:pPr>
    </w:p>
    <w:bookmarkStart w:id="27" w:name="page28"/>
    <w:bookmarkEnd w:id="27"/>
    <w:p>
      <w:pPr>
        <w:ind w:right="60"/>
        <w:spacing w:after="0" w:line="292" w:lineRule="auto"/>
        <w:rPr>
          <w:sz w:val="20"/>
          <w:szCs w:val="20"/>
          <w:color w:val="auto"/>
        </w:rPr>
      </w:pPr>
      <w:r>
        <w:rPr>
          <w:rFonts w:ascii="Arial" w:cs="Arial" w:eastAsia="Arial" w:hAnsi="Arial"/>
          <w:sz w:val="19"/>
          <w:szCs w:val="19"/>
          <w:color w:val="auto"/>
        </w:rPr>
        <w:t>time of giving of the notice provided for in this Section and at the time of the annual meeting, who is entitled to vote for the election of directors at the meeting, and who timely complies with the notice, information and other procedures and requirements set forth in this Section. A stockholder may make such a nomination only if such stockholder has given timely notice to the Secretary of the corporation in proper written form of the stockholder’s intent to make such a nomination</w:t>
      </w:r>
    </w:p>
    <w:p>
      <w:pPr>
        <w:spacing w:after="0" w:line="152"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To be timely, with respect to an annual meeting of stockholders, (i) the stockholder’s notice must be received by the Secretary of the corporation at the principal executive offices of the corporation, no earlier than 5:00 p.m. Eastern Time on the 120th day nor later than 5:00 p.m. Eastern Time on the 90th day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5:00 p.m. Eastern Time on the later of (x) the 90th day prior to the date of such scheduled annual meeting and (y) the 10th day following the earlier to occur of the day on which notice of the date of the scheduled annual meeting was given or the day on which public announcement of the date of such scheduled annual meeting was first made, (ii) the stockholder shall have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and (iii) the Board or an executive officer designated thereby shall have determined that the stockholder has satisfied the requirements of this Section 3.1. In no event shall any adjournment, postponement or rescheduling (or a public announcement thereof) of an annual meeting for which notice has already been given or for which a public announcement of the meeting date has already been made by the corporation commence a new time period (or extend any time period) for the giving of the stockholder’s notice as described above.</w:t>
      </w:r>
    </w:p>
    <w:p>
      <w:pPr>
        <w:spacing w:after="0" w:line="179" w:lineRule="exact"/>
        <w:rPr>
          <w:sz w:val="20"/>
          <w:szCs w:val="20"/>
          <w:color w:val="auto"/>
        </w:rPr>
      </w:pPr>
    </w:p>
    <w:p>
      <w:pPr>
        <w:ind w:right="60" w:firstLine="648"/>
        <w:spacing w:after="0" w:line="278" w:lineRule="auto"/>
        <w:rPr>
          <w:sz w:val="20"/>
          <w:szCs w:val="20"/>
          <w:color w:val="auto"/>
        </w:rPr>
      </w:pPr>
      <w:r>
        <w:rPr>
          <w:rFonts w:ascii="Arial" w:cs="Arial" w:eastAsia="Arial" w:hAnsi="Arial"/>
          <w:sz w:val="19"/>
          <w:szCs w:val="19"/>
          <w:color w:val="auto"/>
        </w:rPr>
        <w:t>If the stockholder, or the beneficial owner, if any, or any associated person (as defined below) of such stockholder or beneficial owner has provided the corporation with a Nominee Solicitation Notice (as defined below), such stockholder, or beneficial owner, if any, or associated person of such stockholder or beneficial owner must have acted in compliance with the representations set forth therein. If no Nominee Solicitation Notice relating thereto has been timely provided pursuant to this Section 3.1, the stockholder, or the beneficial owner, if any, or any associated person of such stockholder or beneficial owner proposing such business must not have solicited a number of proxies sufficient to have required the delivery of such a Nominee Solicitation Notice under this Section 3.1. In addition, if a stockholder has delivered a notice of nomination or nominations, such stockholder or the beneficial owner, if any, on whose behalf the nomination is being made must certify to the corporation in writing that it has complied with and will comply with the requirements of Rule 14a-19 promulgated under the Exchange Act, if applicable, and shall deliver, no later than five (5) days prior to the stockholder meeting or any adjournment, rescheduling, postponement or other delay thereof, reasonable evidence that it has complied with such requirements. Notwithstanding anything in this Section 3.1 to the contrary, in the event that the number of directors to be elected to the board of directors at a meeting of stockholders is increased and there is no public announcement by the corporation naming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28" w:name="page29"/>
    <w:bookmarkEnd w:id="28"/>
    <w:p>
      <w:pPr>
        <w:ind w:right="100"/>
        <w:spacing w:after="0" w:line="253" w:lineRule="auto"/>
        <w:rPr>
          <w:sz w:val="20"/>
          <w:szCs w:val="20"/>
          <w:color w:val="auto"/>
        </w:rPr>
      </w:pPr>
      <w:r>
        <w:rPr>
          <w:rFonts w:ascii="Arial" w:cs="Arial" w:eastAsia="Arial" w:hAnsi="Arial"/>
          <w:sz w:val="21"/>
          <w:szCs w:val="21"/>
          <w:color w:val="auto"/>
        </w:rPr>
        <w:t>the nominees for director or specifying the size of the increased board of directors made by the corporation at least 10 days prior to the last day a stockholder may deliver a notice in accordance with this Section 3.1, or Section 2.3, as applicable, a stockholder’s notice required by this Section 3.1, or Section 2.3, as applicable,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74"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A stockholder’s notice to the Secretary shall set forth the following: (i) as to each person whom the stockholder proposes to nominate for election or reelection as a director, (A) the name, age, business address and residence address of the nominee, (B) the principal occupation or employment of the nominee, (C) the class, series and number of shares of capital stock of the corporation that are owned of record and beneficially by the nominee and the date or dates such shares were acquired and the investment intent of such acquisition, (D) a statement as to the nominee’s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nominee, and such nominee’s respective affiliates and associates, or others (including their names) acting in concert therewith, on the other hand, including all information that would be required to be disclosed pursuant to Item 404 of Regulation S-K promulgated by the SEC assuming for this purpose that the stockholder, the beneficial owner on whose behalf the nomination is being made, if any, and any person who is an associated person of the stockholder or the beneficial owner were the “registrant” and such person were a director or executive officer of such registrant, (F) any other information relating to the nominee that is required to be disclosed in solicitations for proxies for election of directors in a contested election (even if an election contest is not involved) pursuant to Section 14 of the Exchange Act (or any successor provision) and the rules and regulations promulgated thereunder, (G) a statement whether such nominee, if elected, intends to tender, promptly following such nominee’s election or reelection, an irrevocable resignation effective upon such nominee’s failure to receive the required vote for reelection at any future meeting at which such person would face reelection and acceptance of such resignation by the Board, in accordance with the corporation’s director resignation policy; (H) the nominee’s written consent to being named as a nominee in any proxy materials relating to the corporation’s next meeting, to the public disclosure of information regarding or related to such nominee provided to the corporation by such nominee or otherwise pursuant to these bylaws and to serving as a director if elected; (I) a description of any position of such nominee as an officer or director of any entity that provides products or services that compete with or are alternatives to the products produced or services provided by the corporation or its affiliates (a “Competitor”) within the three years preceding the submission of the notice; (J) a description of any business or personal interests that could place such nominee in a potential conflict of interest with the corporation or any of its subsidiaries; (K) whether such nominee meets the independence requirements of stock exchange upon which the corporation’s common stock is primarily traded; and (L) all completed questionnaires, representations and agreements required by Section 3.15 of these bylaws; and (M) a description of all arrangements or understandings between any stockholder, beneficial owner or associated person of such stockholder or beneficial owner and each nominee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14" w:right="37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other person or persons (naming such person or persons) pursuant to which the nominations are to be made by the stockholder;</w:t>
      </w:r>
    </w:p>
    <w:p>
      <w:pPr>
        <w:spacing w:after="0" w:line="43" w:lineRule="exact"/>
        <w:rPr>
          <w:sz w:val="20"/>
          <w:szCs w:val="20"/>
          <w:color w:val="auto"/>
        </w:rPr>
      </w:pPr>
    </w:p>
    <w:p>
      <w:pPr>
        <w:ind w:firstLine="8"/>
        <w:spacing w:after="0" w:line="274" w:lineRule="auto"/>
        <w:tabs>
          <w:tab w:leader="none" w:pos="31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to the stockholder giving the notice, the beneficial owner, if any, on whose behalf the nomination is being made and any associated person of such stockholder or beneficial owner,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(C) a representation that the stockholder or the beneficial owner, if any, and any associated person of such stockholder or beneficial owner has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(D) certification regarding whether such stockholder or beneficial owner, if any, and any associated person of such stockholder or beneficial owner has complied with all applicable federal, state and other legal requirements in connection with such stockholder’s or beneficial owner’s, if any, and any associated person’s of such stockholder or beneficial owner acquisition of shares of capital stock or other securities of the corporation and/or such stockholder’s or beneficial owner’s, if any, and any associated person’s of such stockholder or beneficial owner acts or omissions as a stockholder of the corporation, (E) a representation (x) as to whether or not the stockholder, any beneficial owner or any other participant (used herein as defined in Item 4 of Schedule 14A under the Exchange Act) will engage in a solicitation within the meaning of Exchange Act Rule 14a-1(l) with respect to the nomination and, if so, the name of each participant in such solicitation and the amount of the cost of the solicitation that has been and will be borne (directly or indirectly) by each participant in such solicitation and (y) as to whether the stockholder, the beneficial owner, if any, or any associated person of such stockholder or beneficial owner intends (or is part of a group that intends) to (i) solicit the holders of shares representing at least 67% of the voting power of the shares entitled to vote on the election of directors in support of director nominees other than the corporation’s nominees in accordance with Rule 14a-19, and the name of each participant in such solicitation, or (ii) otherwise solicit proxies from stockholders in support of such nominations solicitation (an affirmative statement of such intent to solicit in accordance with the foregoing clause (E)(y)(i) being a “Nominee Solicitation Notice”), (F) a complete and accurate description of any pending or, to such stockholder’s knowledge, threatened legal proceeding in which such stockholder is a party or participant involving the corporation or, to such stockholder’s knowledge, any current or former officer, director, affiliate or associate of the corporation, and (G)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(H) the class, series and number of shares of the corporation that are owned beneficially by the stockholder or beneficial owner and any person who is an associated person thereof as of the date of the notice, (I) any derivative or short positions held or beneficially held by the stockholder or beneficial owner and any person who is an associated person thereof and whether and the extent to which any hedging or other transaction or series of transactions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4" w:right="359" w:bottom="1440" w:gutter="0" w:footer="0" w:header="0"/>
        </w:sectPr>
      </w:pPr>
    </w:p>
    <w:bookmarkStart w:id="30" w:name="page31"/>
    <w:bookmarkEnd w:id="30"/>
    <w:p>
      <w:pPr>
        <w:ind w:right="120"/>
        <w:spacing w:after="0" w:line="276" w:lineRule="auto"/>
        <w:rPr>
          <w:sz w:val="20"/>
          <w:szCs w:val="20"/>
          <w:color w:val="auto"/>
        </w:rPr>
      </w:pPr>
      <w:r>
        <w:rPr>
          <w:rFonts w:ascii="Arial" w:cs="Arial" w:eastAsia="Arial" w:hAnsi="Arial"/>
          <w:sz w:val="19"/>
          <w:szCs w:val="19"/>
          <w:color w:val="auto"/>
        </w:rPr>
        <w:t>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person who is an associated person thereof with respect to the corporation’s securities, (J) a representation that the stockholder will provide the corporation in writing the information required by the clauses (A) through (K) updated as of the record date for the meeting promptly following the later of the record date or the date on which public announcement of the record date was first made, and (K) a description of any agreement, arrangement or understanding with respect to the nomination between or among the stockholder or beneficial owner and any person who is an associated person thereof, and any other person or persons, on the other hand, (including their names) acting in concert with any of the foregoing in connection with such nomination (and/or the voting of shares of any class or series of capital stock of the corporation) (including any agreement that would be required to be disclosed pursuant to Item 5 or Item 6 of Schedule 13D under the Exchange Act, regardless of whether the requirement to file a Schedule 13D is applicable to the stockholder, beneficial owner or any associated person of such stockholder or beneficial owner); and (iii) a representation that the stockholder giving the notice (or a qualified representative of the stockholder) intends to appear at the meeting (including virtually in the case of a meeting conducted solely by means of remote communications) to nominate the person or persons specified in the notice.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6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No person shall be eligible for election as a director of the corporation unless nominated in accordance with the procedures set forth herein (including satisfaction of the information requirements set forth herein, compliance with any representation provided pursuant hereto, and compliance with any applicable law, rule or regulation).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 and any violation thereof shall be deemed a violation of these bylaws. The number of nominees a stockholder or beneficial owner, if any, may nominate for election at a meeting of stockholders shall not exceed the number of directors to be elected at such meeting. In connection with any annual meeting of the stockholders, the Chair of the Board (or such other person presiding at such meeting in accordance with these bylaws) shall, if the facts warrant, determine and declare to the meeting that a nomination was not made in accordance with the foregoing procedure (including a failure to comply with any law, rule or regulation identified herein), and if he or she should so determine, he or she shall so declare to the meeting and the defective nomination shall be disregarded (and any such nominee shall be disqualified), including that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9"/>
          <w:szCs w:val="19"/>
          <w:color w:val="auto"/>
        </w:rPr>
        <w:t>stockholder’s director nominees (and any such nominee shall be disqualified). Notwithstanding anything in these bylaws to the contrary, unless otherwise required by law, if a stockholder intending to make a nomination at an annual meeting pursuant to the preceding paragraph or at a special meeting pursuant to Section 2.3 does not provide the updated information required under clause (i) of the preceding 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 shall be disregarded (and any nominee disqualified), notwithstanding that proxies in respect of such nomination may have been received by the corporation. Notwithstanding the foregoing provisions of Section 3.1, unless otherwise required by law, no stockholder or beneficial owner, if any, or any associated person of such stockholder or beneficial owner shall solicit proxies in support of director nominees other than the corporation’s nominees unless such stockholder has complied with Rule 14a-19 promulgated under the Exchange Act, if applicable, in connection with the solicitation of such proxies, including the provision to the corporation of notices required thereunder in a timely manner; provided, further, that if such stockholder or beneficial owner, if any, or any associated person of such stockholder or beneficial owner no longer plans to solicit proxies in accordance with its representation pursuant to this Section 3.1, such stockholder or beneficial owner shall inform the corporation of this change by delivering a writing to the Secretary at the principal executive offices of the corporation no later than two (2) business days after the occurrence of such change.</w:t>
      </w:r>
    </w:p>
    <w:p>
      <w:pPr>
        <w:spacing w:after="0" w:line="200" w:lineRule="exact"/>
        <w:rPr>
          <w:sz w:val="20"/>
          <w:szCs w:val="20"/>
          <w:color w:val="auto"/>
        </w:rPr>
      </w:pPr>
    </w:p>
    <w:p>
      <w:pPr>
        <w:spacing w:after="0" w:line="20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If any information submitted pursuant to this Section 3.1 is inaccurate or incomplete in any material respect (as determined by the Board or a committee thereof), such information shall be deemed not to have been provided in accordance with these bylaws. A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stockholder. Upon written request of the Secretary on behalf of the Board (or a duly authorized committee thereof), the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stockholder fails to provide such written verification or affirmation within such period, the information as to which written verification or affirmation was requested may be deemed not to have been provided in accordance with these bylaws.</w:t>
      </w:r>
    </w:p>
    <w:p>
      <w:pPr>
        <w:spacing w:after="0" w:line="1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color w:val="000000"/>
        </w:rPr>
        <w:t>Enlargement and Vacancies. The number of members of the Board may be increased at any time as provided in</w:t>
      </w:r>
      <w:r>
        <w:rPr>
          <w:rFonts w:ascii="Arial" w:cs="Arial" w:eastAsia="Arial" w:hAnsi="Arial"/>
          <w:sz w:val="19"/>
          <w:szCs w:val="19"/>
          <w:color w:val="010000"/>
        </w:rPr>
        <w:t xml:space="preserve"> </w:t>
      </w:r>
      <w:r>
        <w:rPr>
          <w:rFonts w:ascii="Arial" w:cs="Arial" w:eastAsia="Arial" w:hAnsi="Arial"/>
          <w:sz w:val="19"/>
          <w:szCs w:val="19"/>
          <w:color w:val="000000"/>
        </w:rPr>
        <w:t>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in which the new directorship was created or in which the vacancy occurred, and until such director’s successor is duly elected and qualified or until such director’s earlier death,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60"/>
          </w:cols>
          <w:pgMar w:left="320" w:top="1414" w:right="419" w:bottom="1440" w:gutter="0" w:footer="0" w:header="0"/>
        </w:sectPr>
      </w:pPr>
    </w:p>
    <w:bookmarkStart w:id="32" w:name="page33"/>
    <w:bookmarkEnd w:id="32"/>
    <w:p>
      <w:pPr>
        <w:jc w:val="both"/>
        <w:spacing w:after="0" w:line="247" w:lineRule="auto"/>
        <w:rPr>
          <w:sz w:val="20"/>
          <w:szCs w:val="20"/>
          <w:color w:val="auto"/>
        </w:rPr>
      </w:pPr>
      <w:r>
        <w:rPr>
          <w:rFonts w:ascii="Arial" w:cs="Arial" w:eastAsia="Arial" w:hAnsi="Arial"/>
          <w:sz w:val="22"/>
          <w:szCs w:val="22"/>
          <w:color w:val="auto"/>
        </w:rPr>
        <w:t>or removal from office. If there are no directors in office, then an election of directors may be held in the manner provided by the DGCL. In the event of a vacancy in the Board, the remaining directors, except as otherwise provided by law or these bylaws, may exercise the powers of the full Board until the vacancy is filled.</w:t>
      </w:r>
    </w:p>
    <w:p>
      <w:pPr>
        <w:spacing w:after="0" w:line="177" w:lineRule="exact"/>
        <w:rPr>
          <w:sz w:val="20"/>
          <w:szCs w:val="20"/>
          <w:color w:val="auto"/>
        </w:rPr>
      </w:pPr>
    </w:p>
    <w:p>
      <w:pPr>
        <w:ind w:right="40" w:firstLine="648"/>
        <w:spacing w:after="0" w:line="280"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color w:val="000000"/>
        </w:rPr>
        <w:t>Resignation and Removal. Any director may resign at any time upon written notice to the corporation at its principal</w:t>
      </w:r>
      <w:r>
        <w:rPr>
          <w:rFonts w:ascii="Arial" w:cs="Arial" w:eastAsia="Arial" w:hAnsi="Arial"/>
          <w:sz w:val="19"/>
          <w:szCs w:val="19"/>
          <w:color w:val="010000"/>
        </w:rPr>
        <w:t xml:space="preserve"> </w:t>
      </w:r>
      <w:r>
        <w:rPr>
          <w:rFonts w:ascii="Arial" w:cs="Arial" w:eastAsia="Arial" w:hAnsi="Arial"/>
          <w:sz w:val="19"/>
          <w:szCs w:val="19"/>
          <w:color w:val="000000"/>
        </w:rPr>
        <w:t>place of business addressed to the attention of the Chief Executive Officer or the Secretary. Such resignation shall be effective upon receipt of such notice unless the notice specifies such resignation to be effective at some other time or upon the happening of some other event. Unless otherwise specified by law or the Certificate of Incorporation, a director, if any, serving in a class of directors for a term expiring in the third annual meeting of stockholders following the election of such class may be removed, but only for cause, by the holders of sixty-six and two-thirds percent of the voting power of all of the then outstanding shares of the shares of the capital stock of the corporation entitled to vote generally in the election of directors, voting as a single class, and all other directors may be removed with or without cause by the affirmative vote of the holders of sixty-six and two-thirds percent of the voting power of all of the then outstanding shares of the shares of the capital stock of the corporation entitled to vote generally in the election of directors, voting as a single class.</w:t>
      </w:r>
    </w:p>
    <w:p>
      <w:pPr>
        <w:spacing w:after="0" w:line="151" w:lineRule="exact"/>
        <w:rPr>
          <w:sz w:val="20"/>
          <w:szCs w:val="20"/>
          <w:color w:val="auto"/>
        </w:rPr>
      </w:pPr>
    </w:p>
    <w:p>
      <w:pPr>
        <w:ind w:right="440" w:firstLine="648"/>
        <w:spacing w:after="0" w:line="264" w:lineRule="auto"/>
        <w:rPr>
          <w:sz w:val="20"/>
          <w:szCs w:val="20"/>
          <w:color w:val="auto"/>
        </w:rPr>
      </w:pPr>
      <w:r>
        <w:rPr>
          <w:rFonts w:ascii="Arial" w:cs="Arial" w:eastAsia="Arial" w:hAnsi="Arial"/>
          <w:sz w:val="21"/>
          <w:szCs w:val="21"/>
          <w:color w:val="010000"/>
        </w:rPr>
        <w:t xml:space="preserve">3.4 </w:t>
      </w:r>
      <w:r>
        <w:rPr>
          <w:rFonts w:ascii="Arial" w:cs="Arial" w:eastAsia="Arial" w:hAnsi="Arial"/>
          <w:sz w:val="21"/>
          <w:szCs w:val="21"/>
          <w:color w:val="000000"/>
        </w:rPr>
        <w:t>Powers. The business of the corporation shall be managed by or under the direction of the Board, which may</w:t>
      </w:r>
      <w:r>
        <w:rPr>
          <w:rFonts w:ascii="Arial" w:cs="Arial" w:eastAsia="Arial" w:hAnsi="Arial"/>
          <w:sz w:val="21"/>
          <w:szCs w:val="21"/>
          <w:color w:val="010000"/>
        </w:rPr>
        <w:t xml:space="preserve"> </w:t>
      </w:r>
      <w:r>
        <w:rPr>
          <w:rFonts w:ascii="Arial" w:cs="Arial" w:eastAsia="Arial" w:hAnsi="Arial"/>
          <w:sz w:val="21"/>
          <w:szCs w:val="21"/>
          <w:color w:val="000000"/>
        </w:rPr>
        <w:t>exercise all such powers of the corporation and do all such lawful acts and things as are not by statute or by the Certificate of Incorporation or by these bylaws directed or required to be exercised or done by the stockholders.</w:t>
      </w:r>
    </w:p>
    <w:p>
      <w:pPr>
        <w:spacing w:after="0" w:line="162" w:lineRule="exact"/>
        <w:rPr>
          <w:sz w:val="20"/>
          <w:szCs w:val="20"/>
          <w:color w:val="auto"/>
        </w:rPr>
      </w:pPr>
    </w:p>
    <w:p>
      <w:pPr>
        <w:ind w:right="460" w:firstLine="648"/>
        <w:spacing w:after="0" w:line="264" w:lineRule="auto"/>
        <w:rPr>
          <w:sz w:val="20"/>
          <w:szCs w:val="20"/>
          <w:color w:val="auto"/>
        </w:rPr>
      </w:pPr>
      <w:r>
        <w:rPr>
          <w:rFonts w:ascii="Arial" w:cs="Arial" w:eastAsia="Arial" w:hAnsi="Arial"/>
          <w:sz w:val="21"/>
          <w:szCs w:val="21"/>
          <w:color w:val="010000"/>
        </w:rPr>
        <w:t xml:space="preserve">3.5 </w:t>
      </w:r>
      <w:r>
        <w:rPr>
          <w:rFonts w:ascii="Arial" w:cs="Arial" w:eastAsia="Arial" w:hAnsi="Arial"/>
          <w:sz w:val="21"/>
          <w:szCs w:val="21"/>
          <w:color w:val="000000"/>
        </w:rPr>
        <w:t>Chair of the Board. If the Board appoints a Chair of the Board, such Chair shall, when present, preside at all</w:t>
      </w:r>
      <w:r>
        <w:rPr>
          <w:rFonts w:ascii="Arial" w:cs="Arial" w:eastAsia="Arial" w:hAnsi="Arial"/>
          <w:sz w:val="21"/>
          <w:szCs w:val="21"/>
          <w:color w:val="010000"/>
        </w:rPr>
        <w:t xml:space="preserve"> </w:t>
      </w:r>
      <w:r>
        <w:rPr>
          <w:rFonts w:ascii="Arial" w:cs="Arial" w:eastAsia="Arial" w:hAnsi="Arial"/>
          <w:sz w:val="21"/>
          <w:szCs w:val="21"/>
          <w:color w:val="000000"/>
        </w:rPr>
        <w:t>meetings of the stockholders and the Board. The Chair shall perform such duties and possess such powers as are customarily vested in the office of the Chair of the Board or as may be vested in the Chair by the Board.</w:t>
      </w:r>
    </w:p>
    <w:p>
      <w:pPr>
        <w:spacing w:after="0" w:line="162"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010000"/>
        </w:rPr>
        <w:t xml:space="preserve">3.6 </w:t>
      </w:r>
      <w:r>
        <w:rPr>
          <w:rFonts w:ascii="Arial" w:cs="Arial" w:eastAsia="Arial" w:hAnsi="Arial"/>
          <w:sz w:val="22"/>
          <w:szCs w:val="22"/>
          <w:color w:val="000000"/>
        </w:rPr>
        <w:t>Place of Meetings. The Board may hold meetings, both regular and special, either within or without the State of</w:t>
      </w:r>
      <w:r>
        <w:rPr>
          <w:rFonts w:ascii="Arial" w:cs="Arial" w:eastAsia="Arial" w:hAnsi="Arial"/>
          <w:sz w:val="22"/>
          <w:szCs w:val="22"/>
          <w:color w:val="010000"/>
        </w:rPr>
        <w:t xml:space="preserve"> </w:t>
      </w:r>
      <w:r>
        <w:rPr>
          <w:rFonts w:ascii="Arial" w:cs="Arial" w:eastAsia="Arial" w:hAnsi="Arial"/>
          <w:sz w:val="22"/>
          <w:szCs w:val="22"/>
          <w:color w:val="000000"/>
        </w:rPr>
        <w:t>Delaware.</w:t>
      </w:r>
    </w:p>
    <w:p>
      <w:pPr>
        <w:spacing w:after="0" w:line="16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3.7</w:t>
      </w:r>
      <w:r>
        <w:rPr>
          <w:sz w:val="20"/>
          <w:szCs w:val="20"/>
          <w:color w:val="auto"/>
        </w:rPr>
        <w:tab/>
      </w:r>
      <w:r>
        <w:rPr>
          <w:rFonts w:ascii="Arial" w:cs="Arial" w:eastAsia="Arial" w:hAnsi="Arial"/>
          <w:sz w:val="19"/>
          <w:szCs w:val="19"/>
          <w:color w:val="auto"/>
        </w:rPr>
        <w:t>[Reserved].</w:t>
      </w:r>
    </w:p>
    <w:p>
      <w:pPr>
        <w:spacing w:after="0" w:line="220" w:lineRule="exact"/>
        <w:rPr>
          <w:sz w:val="20"/>
          <w:szCs w:val="20"/>
          <w:color w:val="auto"/>
        </w:rPr>
      </w:pPr>
    </w:p>
    <w:p>
      <w:pPr>
        <w:jc w:val="both"/>
        <w:ind w:right="120" w:firstLine="648"/>
        <w:spacing w:after="0"/>
        <w:rPr>
          <w:sz w:val="20"/>
          <w:szCs w:val="20"/>
          <w:color w:val="auto"/>
        </w:rPr>
      </w:pPr>
      <w:r>
        <w:rPr>
          <w:rFonts w:ascii="Arial" w:cs="Arial" w:eastAsia="Arial" w:hAnsi="Arial"/>
          <w:sz w:val="22"/>
          <w:szCs w:val="22"/>
          <w:color w:val="010000"/>
        </w:rPr>
        <w:t xml:space="preserve">3.8 </w:t>
      </w:r>
      <w:r>
        <w:rPr>
          <w:rFonts w:ascii="Arial" w:cs="Arial" w:eastAsia="Arial" w:hAnsi="Arial"/>
          <w:sz w:val="22"/>
          <w:szCs w:val="22"/>
          <w:color w:val="000000"/>
        </w:rPr>
        <w:t>Regular Meetings. Regular meetings of the Board may be held without notice at such time and place, if any, as may</w:t>
      </w:r>
      <w:r>
        <w:rPr>
          <w:rFonts w:ascii="Arial" w:cs="Arial" w:eastAsia="Arial" w:hAnsi="Arial"/>
          <w:sz w:val="22"/>
          <w:szCs w:val="22"/>
          <w:color w:val="010000"/>
        </w:rPr>
        <w:t xml:space="preserve"> </w:t>
      </w:r>
      <w:r>
        <w:rPr>
          <w:rFonts w:ascii="Arial" w:cs="Arial" w:eastAsia="Arial" w:hAnsi="Arial"/>
          <w:sz w:val="22"/>
          <w:szCs w:val="22"/>
          <w:color w:val="000000"/>
        </w:rPr>
        <w:t>be determined from time to time by the Board; provided that any director who is absent when such a determination is made shall be given prompt notice of such determination.</w:t>
      </w:r>
    </w:p>
    <w:p>
      <w:pPr>
        <w:spacing w:after="0" w:line="200" w:lineRule="exact"/>
        <w:rPr>
          <w:sz w:val="20"/>
          <w:szCs w:val="20"/>
          <w:color w:val="auto"/>
        </w:rPr>
      </w:pPr>
    </w:p>
    <w:p>
      <w:pPr>
        <w:ind w:right="260" w:firstLine="648"/>
        <w:spacing w:after="0" w:line="238" w:lineRule="auto"/>
        <w:rPr>
          <w:sz w:val="20"/>
          <w:szCs w:val="20"/>
          <w:color w:val="auto"/>
        </w:rPr>
      </w:pPr>
      <w:r>
        <w:rPr>
          <w:rFonts w:ascii="Arial" w:cs="Arial" w:eastAsia="Arial" w:hAnsi="Arial"/>
          <w:sz w:val="22"/>
          <w:szCs w:val="22"/>
          <w:color w:val="010000"/>
        </w:rPr>
        <w:t xml:space="preserve">3.9 </w:t>
      </w:r>
      <w:r>
        <w:rPr>
          <w:rFonts w:ascii="Arial" w:cs="Arial" w:eastAsia="Arial" w:hAnsi="Arial"/>
          <w:sz w:val="22"/>
          <w:szCs w:val="22"/>
          <w:color w:val="000000"/>
        </w:rPr>
        <w:t>Special Meetings. Special meetings of the Board may be called by the Chair of the Board, the Chief Executive</w:t>
      </w:r>
      <w:r>
        <w:rPr>
          <w:rFonts w:ascii="Arial" w:cs="Arial" w:eastAsia="Arial" w:hAnsi="Arial"/>
          <w:sz w:val="22"/>
          <w:szCs w:val="22"/>
          <w:color w:val="010000"/>
        </w:rPr>
        <w:t xml:space="preserve"> </w:t>
      </w:r>
      <w:r>
        <w:rPr>
          <w:rFonts w:ascii="Arial" w:cs="Arial" w:eastAsia="Arial" w:hAnsi="Arial"/>
          <w:sz w:val="22"/>
          <w:szCs w:val="22"/>
          <w:color w:val="000000"/>
        </w:rPr>
        <w:t>Officer (if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33" w:name="page34"/>
    <w:bookmarkEnd w:id="33"/>
    <w:p>
      <w:pPr>
        <w:ind w:right="60"/>
        <w:spacing w:after="0" w:line="241" w:lineRule="auto"/>
        <w:rPr>
          <w:sz w:val="20"/>
          <w:szCs w:val="20"/>
          <w:color w:val="auto"/>
        </w:rPr>
      </w:pPr>
      <w:r>
        <w:rPr>
          <w:rFonts w:ascii="Arial" w:cs="Arial" w:eastAsia="Arial" w:hAnsi="Arial"/>
          <w:sz w:val="22"/>
          <w:szCs w:val="22"/>
          <w:color w:val="auto"/>
        </w:rPr>
        <w:t>meeting. In case such notice is delivered personally or by telephone or by first-class mail or commercial delivery service, facsimile transmission, or electronic mail or other electronic means, it shall be so delivered at least twenty-four hours prior to the time of the holding of the meeting. A notice or waiver of notice of a meeting of the Board need not specify the purposes of the meeting.</w:t>
      </w:r>
    </w:p>
    <w:p>
      <w:pPr>
        <w:spacing w:after="0" w:line="199"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010000"/>
        </w:rPr>
        <w:t xml:space="preserve">3.10 </w:t>
      </w:r>
      <w:r>
        <w:rPr>
          <w:rFonts w:ascii="Arial" w:cs="Arial" w:eastAsia="Arial" w:hAnsi="Arial"/>
          <w:sz w:val="19"/>
          <w:szCs w:val="19"/>
          <w:color w:val="000000"/>
        </w:rPr>
        <w:t>Quorum, Action at Meeting, Adjournments. At all meetings of the Board, a majority of directors then in office, but</w:t>
      </w:r>
      <w:r>
        <w:rPr>
          <w:rFonts w:ascii="Arial" w:cs="Arial" w:eastAsia="Arial" w:hAnsi="Arial"/>
          <w:sz w:val="19"/>
          <w:szCs w:val="19"/>
          <w:color w:val="010000"/>
        </w:rPr>
        <w:t xml:space="preserve"> </w:t>
      </w:r>
      <w:r>
        <w:rPr>
          <w:rFonts w:ascii="Arial" w:cs="Arial" w:eastAsia="Arial" w:hAnsi="Arial"/>
          <w:sz w:val="19"/>
          <w:szCs w:val="19"/>
          <w:color w:val="000000"/>
        </w:rPr>
        <w:t>in no event less than one-third of the entire Board, shall constitute a quorum for the transaction of business and the affirmative vote of a majority of the directors present at any meeting at which there is a quorum shall be the act of the Board, except as may be otherwise specifically provided by law or by the Certificate of Incorporation. For purposes of this Section, the term “entire Board” shall mean the total number of authorized directors whether or not there exist any vacancies in previously authorized directorships. If a quorum shall not be present at any meeting of the Board, a majority of the directors present thereat may adjourn the meeting from time to time, without notice other than announcement at the meeting, until a quorum shall be present.</w:t>
      </w:r>
    </w:p>
    <w:p>
      <w:pPr>
        <w:spacing w:after="0" w:line="147" w:lineRule="exact"/>
        <w:rPr>
          <w:sz w:val="20"/>
          <w:szCs w:val="20"/>
          <w:color w:val="auto"/>
        </w:rPr>
      </w:pPr>
    </w:p>
    <w:p>
      <w:pPr>
        <w:ind w:firstLine="648"/>
        <w:spacing w:after="0" w:line="242" w:lineRule="auto"/>
        <w:rPr>
          <w:sz w:val="20"/>
          <w:szCs w:val="20"/>
          <w:color w:val="auto"/>
        </w:rPr>
      </w:pPr>
      <w:r>
        <w:rPr>
          <w:rFonts w:ascii="Arial" w:cs="Arial" w:eastAsia="Arial" w:hAnsi="Arial"/>
          <w:sz w:val="22"/>
          <w:szCs w:val="22"/>
          <w:color w:val="010000"/>
        </w:rPr>
        <w:t xml:space="preserve">3.11 </w:t>
      </w:r>
      <w:r>
        <w:rPr>
          <w:rFonts w:ascii="Arial" w:cs="Arial" w:eastAsia="Arial" w:hAnsi="Arial"/>
          <w:sz w:val="22"/>
          <w:szCs w:val="22"/>
          <w:color w:val="000000"/>
        </w:rPr>
        <w:t>Action Without Meeting. Unless otherwise restricted by the Certificate of Incorporation or these bylaws, any action</w:t>
      </w:r>
      <w:r>
        <w:rPr>
          <w:rFonts w:ascii="Arial" w:cs="Arial" w:eastAsia="Arial" w:hAnsi="Arial"/>
          <w:sz w:val="22"/>
          <w:szCs w:val="22"/>
          <w:color w:val="010000"/>
        </w:rPr>
        <w:t xml:space="preserve"> </w:t>
      </w:r>
      <w:r>
        <w:rPr>
          <w:rFonts w:ascii="Arial" w:cs="Arial" w:eastAsia="Arial" w:hAnsi="Arial"/>
          <w:sz w:val="22"/>
          <w:szCs w:val="22"/>
          <w:color w:val="000000"/>
        </w:rPr>
        <w:t>required or permitted to be taken at any meeting of the Board or of any committee thereof may be taken without a meeting, if all members of the Board or committee, as the case may be, consent thereto in writing or by electronic transmission. After an action is taken, the writing or writings or electronic transmission or transmissions shall be filed with the minutes of proceedings of the Board or committee, as applicable.</w:t>
      </w:r>
    </w:p>
    <w:p>
      <w:pPr>
        <w:spacing w:after="0" w:line="183"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010000"/>
        </w:rPr>
        <w:t xml:space="preserve">3.12 </w:t>
      </w:r>
      <w:r>
        <w:rPr>
          <w:rFonts w:ascii="Arial" w:cs="Arial" w:eastAsia="Arial" w:hAnsi="Arial"/>
          <w:sz w:val="19"/>
          <w:szCs w:val="19"/>
          <w:color w:val="000000"/>
        </w:rPr>
        <w:t>Remote Meetings. Unless otherwise restricted by the Certificate of Incorporation or these bylaws, any member of</w:t>
      </w:r>
      <w:r>
        <w:rPr>
          <w:rFonts w:ascii="Arial" w:cs="Arial" w:eastAsia="Arial" w:hAnsi="Arial"/>
          <w:sz w:val="19"/>
          <w:szCs w:val="19"/>
          <w:color w:val="010000"/>
        </w:rPr>
        <w:t xml:space="preserve"> </w:t>
      </w:r>
      <w:r>
        <w:rPr>
          <w:rFonts w:ascii="Arial" w:cs="Arial" w:eastAsia="Arial" w:hAnsi="Arial"/>
          <w:sz w:val="19"/>
          <w:szCs w:val="19"/>
          <w:color w:val="000000"/>
        </w:rPr>
        <w:t>the Board or any committee thereof may participate in a meeting of the Board or of any committee, as the case may be, by means of conference telephone or by other communications equipment by means of which all persons participating in the meeting can hear each other, and such participation in a meeting shall constitute presence in person at the meeting.</w:t>
      </w:r>
    </w:p>
    <w:p>
      <w:pPr>
        <w:spacing w:after="0" w:line="15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010000"/>
        </w:rPr>
        <w:t xml:space="preserve">3.13 </w:t>
      </w:r>
      <w:r>
        <w:rPr>
          <w:rFonts w:ascii="Arial" w:cs="Arial" w:eastAsia="Arial" w:hAnsi="Arial"/>
          <w:sz w:val="19"/>
          <w:szCs w:val="19"/>
          <w:color w:val="000000"/>
        </w:rPr>
        <w:t>Committees. The Board may, by resolution, designate one or more committees, each committee to consist of one or</w:t>
      </w:r>
      <w:r>
        <w:rPr>
          <w:rFonts w:ascii="Arial" w:cs="Arial" w:eastAsia="Arial" w:hAnsi="Arial"/>
          <w:sz w:val="19"/>
          <w:szCs w:val="19"/>
          <w:color w:val="010000"/>
        </w:rPr>
        <w:t xml:space="preserve"> </w:t>
      </w:r>
      <w:r>
        <w:rPr>
          <w:rFonts w:ascii="Arial" w:cs="Arial" w:eastAsia="Arial" w:hAnsi="Arial"/>
          <w:sz w:val="19"/>
          <w:szCs w:val="19"/>
          <w:color w:val="000000"/>
        </w:rPr>
        <w:t>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of these bylaws. Such committee or committees shall have such name or names as may be determined from time to time by resolution adopted by the Board. Each committee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14" w:right="359" w:bottom="1440" w:gutter="0" w:footer="0" w:header="0"/>
        </w:sectPr>
      </w:pPr>
    </w:p>
    <w:bookmarkStart w:id="34" w:name="page35"/>
    <w:bookmarkEnd w:id="34"/>
    <w:p>
      <w:pPr>
        <w:ind w:right="120"/>
        <w:spacing w:after="0" w:line="241" w:lineRule="auto"/>
        <w:rPr>
          <w:sz w:val="20"/>
          <w:szCs w:val="20"/>
          <w:color w:val="auto"/>
        </w:rPr>
      </w:pPr>
      <w:r>
        <w:rPr>
          <w:rFonts w:ascii="Arial" w:cs="Arial" w:eastAsia="Arial" w:hAnsi="Arial"/>
          <w:sz w:val="22"/>
          <w:szCs w:val="22"/>
          <w:color w:val="auto"/>
        </w:rPr>
        <w:t>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199" w:lineRule="exact"/>
        <w:rPr>
          <w:sz w:val="20"/>
          <w:szCs w:val="20"/>
          <w:color w:val="auto"/>
        </w:rPr>
      </w:pPr>
    </w:p>
    <w:p>
      <w:pPr>
        <w:ind w:right="160" w:firstLine="648"/>
        <w:spacing w:after="0" w:line="239" w:lineRule="auto"/>
        <w:rPr>
          <w:sz w:val="20"/>
          <w:szCs w:val="20"/>
          <w:color w:val="auto"/>
        </w:rPr>
      </w:pPr>
      <w:r>
        <w:rPr>
          <w:rFonts w:ascii="Arial" w:cs="Arial" w:eastAsia="Arial" w:hAnsi="Arial"/>
          <w:sz w:val="22"/>
          <w:szCs w:val="22"/>
          <w:color w:val="010000"/>
        </w:rPr>
        <w:t xml:space="preserve">3.14 </w:t>
      </w:r>
      <w:r>
        <w:rPr>
          <w:rFonts w:ascii="Arial" w:cs="Arial" w:eastAsia="Arial" w:hAnsi="Arial"/>
          <w:sz w:val="22"/>
          <w:szCs w:val="22"/>
          <w:color w:val="000000"/>
        </w:rPr>
        <w:t>Fees and Compensation of Directors. Unless otherwise restricted by the Certificate of Incorporation or these</w:t>
      </w:r>
      <w:r>
        <w:rPr>
          <w:rFonts w:ascii="Arial" w:cs="Arial" w:eastAsia="Arial" w:hAnsi="Arial"/>
          <w:sz w:val="22"/>
          <w:szCs w:val="22"/>
          <w:color w:val="010000"/>
        </w:rPr>
        <w:t xml:space="preserve"> </w:t>
      </w:r>
      <w:r>
        <w:rPr>
          <w:rFonts w:ascii="Arial" w:cs="Arial" w:eastAsia="Arial" w:hAnsi="Arial"/>
          <w:sz w:val="22"/>
          <w:szCs w:val="22"/>
          <w:color w:val="000000"/>
        </w:rPr>
        <w:t>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90"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010000"/>
        </w:rPr>
        <w:t xml:space="preserve">3.15 </w:t>
      </w:r>
      <w:r>
        <w:rPr>
          <w:rFonts w:ascii="Arial" w:cs="Arial" w:eastAsia="Arial" w:hAnsi="Arial"/>
          <w:sz w:val="19"/>
          <w:szCs w:val="19"/>
          <w:color w:val="000000"/>
        </w:rPr>
        <w:t>Submission of Questionnaire, Representation and Agreement. To be eligible to be a nominee of any stockholder for</w:t>
      </w:r>
      <w:r>
        <w:rPr>
          <w:rFonts w:ascii="Arial" w:cs="Arial" w:eastAsia="Arial" w:hAnsi="Arial"/>
          <w:sz w:val="19"/>
          <w:szCs w:val="19"/>
          <w:color w:val="010000"/>
        </w:rPr>
        <w:t xml:space="preserve"> </w:t>
      </w:r>
      <w:r>
        <w:rPr>
          <w:rFonts w:ascii="Arial" w:cs="Arial" w:eastAsia="Arial" w:hAnsi="Arial"/>
          <w:sz w:val="19"/>
          <w:szCs w:val="19"/>
          <w:color w:val="000000"/>
        </w:rPr>
        <w:t>election or reelection as a director of the corporation, the person proposed to be nominated must deliver (in accordance with the time periods prescribed for delivery of notice under Section 3.1 of these bylaws) to the Secretary of the corporation at the principal executive offices of the corporation all completed and signed questionnaires in the forms required by the corporation (which form the stockholder shall request in writing from the Secretary of the corporation and which the Secretary of the corporation shall provide to such stockholder within ten (10) days of receiving such request) with respect to the background and qualification of such nominee to serve as a director of the corporation and the background of any other person or entity on whose behalf, directly or indirectly, the nomination is being made and a signed representation and agreement (in the form available from the Secretary of the corporation upon written request) that such nominee: (a) is not and will not become a party to (i) any agreement, arrangement or understanding with, and has not given any commitment or assurance to, any person or entity as to how such nominee, if elected as a director of the corporation, will act or vote on any issue or question (a “Voting Commitment”) that has not been disclosed to the corporation or (ii) any Voting Commitment that could limit or interfere with such nominee’s ability to comply, if elected as a director of the corporation, with such nominee’s fiduciary duties under applicable law, (b) is not and will not become a party to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any proxy materials relating to the corporation’s next meeting and agrees to serve if elected as a director,</w:t>
      </w:r>
    </w:p>
    <w:p>
      <w:pPr>
        <w:spacing w:after="0" w:line="12" w:lineRule="exact"/>
        <w:rPr>
          <w:sz w:val="20"/>
          <w:szCs w:val="20"/>
          <w:color w:val="auto"/>
        </w:rPr>
      </w:pPr>
    </w:p>
    <w:p>
      <w:pPr>
        <w:ind w:right="320" w:firstLine="8"/>
        <w:spacing w:after="0" w:line="236" w:lineRule="auto"/>
        <w:tabs>
          <w:tab w:leader="none" w:pos="306"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intends to serve as a director for the full term for which such individual is to stand for election, (h) represents and warrants that his or her candidacy or, if elected,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14" w:right="359" w:bottom="1440" w:gutter="0" w:footer="0" w:header="0"/>
        </w:sectPr>
      </w:pPr>
    </w:p>
    <w:bookmarkStart w:id="35" w:name="page36"/>
    <w:bookmarkEnd w:id="35"/>
    <w:p>
      <w:pPr>
        <w:ind w:right="160"/>
        <w:spacing w:after="0" w:line="256" w:lineRule="auto"/>
        <w:rPr>
          <w:sz w:val="20"/>
          <w:szCs w:val="20"/>
          <w:color w:val="auto"/>
        </w:rPr>
      </w:pPr>
      <w:r>
        <w:rPr>
          <w:rFonts w:ascii="Arial" w:cs="Arial" w:eastAsia="Arial" w:hAnsi="Arial"/>
          <w:sz w:val="21"/>
          <w:szCs w:val="21"/>
          <w:color w:val="auto"/>
        </w:rPr>
        <w:t>membership, would not violate applicable state or federal law, the Certificate of Incorporation, these bylaws, or the rules of any stock exchange on which shares of the corporation’s common stock are traded, and (i)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70"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color w:val="auto"/>
        </w:rPr>
        <w:t>The Board may request that any stockholder, beneficial owner, if any, or any associated person of such stockholder or beneficial owner and any proposed nominee of such stockholder, beneficial owner, if any, or any associated person of such stockholder or beneficial owner furnish such additional information as may be reasonably required by the Board. Such stockholder or beneficial owner, if any, or any associated person of such stockholder or beneficial owner and/or proposed nominee thereof shall provide such additional information within ten (10) days after it has been requested by the Board. The Board may require any such proposed nominee to submit to interviews with the Board or any committee thereof, and such proposed nominee shall make themself available for any such interviews within no less than ten (10) business days following the date of such request.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color w:val="000000"/>
        </w:rPr>
        <w:t>Officers Designated. The officers of the corporation shall be a Chief Executive Officer and/or President, a Secretary</w:t>
      </w:r>
      <w:r>
        <w:rPr>
          <w:rFonts w:ascii="Arial" w:cs="Arial" w:eastAsia="Arial" w:hAnsi="Arial"/>
          <w:sz w:val="19"/>
          <w:szCs w:val="19"/>
          <w:color w:val="010000"/>
        </w:rPr>
        <w:t xml:space="preserve"> </w:t>
      </w:r>
      <w:r>
        <w:rPr>
          <w:rFonts w:ascii="Arial" w:cs="Arial" w:eastAsia="Arial" w:hAnsi="Arial"/>
          <w:sz w:val="19"/>
          <w:szCs w:val="19"/>
          <w:color w:val="000000"/>
        </w:rPr>
        <w:t>and a Chief Financial Officer, each of whom shall be appointed by the Board. The Board may also appoint one or more Vice Presidents, a Treasurer, 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15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color w:val="auto"/>
        </w:rPr>
        <w:t>[Reserved].</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010000"/>
        </w:rPr>
        <w:t xml:space="preserve">4.3 </w:t>
      </w:r>
      <w:r>
        <w:rPr>
          <w:rFonts w:ascii="Arial" w:cs="Arial" w:eastAsia="Arial" w:hAnsi="Arial"/>
          <w:sz w:val="21"/>
          <w:szCs w:val="21"/>
          <w:color w:val="000000"/>
        </w:rPr>
        <w:t>Tenure. Each officer of the corporation shall hold office until such officer’s successor is elected and qualified, unless</w:t>
      </w:r>
      <w:r>
        <w:rPr>
          <w:rFonts w:ascii="Arial" w:cs="Arial" w:eastAsia="Arial" w:hAnsi="Arial"/>
          <w:sz w:val="21"/>
          <w:szCs w:val="21"/>
          <w:color w:val="010000"/>
        </w:rPr>
        <w:t xml:space="preserve"> </w:t>
      </w:r>
      <w:r>
        <w:rPr>
          <w:rFonts w:ascii="Arial" w:cs="Arial" w:eastAsia="Arial" w:hAnsi="Arial"/>
          <w:sz w:val="21"/>
          <w:szCs w:val="21"/>
          <w:color w:val="000000"/>
        </w:rPr>
        <w:t>a 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80" w:lineRule="exact"/>
        <w:rPr>
          <w:sz w:val="20"/>
          <w:szCs w:val="20"/>
          <w:color w:val="auto"/>
        </w:rPr>
      </w:pPr>
    </w:p>
    <w:p>
      <w:pPr>
        <w:ind w:right="120" w:firstLine="648"/>
        <w:spacing w:after="0" w:line="245" w:lineRule="auto"/>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color w:val="000000"/>
        </w:rPr>
        <w:t>Chief Executive Officer. The Chief Executive Officer shall, subject to the control of the Board, have general</w:t>
      </w:r>
      <w:r>
        <w:rPr>
          <w:rFonts w:ascii="Arial" w:cs="Arial" w:eastAsia="Arial" w:hAnsi="Arial"/>
          <w:sz w:val="22"/>
          <w:szCs w:val="22"/>
          <w:color w:val="010000"/>
        </w:rPr>
        <w:t xml:space="preserve"> </w:t>
      </w:r>
      <w:r>
        <w:rPr>
          <w:rFonts w:ascii="Arial" w:cs="Arial" w:eastAsia="Arial" w:hAnsi="Arial"/>
          <w:sz w:val="22"/>
          <w:szCs w:val="22"/>
          <w:color w:val="000000"/>
        </w:rPr>
        <w:t>executive charge, management and control of the business of the corporation and its officers and see that all orders and resolutions of the Board are carried into effect. In addition, the Chief Executive Officer shall perform such other duties and have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14" w:right="359" w:bottom="1440" w:gutter="0" w:footer="0" w:header="0"/>
        </w:sectPr>
      </w:pPr>
    </w:p>
    <w:bookmarkStart w:id="36" w:name="page37"/>
    <w:bookmarkEnd w:id="36"/>
    <w:p>
      <w:pPr>
        <w:ind w:right="220"/>
        <w:spacing w:after="0" w:line="292" w:lineRule="auto"/>
        <w:rPr>
          <w:sz w:val="20"/>
          <w:szCs w:val="20"/>
          <w:color w:val="auto"/>
        </w:rPr>
      </w:pPr>
      <w:r>
        <w:rPr>
          <w:rFonts w:ascii="Arial" w:cs="Arial" w:eastAsia="Arial" w:hAnsi="Arial"/>
          <w:sz w:val="19"/>
          <w:szCs w:val="19"/>
          <w:color w:val="auto"/>
        </w:rPr>
        <w:t>other powers as may from time to time be prescribed by the Board or as are set forth in the Certificate of Incorporation or these bylaws. If the Board of Directors has not elected or appointed a President or the office of the President is otherwise vacant, and no officer otherwise functions with the powers and duties of the President, then, unless otherwise determined by the Board of Directors, the Chief Executive Officer shall also have all the powers and duties of the President.</w:t>
      </w:r>
    </w:p>
    <w:p>
      <w:pPr>
        <w:spacing w:after="0" w:line="152" w:lineRule="exact"/>
        <w:rPr>
          <w:sz w:val="20"/>
          <w:szCs w:val="20"/>
          <w:color w:val="auto"/>
        </w:rPr>
      </w:pPr>
    </w:p>
    <w:p>
      <w:pPr>
        <w:ind w:right="320" w:firstLine="648"/>
        <w:spacing w:after="0" w:line="239" w:lineRule="auto"/>
        <w:rPr>
          <w:sz w:val="20"/>
          <w:szCs w:val="20"/>
          <w:color w:val="auto"/>
        </w:rPr>
      </w:pPr>
      <w:r>
        <w:rPr>
          <w:rFonts w:ascii="Arial" w:cs="Arial" w:eastAsia="Arial" w:hAnsi="Arial"/>
          <w:sz w:val="22"/>
          <w:szCs w:val="22"/>
          <w:color w:val="010000"/>
        </w:rPr>
        <w:t xml:space="preserve">4.5 </w:t>
      </w:r>
      <w:r>
        <w:rPr>
          <w:rFonts w:ascii="Arial" w:cs="Arial" w:eastAsia="Arial" w:hAnsi="Arial"/>
          <w:sz w:val="22"/>
          <w:szCs w:val="22"/>
          <w:color w:val="000000"/>
        </w:rPr>
        <w:t>President. The President shall, in the event there be no Chief Executive Officer or in the absence of the Chief</w:t>
      </w:r>
      <w:r>
        <w:rPr>
          <w:rFonts w:ascii="Arial" w:cs="Arial" w:eastAsia="Arial" w:hAnsi="Arial"/>
          <w:sz w:val="22"/>
          <w:szCs w:val="22"/>
          <w:color w:val="010000"/>
        </w:rPr>
        <w:t xml:space="preserve"> </w:t>
      </w:r>
      <w:r>
        <w:rPr>
          <w:rFonts w:ascii="Arial" w:cs="Arial" w:eastAsia="Arial" w:hAnsi="Arial"/>
          <w:sz w:val="22"/>
          <w:szCs w:val="22"/>
          <w:color w:val="000000"/>
        </w:rPr>
        <w:t>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9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010000"/>
        </w:rPr>
        <w:t xml:space="preserve">4.6 </w:t>
      </w:r>
      <w:r>
        <w:rPr>
          <w:rFonts w:ascii="Arial" w:cs="Arial" w:eastAsia="Arial" w:hAnsi="Arial"/>
          <w:sz w:val="21"/>
          <w:szCs w:val="21"/>
          <w:color w:val="000000"/>
        </w:rPr>
        <w:t>Chief Financial Officer. The Chief Financial Officer shall supervise the corporation’s treasury functions and</w:t>
      </w:r>
      <w:r>
        <w:rPr>
          <w:rFonts w:ascii="Arial" w:cs="Arial" w:eastAsia="Arial" w:hAnsi="Arial"/>
          <w:sz w:val="21"/>
          <w:szCs w:val="21"/>
          <w:color w:val="010000"/>
        </w:rPr>
        <w:t xml:space="preserve"> </w:t>
      </w:r>
      <w:r>
        <w:rPr>
          <w:rFonts w:ascii="Arial" w:cs="Arial" w:eastAsia="Arial" w:hAnsi="Arial"/>
          <w:sz w:val="21"/>
          <w:szCs w:val="21"/>
          <w:color w:val="000000"/>
        </w:rPr>
        <w:t>financial 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 the name and to the credit of the corporation in such depositories as may be designated by the Board. The Chief Financial Officer shall disburse, or cause to be disbursed, the funds of the corporation as may be ordered by the Board, taking proper vouchers for such disbursements, and 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21"/>
          <w:szCs w:val="21"/>
          <w:color w:val="010000"/>
        </w:rPr>
        <w:t xml:space="preserve">4.7 </w:t>
      </w:r>
      <w:r>
        <w:rPr>
          <w:rFonts w:ascii="Arial" w:cs="Arial" w:eastAsia="Arial" w:hAnsi="Arial"/>
          <w:sz w:val="21"/>
          <w:szCs w:val="21"/>
          <w:color w:val="000000"/>
        </w:rPr>
        <w:t>Vice President. Each Vice President, if any are elected, of whom one or more may be designated an Executive Vice</w:t>
      </w:r>
      <w:r>
        <w:rPr>
          <w:rFonts w:ascii="Arial" w:cs="Arial" w:eastAsia="Arial" w:hAnsi="Arial"/>
          <w:sz w:val="21"/>
          <w:szCs w:val="21"/>
          <w:color w:val="010000"/>
        </w:rPr>
        <w:t xml:space="preserve"> </w:t>
      </w:r>
      <w:r>
        <w:rPr>
          <w:rFonts w:ascii="Arial" w:cs="Arial" w:eastAsia="Arial" w:hAnsi="Arial"/>
          <w:sz w:val="21"/>
          <w:szCs w:val="21"/>
          <w:color w:val="000000"/>
        </w:rPr>
        <w:t>President or Senior Vice President, shall perform such other duties and have such other powers as may from time to time be prescribed for him or her by the Board, the Chief Executive Officer, the President, or these bylaws.</w:t>
      </w:r>
    </w:p>
    <w:p>
      <w:pPr>
        <w:spacing w:after="0" w:line="175"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010000"/>
        </w:rPr>
        <w:t xml:space="preserve">4.8 </w:t>
      </w:r>
      <w:r>
        <w:rPr>
          <w:rFonts w:ascii="Arial" w:cs="Arial" w:eastAsia="Arial" w:hAnsi="Arial"/>
          <w:sz w:val="19"/>
          <w:szCs w:val="19"/>
          <w:color w:val="000000"/>
        </w:rPr>
        <w:t>Secretary. The Secretary shall keep or cause to be kept minutes of all meetings and actions of the Board, committees</w:t>
      </w:r>
      <w:r>
        <w:rPr>
          <w:rFonts w:ascii="Arial" w:cs="Arial" w:eastAsia="Arial" w:hAnsi="Arial"/>
          <w:sz w:val="19"/>
          <w:szCs w:val="19"/>
          <w:color w:val="010000"/>
        </w:rPr>
        <w:t xml:space="preserve"> </w:t>
      </w:r>
      <w:r>
        <w:rPr>
          <w:rFonts w:ascii="Arial" w:cs="Arial" w:eastAsia="Arial" w:hAnsi="Arial"/>
          <w:sz w:val="19"/>
          <w:szCs w:val="19"/>
          <w:color w:val="000000"/>
        </w:rPr>
        <w:t>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The Secretary shall perform such other duties and have such other powers as may from time to time be prescribed by the Board, the Chief Executive Officer, the President or these bylaws.</w:t>
      </w:r>
    </w:p>
    <w:p>
      <w:pPr>
        <w:spacing w:after="0" w:line="169"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010000"/>
        </w:rPr>
        <w:t xml:space="preserve">4.9 </w:t>
      </w:r>
      <w:r>
        <w:rPr>
          <w:rFonts w:ascii="Arial" w:cs="Arial" w:eastAsia="Arial" w:hAnsi="Arial"/>
          <w:sz w:val="22"/>
          <w:szCs w:val="22"/>
          <w:color w:val="000000"/>
        </w:rPr>
        <w:t>Assistant Secretary. The Assistant Secretary, or if there be more than one, any Assistant Secretaries in the order</w:t>
      </w:r>
      <w:r>
        <w:rPr>
          <w:rFonts w:ascii="Arial" w:cs="Arial" w:eastAsia="Arial" w:hAnsi="Arial"/>
          <w:sz w:val="22"/>
          <w:szCs w:val="22"/>
          <w:color w:val="010000"/>
        </w:rPr>
        <w:t xml:space="preserve"> </w:t>
      </w:r>
      <w:r>
        <w:rPr>
          <w:rFonts w:ascii="Arial" w:cs="Arial" w:eastAsia="Arial" w:hAnsi="Arial"/>
          <w:sz w:val="22"/>
          <w:szCs w:val="22"/>
          <w:color w:val="000000"/>
        </w:rPr>
        <w:t>designated by the Board (or in the absence of any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14" w:right="359" w:bottom="1440" w:gutter="0" w:footer="0" w:header="0"/>
        </w:sectPr>
      </w:pPr>
    </w:p>
    <w:bookmarkStart w:id="37" w:name="page38"/>
    <w:bookmarkEnd w:id="37"/>
    <w:p>
      <w:pPr>
        <w:ind w:right="60"/>
        <w:spacing w:after="0" w:line="305" w:lineRule="auto"/>
        <w:rPr>
          <w:sz w:val="20"/>
          <w:szCs w:val="20"/>
          <w:color w:val="auto"/>
        </w:rPr>
      </w:pPr>
      <w:r>
        <w:rPr>
          <w:rFonts w:ascii="Arial" w:cs="Arial" w:eastAsia="Arial" w:hAnsi="Arial"/>
          <w:sz w:val="19"/>
          <w:szCs w:val="19"/>
          <w:color w:val="auto"/>
        </w:rPr>
        <w:t>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w:t>
      </w:r>
    </w:p>
    <w:p>
      <w:pPr>
        <w:spacing w:after="0" w:line="126"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color w:val="010000"/>
        </w:rPr>
        <w:t xml:space="preserve">4.10 </w:t>
      </w:r>
      <w:r>
        <w:rPr>
          <w:rFonts w:ascii="Arial" w:cs="Arial" w:eastAsia="Arial" w:hAnsi="Arial"/>
          <w:sz w:val="22"/>
          <w:szCs w:val="22"/>
          <w:color w:val="000000"/>
        </w:rPr>
        <w:t>Treasurer and Assistant Treasurers. The Treasurer (if one is appointed) shall have such duties as may be specified</w:t>
      </w:r>
      <w:r>
        <w:rPr>
          <w:rFonts w:ascii="Arial" w:cs="Arial" w:eastAsia="Arial" w:hAnsi="Arial"/>
          <w:sz w:val="22"/>
          <w:szCs w:val="22"/>
          <w:color w:val="010000"/>
        </w:rPr>
        <w:t xml:space="preserve"> </w:t>
      </w:r>
      <w:r>
        <w:rPr>
          <w:rFonts w:ascii="Arial" w:cs="Arial" w:eastAsia="Arial" w:hAnsi="Arial"/>
          <w:sz w:val="22"/>
          <w:szCs w:val="22"/>
          <w:color w:val="000000"/>
        </w:rPr>
        <w:t>by 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20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color w:val="000000"/>
        </w:rPr>
        <w:t>Delegation of Authority. The Board may from time to time delegate the powers or duties of any officer to any other</w:t>
      </w:r>
      <w:r>
        <w:rPr>
          <w:rFonts w:ascii="Arial" w:cs="Arial" w:eastAsia="Arial" w:hAnsi="Arial"/>
          <w:sz w:val="22"/>
          <w:szCs w:val="22"/>
          <w:color w:val="010000"/>
        </w:rPr>
        <w:t xml:space="preserve"> </w:t>
      </w:r>
      <w:r>
        <w:rPr>
          <w:rFonts w:ascii="Arial" w:cs="Arial" w:eastAsia="Arial" w:hAnsi="Arial"/>
          <w:sz w:val="22"/>
          <w:szCs w:val="22"/>
          <w:color w:val="000000"/>
        </w:rPr>
        <w:t>officers or agents, notwithstanding any provision hereof.</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NOTICES</w:t>
      </w:r>
    </w:p>
    <w:p>
      <w:pPr>
        <w:spacing w:after="0" w:line="188"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color w:val="000000"/>
        </w:rPr>
        <w:t>Form and Delivery. Except as otherwise required by law, notice may be given in writing directed to a stockholder’s</w:t>
      </w:r>
      <w:r>
        <w:rPr>
          <w:rFonts w:ascii="Arial" w:cs="Arial" w:eastAsia="Arial" w:hAnsi="Arial"/>
          <w:sz w:val="21"/>
          <w:szCs w:val="21"/>
          <w:color w:val="010000"/>
        </w:rPr>
        <w:t xml:space="preserve"> </w:t>
      </w:r>
      <w:r>
        <w:rPr>
          <w:rFonts w:ascii="Arial" w:cs="Arial" w:eastAsia="Arial" w:hAnsi="Arial"/>
          <w:sz w:val="21"/>
          <w:szCs w:val="21"/>
          <w:color w:val="000000"/>
        </w:rPr>
        <w:t>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93" w:lineRule="exact"/>
        <w:rPr>
          <w:sz w:val="20"/>
          <w:szCs w:val="20"/>
          <w:color w:val="auto"/>
        </w:rPr>
      </w:pPr>
    </w:p>
    <w:p>
      <w:pPr>
        <w:jc w:val="both"/>
        <w:ind w:right="600" w:firstLine="648"/>
        <w:spacing w:after="0" w:line="247" w:lineRule="auto"/>
        <w:rPr>
          <w:sz w:val="20"/>
          <w:szCs w:val="20"/>
          <w:color w:val="auto"/>
        </w:rPr>
      </w:pPr>
      <w:r>
        <w:rPr>
          <w:rFonts w:ascii="Arial" w:cs="Arial" w:eastAsia="Arial" w:hAnsi="Arial"/>
          <w:sz w:val="22"/>
          <w:szCs w:val="22"/>
          <w:color w:val="010000"/>
        </w:rPr>
        <w:t xml:space="preserve">5.2 </w:t>
      </w:r>
      <w:r>
        <w:rPr>
          <w:rFonts w:ascii="Arial" w:cs="Arial" w:eastAsia="Arial" w:hAnsi="Arial"/>
          <w:sz w:val="22"/>
          <w:szCs w:val="22"/>
          <w:color w:val="000000"/>
        </w:rPr>
        <w:t>Affidavit of Giving Notice. An affidavit of the Secretary or an Assistant Secretary of the corporation or of the</w:t>
      </w:r>
      <w:r>
        <w:rPr>
          <w:rFonts w:ascii="Arial" w:cs="Arial" w:eastAsia="Arial" w:hAnsi="Arial"/>
          <w:sz w:val="22"/>
          <w:szCs w:val="22"/>
          <w:color w:val="010000"/>
        </w:rPr>
        <w:t xml:space="preserve"> </w:t>
      </w:r>
      <w:r>
        <w:rPr>
          <w:rFonts w:ascii="Arial" w:cs="Arial" w:eastAsia="Arial" w:hAnsi="Arial"/>
          <w:sz w:val="22"/>
          <w:szCs w:val="22"/>
          <w:color w:val="000000"/>
        </w:rPr>
        <w:t>transfer agent or other agent of the corporation that the notice has been given shall, in the absence of fraud, be prima facie evidence of the facts stated therein.</w:t>
      </w:r>
    </w:p>
    <w:p>
      <w:pPr>
        <w:spacing w:after="0" w:line="177"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color w:val="000000"/>
        </w:rPr>
        <w:t>Waiver of Notice. Whenever any notice is required to be given under any provisions of the DGCL, the Certificate of</w:t>
      </w:r>
      <w:r>
        <w:rPr>
          <w:rFonts w:ascii="Arial" w:cs="Arial" w:eastAsia="Arial" w:hAnsi="Arial"/>
          <w:sz w:val="22"/>
          <w:szCs w:val="22"/>
          <w:color w:val="010000"/>
        </w:rPr>
        <w:t xml:space="preserve"> </w:t>
      </w:r>
      <w:r>
        <w:rPr>
          <w:rFonts w:ascii="Arial" w:cs="Arial" w:eastAsia="Arial" w:hAnsi="Arial"/>
          <w:sz w:val="22"/>
          <w:szCs w:val="22"/>
          <w:color w:val="000000"/>
        </w:rPr>
        <w:t>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00"/>
          </w:cols>
          <w:pgMar w:left="320" w:top="1414" w:right="379" w:bottom="1440" w:gutter="0" w:footer="0" w:header="0"/>
        </w:sectPr>
      </w:pPr>
    </w:p>
    <w:bookmarkStart w:id="38" w:name="page39"/>
    <w:bookmarkEnd w:id="38"/>
    <w:p>
      <w:pPr>
        <w:ind w:right="720"/>
        <w:spacing w:after="0" w:line="274" w:lineRule="auto"/>
        <w:rPr>
          <w:sz w:val="20"/>
          <w:szCs w:val="20"/>
          <w:color w:val="auto"/>
        </w:rPr>
      </w:pPr>
      <w:r>
        <w:rPr>
          <w:rFonts w:ascii="Arial" w:cs="Arial" w:eastAsia="Arial" w:hAnsi="Arial"/>
          <w:sz w:val="21"/>
          <w:szCs w:val="21"/>
          <w:color w:val="auto"/>
        </w:rPr>
        <w:t>convened. Neither the business to be transacted at, nor the purpose of, any regular or special meeting of the stockholders, directors or members of a committee of directors need be specified in any waiver of notice.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6</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INDEMNIFICATION AND INSURANCE</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6.1</w:t>
      </w:r>
      <w:r>
        <w:rPr>
          <w:sz w:val="20"/>
          <w:szCs w:val="20"/>
          <w:color w:val="auto"/>
        </w:rPr>
        <w:tab/>
      </w:r>
      <w:r>
        <w:rPr>
          <w:rFonts w:ascii="Arial" w:cs="Arial" w:eastAsia="Arial" w:hAnsi="Arial"/>
          <w:sz w:val="19"/>
          <w:szCs w:val="19"/>
          <w:color w:val="auto"/>
        </w:rPr>
        <w:t>Indemnification.</w:t>
      </w:r>
    </w:p>
    <w:p>
      <w:pPr>
        <w:spacing w:after="0" w:line="206"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while a director or officer of the corporation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and related disbursements, judgments, fines, excise taxes or penalties under the Employee Retirement Income Security Act of 1974, as amended from time to time, penalties and amounts paid or to be paid in settlement) actually and reasonably incurred or suffered by such Indemnitee in connection therewith. Each director or officer of the corporation (or any predecessor) who is or was serving as a director, officer, employee or agent of a subsidiary of the corporation shall be deemed to be serving, or have served, at the request of the corporation (or any predecessor).The corporation shall not be required to indemnify or make advances pursuant to Section 6.2 below to a person (A) other than as provided in Section 6.4 with respect to suits to enforce rights under this Article 6,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200" w:lineRule="exact"/>
        <w:rPr>
          <w:sz w:val="20"/>
          <w:szCs w:val="20"/>
          <w:color w:val="auto"/>
        </w:rPr>
      </w:pPr>
    </w:p>
    <w:p>
      <w:pPr>
        <w:spacing w:after="0" w:line="202"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010000"/>
        </w:rPr>
        <w:t xml:space="preserve">6.2 </w:t>
      </w:r>
      <w:r>
        <w:rPr>
          <w:rFonts w:ascii="Arial" w:cs="Arial" w:eastAsia="Arial" w:hAnsi="Arial"/>
          <w:sz w:val="19"/>
          <w:szCs w:val="19"/>
          <w:color w:val="000000"/>
        </w:rPr>
        <w:t>Advance Payment. The right to indemnification under this Article 6 shall include the right to be paid by the</w:t>
      </w:r>
      <w:r>
        <w:rPr>
          <w:rFonts w:ascii="Arial" w:cs="Arial" w:eastAsia="Arial" w:hAnsi="Arial"/>
          <w:sz w:val="19"/>
          <w:szCs w:val="19"/>
          <w:color w:val="010000"/>
        </w:rPr>
        <w:t xml:space="preserve"> </w:t>
      </w:r>
      <w:r>
        <w:rPr>
          <w:rFonts w:ascii="Arial" w:cs="Arial" w:eastAsia="Arial" w:hAnsi="Arial"/>
          <w:sz w:val="19"/>
          <w:szCs w:val="19"/>
          <w:color w:val="000000"/>
        </w:rPr>
        <w:t>corporation the expenses incurred by an Indemnitee in defending any such proceeding in advance of its final disposition, such advances to be paid by the corporation within 30 days after the receipt by the corporation of a statement or statements from the claimant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1414" w:right="379" w:bottom="1440" w:gutter="0" w:footer="0" w:header="0"/>
        </w:sectPr>
      </w:pPr>
    </w:p>
    <w:bookmarkStart w:id="39" w:name="page40"/>
    <w:bookmarkEnd w:id="39"/>
    <w:p>
      <w:pPr>
        <w:ind w:right="560"/>
        <w:spacing w:after="0" w:line="250" w:lineRule="auto"/>
        <w:rPr>
          <w:sz w:val="20"/>
          <w:szCs w:val="20"/>
          <w:color w:val="auto"/>
        </w:rPr>
      </w:pPr>
      <w:r>
        <w:rPr>
          <w:rFonts w:ascii="Arial" w:cs="Arial" w:eastAsia="Arial" w:hAnsi="Arial"/>
          <w:sz w:val="22"/>
          <w:szCs w:val="22"/>
          <w:color w:val="auto"/>
        </w:rPr>
        <w:t>amounts so advanced if it shall ultimately be determined that such director or officer is not entitled to be indemnified under Section 6.1 or otherwise.</w:t>
      </w:r>
    </w:p>
    <w:p>
      <w:pPr>
        <w:spacing w:after="0" w:line="188" w:lineRule="exact"/>
        <w:rPr>
          <w:sz w:val="20"/>
          <w:szCs w:val="20"/>
          <w:color w:val="auto"/>
        </w:rPr>
      </w:pPr>
    </w:p>
    <w:p>
      <w:pPr>
        <w:ind w:right="100" w:firstLine="648"/>
        <w:spacing w:after="0" w:line="251" w:lineRule="auto"/>
        <w:rPr>
          <w:sz w:val="20"/>
          <w:szCs w:val="20"/>
          <w:color w:val="auto"/>
        </w:rPr>
      </w:pPr>
      <w:r>
        <w:rPr>
          <w:rFonts w:ascii="Arial" w:cs="Arial" w:eastAsia="Arial" w:hAnsi="Arial"/>
          <w:sz w:val="21"/>
          <w:szCs w:val="21"/>
          <w:color w:val="010000"/>
        </w:rPr>
        <w:t xml:space="preserve">6.3 </w:t>
      </w:r>
      <w:r>
        <w:rPr>
          <w:rFonts w:ascii="Arial" w:cs="Arial" w:eastAsia="Arial" w:hAnsi="Arial"/>
          <w:sz w:val="21"/>
          <w:szCs w:val="21"/>
          <w:color w:val="000000"/>
        </w:rPr>
        <w:t>Non-Exclusivity and Survival of Rights; Amendments. The right to indemnification and the payment of expenses</w:t>
      </w:r>
      <w:r>
        <w:rPr>
          <w:rFonts w:ascii="Arial" w:cs="Arial" w:eastAsia="Arial" w:hAnsi="Arial"/>
          <w:sz w:val="21"/>
          <w:szCs w:val="21"/>
          <w:color w:val="010000"/>
        </w:rPr>
        <w:t xml:space="preserve"> </w:t>
      </w:r>
      <w:r>
        <w:rPr>
          <w:rFonts w:ascii="Arial" w:cs="Arial" w:eastAsia="Arial" w:hAnsi="Arial"/>
          <w:sz w:val="21"/>
          <w:szCs w:val="21"/>
          <w:color w:val="000000"/>
        </w:rPr>
        <w:t>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80" w:lineRule="exact"/>
        <w:rPr>
          <w:sz w:val="20"/>
          <w:szCs w:val="20"/>
          <w:color w:val="auto"/>
        </w:rPr>
      </w:pPr>
    </w:p>
    <w:p>
      <w:pPr>
        <w:ind w:right="180" w:firstLine="648"/>
        <w:spacing w:after="0" w:line="285" w:lineRule="auto"/>
        <w:rPr>
          <w:sz w:val="20"/>
          <w:szCs w:val="20"/>
          <w:color w:val="auto"/>
        </w:rPr>
      </w:pPr>
      <w:r>
        <w:rPr>
          <w:rFonts w:ascii="Arial" w:cs="Arial" w:eastAsia="Arial" w:hAnsi="Arial"/>
          <w:sz w:val="19"/>
          <w:szCs w:val="19"/>
          <w:color w:val="010000"/>
        </w:rPr>
        <w:t xml:space="preserve">6.4 </w:t>
      </w:r>
      <w:r>
        <w:rPr>
          <w:rFonts w:ascii="Arial" w:cs="Arial" w:eastAsia="Arial" w:hAnsi="Arial"/>
          <w:sz w:val="19"/>
          <w:szCs w:val="19"/>
          <w:color w:val="000000"/>
        </w:rPr>
        <w:t>Determination; Claim. If a claim for indemnification (following the final disposition of a proceeding) or</w:t>
      </w:r>
      <w:r>
        <w:rPr>
          <w:rFonts w:ascii="Arial" w:cs="Arial" w:eastAsia="Arial" w:hAnsi="Arial"/>
          <w:sz w:val="19"/>
          <w:szCs w:val="19"/>
          <w:color w:val="010000"/>
        </w:rPr>
        <w:t xml:space="preserve"> </w:t>
      </w:r>
      <w:r>
        <w:rPr>
          <w:rFonts w:ascii="Arial" w:cs="Arial" w:eastAsia="Arial" w:hAnsi="Arial"/>
          <w:sz w:val="19"/>
          <w:szCs w:val="19"/>
          <w:color w:val="000000"/>
        </w:rPr>
        <w:t>advancement 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144" w:lineRule="exact"/>
        <w:rPr>
          <w:sz w:val="20"/>
          <w:szCs w:val="20"/>
          <w:color w:val="auto"/>
        </w:rPr>
      </w:pPr>
    </w:p>
    <w:p>
      <w:pPr>
        <w:ind w:firstLine="648"/>
        <w:spacing w:after="0" w:line="253" w:lineRule="auto"/>
        <w:rPr>
          <w:sz w:val="20"/>
          <w:szCs w:val="20"/>
          <w:color w:val="auto"/>
        </w:rPr>
      </w:pPr>
      <w:r>
        <w:rPr>
          <w:rFonts w:ascii="Arial" w:cs="Arial" w:eastAsia="Arial" w:hAnsi="Arial"/>
          <w:sz w:val="21"/>
          <w:szCs w:val="21"/>
          <w:color w:val="010000"/>
        </w:rPr>
        <w:t xml:space="preserve">6.5 </w:t>
      </w:r>
      <w:r>
        <w:rPr>
          <w:rFonts w:ascii="Arial" w:cs="Arial" w:eastAsia="Arial" w:hAnsi="Arial"/>
          <w:sz w:val="21"/>
          <w:szCs w:val="21"/>
          <w:color w:val="000000"/>
        </w:rPr>
        <w:t>Insurance. The corporation may purchase and maintain insurance on its own behalf and on behalf of any person who</w:t>
      </w:r>
      <w:r>
        <w:rPr>
          <w:rFonts w:ascii="Arial" w:cs="Arial" w:eastAsia="Arial" w:hAnsi="Arial"/>
          <w:sz w:val="21"/>
          <w:szCs w:val="21"/>
          <w:color w:val="010000"/>
        </w:rPr>
        <w:t xml:space="preserve"> </w:t>
      </w:r>
      <w:r>
        <w:rPr>
          <w:rFonts w:ascii="Arial" w:cs="Arial" w:eastAsia="Arial" w:hAnsi="Arial"/>
          <w:sz w:val="21"/>
          <w:szCs w:val="21"/>
          <w:color w:val="000000"/>
        </w:rPr>
        <w:t>is or was a director, officer, employee or agent of the 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8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010000"/>
        </w:rPr>
        <w:t xml:space="preserve">6.6 </w:t>
      </w:r>
      <w:r>
        <w:rPr>
          <w:rFonts w:ascii="Arial" w:cs="Arial" w:eastAsia="Arial" w:hAnsi="Arial"/>
          <w:sz w:val="19"/>
          <w:szCs w:val="19"/>
          <w:color w:val="000000"/>
        </w:rPr>
        <w:t>Severability. If any word, clause, provision or provisions of this Article 6 shall be held to be invalid, illegal or</w:t>
      </w:r>
      <w:r>
        <w:rPr>
          <w:rFonts w:ascii="Arial" w:cs="Arial" w:eastAsia="Arial" w:hAnsi="Arial"/>
          <w:sz w:val="19"/>
          <w:szCs w:val="19"/>
          <w:color w:val="010000"/>
        </w:rPr>
        <w:t xml:space="preserve"> </w:t>
      </w:r>
      <w:r>
        <w:rPr>
          <w:rFonts w:ascii="Arial" w:cs="Arial" w:eastAsia="Arial" w:hAnsi="Arial"/>
          <w:sz w:val="19"/>
          <w:szCs w:val="19"/>
          <w:color w:val="000000"/>
        </w:rPr>
        <w:t>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147" w:lineRule="exact"/>
        <w:rPr>
          <w:sz w:val="20"/>
          <w:szCs w:val="20"/>
          <w:color w:val="auto"/>
        </w:rPr>
      </w:pPr>
    </w:p>
    <w:p>
      <w:pPr>
        <w:ind w:right="180" w:firstLine="648"/>
        <w:spacing w:after="0" w:line="305" w:lineRule="auto"/>
        <w:rPr>
          <w:sz w:val="20"/>
          <w:szCs w:val="20"/>
          <w:color w:val="auto"/>
        </w:rPr>
      </w:pPr>
      <w:r>
        <w:rPr>
          <w:rFonts w:ascii="Arial" w:cs="Arial" w:eastAsia="Arial" w:hAnsi="Arial"/>
          <w:sz w:val="19"/>
          <w:szCs w:val="19"/>
          <w:color w:val="010000"/>
        </w:rPr>
        <w:t xml:space="preserve">6.7 </w:t>
      </w:r>
      <w:r>
        <w:rPr>
          <w:rFonts w:ascii="Arial" w:cs="Arial" w:eastAsia="Arial" w:hAnsi="Arial"/>
          <w:sz w:val="19"/>
          <w:szCs w:val="19"/>
          <w:color w:val="000000"/>
        </w:rPr>
        <w:t>Reliance. Persons who after the date of the adoption of this provision become or remain directors or officers of the</w:t>
      </w:r>
      <w:r>
        <w:rPr>
          <w:rFonts w:ascii="Arial" w:cs="Arial" w:eastAsia="Arial" w:hAnsi="Arial"/>
          <w:sz w:val="19"/>
          <w:szCs w:val="19"/>
          <w:color w:val="010000"/>
        </w:rPr>
        <w:t xml:space="preserve"> </w:t>
      </w:r>
      <w:r>
        <w:rPr>
          <w:rFonts w:ascii="Arial" w:cs="Arial" w:eastAsia="Arial" w:hAnsi="Arial"/>
          <w:sz w:val="19"/>
          <w:szCs w:val="19"/>
          <w:color w:val="000000"/>
        </w:rPr>
        <w:t>corporation shall be conclusively presumed to have relied on the rights to indemnity, advance of expenses and other rights contained in this Article 6 in entering into or continuing such service. The rights to indemnification and to the advance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14" w:right="359" w:bottom="1440" w:gutter="0" w:footer="0" w:header="0"/>
        </w:sectPr>
      </w:pPr>
    </w:p>
    <w:bookmarkStart w:id="40" w:name="page41"/>
    <w:bookmarkEnd w:id="40"/>
    <w:p>
      <w:pPr>
        <w:ind w:right="740"/>
        <w:spacing w:after="0" w:line="250" w:lineRule="auto"/>
        <w:rPr>
          <w:sz w:val="20"/>
          <w:szCs w:val="20"/>
          <w:color w:val="auto"/>
        </w:rPr>
      </w:pPr>
      <w:r>
        <w:rPr>
          <w:rFonts w:ascii="Arial" w:cs="Arial" w:eastAsia="Arial" w:hAnsi="Arial"/>
          <w:sz w:val="22"/>
          <w:szCs w:val="22"/>
          <w:color w:val="auto"/>
        </w:rPr>
        <w:t>expenses conferred in this Article 6 shall apply to claims made against an Indemnitee arising out of acts or omissions that occurred or occur both prior and subsequent to the adoption hereof.</w:t>
      </w:r>
    </w:p>
    <w:p>
      <w:pPr>
        <w:spacing w:after="0" w:line="188"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010000"/>
        </w:rPr>
        <w:t xml:space="preserve">6.8 </w:t>
      </w:r>
      <w:r>
        <w:rPr>
          <w:rFonts w:ascii="Arial" w:cs="Arial" w:eastAsia="Arial" w:hAnsi="Arial"/>
          <w:sz w:val="21"/>
          <w:szCs w:val="21"/>
          <w:color w:val="000000"/>
        </w:rPr>
        <w:t>Indemnification of Other Persons. This Article 6 shall not limit the right of the corporation, to the extent and in the</w:t>
      </w:r>
      <w:r>
        <w:rPr>
          <w:rFonts w:ascii="Arial" w:cs="Arial" w:eastAsia="Arial" w:hAnsi="Arial"/>
          <w:sz w:val="21"/>
          <w:szCs w:val="21"/>
          <w:color w:val="010000"/>
        </w:rPr>
        <w:t xml:space="preserve"> </w:t>
      </w:r>
      <w:r>
        <w:rPr>
          <w:rFonts w:ascii="Arial" w:cs="Arial" w:eastAsia="Arial" w:hAnsi="Arial"/>
          <w:sz w:val="21"/>
          <w:szCs w:val="21"/>
          <w:color w:val="000000"/>
        </w:rPr>
        <w:t>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provided, however,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010000"/>
        </w:rPr>
        <w:t xml:space="preserve">6.9 </w:t>
      </w:r>
      <w:r>
        <w:rPr>
          <w:rFonts w:ascii="Arial" w:cs="Arial" w:eastAsia="Arial" w:hAnsi="Arial"/>
          <w:sz w:val="19"/>
          <w:szCs w:val="19"/>
          <w:color w:val="000000"/>
        </w:rPr>
        <w:t>Indemnification for Successful Defense. To the extent that an Indemnitee has been successful on the merits or</w:t>
      </w:r>
      <w:r>
        <w:rPr>
          <w:rFonts w:ascii="Arial" w:cs="Arial" w:eastAsia="Arial" w:hAnsi="Arial"/>
          <w:sz w:val="19"/>
          <w:szCs w:val="19"/>
          <w:color w:val="010000"/>
        </w:rPr>
        <w:t xml:space="preserve"> </w:t>
      </w:r>
      <w:r>
        <w:rPr>
          <w:rFonts w:ascii="Arial" w:cs="Arial" w:eastAsia="Arial" w:hAnsi="Arial"/>
          <w:sz w:val="19"/>
          <w:szCs w:val="19"/>
          <w:color w:val="000000"/>
        </w:rPr>
        <w:t>otherwise in defense of any proceeding (or in defense of any claim, issue or matter therein), such Indemnitee shall be indemnified under this Section 6.9 against expenses (including attorneys’ fees) actually and reasonably incurred in connection with such defense. Indemnification under this Section 6.9 shall not be subject to satisfaction of a standard of conduct, and the corporation may not assert the failure to satisfy a standard of conduct as a basis to deny indemnification or recover amounts advanced, including in a suit brought pursuant to Section 6.4 (notwithstanding anything to the contrary therein); provided, however, that, any Indemnitee who is not a current or former director or officer (as such term is defined in the final sentence of Section 145(c)</w:t>
      </w:r>
    </w:p>
    <w:p>
      <w:pPr>
        <w:spacing w:after="0" w:line="6" w:lineRule="exact"/>
        <w:rPr>
          <w:sz w:val="20"/>
          <w:szCs w:val="20"/>
          <w:color w:val="auto"/>
        </w:rPr>
      </w:pPr>
    </w:p>
    <w:p>
      <w:pPr>
        <w:jc w:val="both"/>
        <w:ind w:right="580" w:firstLine="8"/>
        <w:spacing w:after="0" w:line="239" w:lineRule="auto"/>
        <w:tabs>
          <w:tab w:leader="none" w:pos="306" w:val="left"/>
        </w:tabs>
        <w:numPr>
          <w:ilvl w:val="0"/>
          <w:numId w:val="19"/>
        </w:numPr>
        <w:rPr>
          <w:rFonts w:ascii="Arial" w:cs="Arial" w:eastAsia="Arial" w:hAnsi="Arial"/>
          <w:sz w:val="22"/>
          <w:szCs w:val="22"/>
          <w:color w:val="auto"/>
        </w:rPr>
      </w:pPr>
      <w:r>
        <w:rPr>
          <w:rFonts w:ascii="Arial" w:cs="Arial" w:eastAsia="Arial" w:hAnsi="Arial"/>
          <w:sz w:val="22"/>
          <w:szCs w:val="22"/>
          <w:color w:val="auto"/>
        </w:rPr>
        <w:t>of the DGCL) of the corporation shall be entitled to indemnification under Section 6.1 and this Section 6.9 only if such Indemnitee has satisfied the standard of conduct required for indemnification under Section 145(a) or Section 145(b) of the DGCL.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STOCK</w:t>
      </w:r>
    </w:p>
    <w:p>
      <w:pPr>
        <w:spacing w:after="0" w:line="188"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010000"/>
        </w:rPr>
        <w:t xml:space="preserve">7.1 </w:t>
      </w:r>
      <w:r>
        <w:rPr>
          <w:rFonts w:ascii="Arial" w:cs="Arial" w:eastAsia="Arial" w:hAnsi="Arial"/>
          <w:sz w:val="19"/>
          <w:szCs w:val="19"/>
          <w:color w:val="000000"/>
        </w:rPr>
        <w:t>Certificates for Shares. The shares of the corporation shall be represented by certificates or shall be uncertificated as</w:t>
      </w:r>
      <w:r>
        <w:rPr>
          <w:rFonts w:ascii="Arial" w:cs="Arial" w:eastAsia="Arial" w:hAnsi="Arial"/>
          <w:sz w:val="19"/>
          <w:szCs w:val="19"/>
          <w:color w:val="010000"/>
        </w:rPr>
        <w:t xml:space="preserve"> </w:t>
      </w:r>
      <w:r>
        <w:rPr>
          <w:rFonts w:ascii="Arial" w:cs="Arial" w:eastAsia="Arial" w:hAnsi="Arial"/>
          <w:sz w:val="19"/>
          <w:szCs w:val="19"/>
          <w:color w:val="000000"/>
        </w:rPr>
        <w:t>provided in Section 158 of the DGCL. Certificates for shares, if any, shall be signed by, or in the name of the corporation by, by any two authorized officers of the Corporation (it being understood that each of the Chief Executive Officer, the President, any Vice President, the Chief Financial Officer, the Treasurer, any Assistant Treasurer, the Secretary or any Assistant Secretary of the corporation shall be an authorized officer for such purpose).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48" w:lineRule="exact"/>
        <w:rPr>
          <w:sz w:val="20"/>
          <w:szCs w:val="20"/>
          <w:color w:val="auto"/>
        </w:rPr>
      </w:pPr>
    </w:p>
    <w:p>
      <w:pPr>
        <w:ind w:right="320" w:firstLine="648"/>
        <w:spacing w:after="0" w:line="242" w:lineRule="auto"/>
        <w:rPr>
          <w:sz w:val="20"/>
          <w:szCs w:val="20"/>
          <w:color w:val="auto"/>
        </w:rPr>
      </w:pPr>
      <w:r>
        <w:rPr>
          <w:rFonts w:ascii="Arial" w:cs="Arial" w:eastAsia="Arial" w:hAnsi="Arial"/>
          <w:sz w:val="22"/>
          <w:szCs w:val="22"/>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4" w:right="339" w:bottom="1440" w:gutter="0" w:footer="0" w:header="0"/>
        </w:sectPr>
      </w:pPr>
    </w:p>
    <w:bookmarkStart w:id="41" w:name="page42"/>
    <w:bookmarkEnd w:id="41"/>
    <w:p>
      <w:pPr>
        <w:ind w:right="100" w:firstLine="648"/>
        <w:spacing w:after="0" w:line="241" w:lineRule="auto"/>
        <w:rPr>
          <w:sz w:val="20"/>
          <w:szCs w:val="20"/>
          <w:color w:val="auto"/>
        </w:rPr>
      </w:pPr>
      <w:r>
        <w:rPr>
          <w:rFonts w:ascii="Arial" w:cs="Arial" w:eastAsia="Arial" w:hAnsi="Arial"/>
          <w:sz w:val="22"/>
          <w:szCs w:val="22"/>
          <w:color w:val="010000"/>
        </w:rPr>
        <w:t xml:space="preserve">7.2 </w:t>
      </w:r>
      <w:r>
        <w:rPr>
          <w:rFonts w:ascii="Arial" w:cs="Arial" w:eastAsia="Arial" w:hAnsi="Arial"/>
          <w:sz w:val="22"/>
          <w:szCs w:val="22"/>
          <w:color w:val="000000"/>
        </w:rPr>
        <w:t>Signatures on Certificates. Any or all of the signatures on a certificate may be a facsimile. In case any officer,</w:t>
      </w:r>
      <w:r>
        <w:rPr>
          <w:rFonts w:ascii="Arial" w:cs="Arial" w:eastAsia="Arial" w:hAnsi="Arial"/>
          <w:sz w:val="22"/>
          <w:szCs w:val="22"/>
          <w:color w:val="010000"/>
        </w:rPr>
        <w:t xml:space="preserve"> </w:t>
      </w:r>
      <w:r>
        <w:rPr>
          <w:rFonts w:ascii="Arial" w:cs="Arial" w:eastAsia="Arial" w:hAnsi="Arial"/>
          <w:sz w:val="22"/>
          <w:szCs w:val="22"/>
          <w:color w:val="000000"/>
        </w:rPr>
        <w:t>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99"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color w:val="000000"/>
        </w:rPr>
        <w:t>Transfer of Stock. Shares of stock of the corporation shall be transferable in the manner prescribed by law and in</w:t>
      </w:r>
      <w:r>
        <w:rPr>
          <w:rFonts w:ascii="Arial" w:cs="Arial" w:eastAsia="Arial" w:hAnsi="Arial"/>
          <w:sz w:val="21"/>
          <w:szCs w:val="21"/>
          <w:color w:val="010000"/>
        </w:rPr>
        <w:t xml:space="preserve"> </w:t>
      </w:r>
      <w:r>
        <w:rPr>
          <w:rFonts w:ascii="Arial" w:cs="Arial" w:eastAsia="Arial" w:hAnsi="Arial"/>
          <w:sz w:val="21"/>
          <w:szCs w:val="21"/>
          <w:color w:val="000000"/>
        </w:rPr>
        <w:t>these bylaws. Shares of stock of the corporation shall be transferred on the books of the corporation only by the holder of record thereof or by such holder’s 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198" w:lineRule="exact"/>
        <w:rPr>
          <w:sz w:val="20"/>
          <w:szCs w:val="20"/>
          <w:color w:val="auto"/>
        </w:rPr>
      </w:pPr>
    </w:p>
    <w:p>
      <w:pPr>
        <w:ind w:right="40" w:firstLine="648"/>
        <w:spacing w:after="0" w:line="239" w:lineRule="auto"/>
        <w:rPr>
          <w:sz w:val="20"/>
          <w:szCs w:val="20"/>
          <w:color w:val="auto"/>
        </w:rPr>
      </w:pPr>
      <w:r>
        <w:rPr>
          <w:rFonts w:ascii="Arial" w:cs="Arial" w:eastAsia="Arial" w:hAnsi="Arial"/>
          <w:sz w:val="22"/>
          <w:szCs w:val="22"/>
          <w:color w:val="010000"/>
        </w:rPr>
        <w:t xml:space="preserve">7.4 </w:t>
      </w:r>
      <w:r>
        <w:rPr>
          <w:rFonts w:ascii="Arial" w:cs="Arial" w:eastAsia="Arial" w:hAnsi="Arial"/>
          <w:sz w:val="22"/>
          <w:szCs w:val="22"/>
          <w:color w:val="000000"/>
        </w:rPr>
        <w:t>Registered Stockholders. The corporation shall be entitled to recognize the exclusive right of a person registered on</w:t>
      </w:r>
      <w:r>
        <w:rPr>
          <w:rFonts w:ascii="Arial" w:cs="Arial" w:eastAsia="Arial" w:hAnsi="Arial"/>
          <w:sz w:val="22"/>
          <w:szCs w:val="22"/>
          <w:color w:val="010000"/>
        </w:rPr>
        <w:t xml:space="preserve"> </w:t>
      </w:r>
      <w:r>
        <w:rPr>
          <w:rFonts w:ascii="Arial" w:cs="Arial" w:eastAsia="Arial" w:hAnsi="Arial"/>
          <w:sz w:val="22"/>
          <w:szCs w:val="22"/>
          <w:color w:val="000000"/>
        </w:rPr>
        <w:t>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8" w:lineRule="exact"/>
        <w:rPr>
          <w:sz w:val="20"/>
          <w:szCs w:val="20"/>
          <w:color w:val="auto"/>
        </w:rPr>
      </w:pPr>
    </w:p>
    <w:p>
      <w:pPr>
        <w:ind w:right="80" w:firstLine="648"/>
        <w:spacing w:after="0" w:line="251" w:lineRule="auto"/>
        <w:rPr>
          <w:sz w:val="20"/>
          <w:szCs w:val="20"/>
          <w:color w:val="auto"/>
        </w:rPr>
      </w:pPr>
      <w:r>
        <w:rPr>
          <w:rFonts w:ascii="Arial" w:cs="Arial" w:eastAsia="Arial" w:hAnsi="Arial"/>
          <w:sz w:val="21"/>
          <w:szCs w:val="21"/>
          <w:color w:val="010000"/>
        </w:rPr>
        <w:t xml:space="preserve">7.5 </w:t>
      </w:r>
      <w:r>
        <w:rPr>
          <w:rFonts w:ascii="Arial" w:cs="Arial" w:eastAsia="Arial" w:hAnsi="Arial"/>
          <w:sz w:val="21"/>
          <w:szCs w:val="21"/>
          <w:color w:val="000000"/>
        </w:rPr>
        <w:t>Lost, Stolen or Destroyed Certificates. The corporation may direct that a new certificate or certificates or</w:t>
      </w:r>
      <w:r>
        <w:rPr>
          <w:rFonts w:ascii="Arial" w:cs="Arial" w:eastAsia="Arial" w:hAnsi="Arial"/>
          <w:sz w:val="21"/>
          <w:szCs w:val="21"/>
          <w:color w:val="010000"/>
        </w:rPr>
        <w:t xml:space="preserve"> </w:t>
      </w:r>
      <w:r>
        <w:rPr>
          <w:rFonts w:ascii="Arial" w:cs="Arial" w:eastAsia="Arial" w:hAnsi="Arial"/>
          <w:sz w:val="21"/>
          <w:szCs w:val="21"/>
          <w:color w:val="000000"/>
        </w:rPr>
        <w:t>uncertificated shares be issued to replace any certificate or certificates theretofore issued by the corporation alleged to have been lost, stolen or destroyed. When authorizing the issue of a new certificate or certificates, the corporation may, in its discretion and as a condition precedent to the issuance thereof, require the owner of the lost, stolen or destroyed certificate or certificates, or his or her legal representative to give the corporation a bond or other adequate security sufficient to indemnify it against any claim that may be made against the corporation with respect to the certificate alleged to have been lost, stolen or destroyed or the issue of such new certificate or uncertificated shares.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ind w:right="20" w:firstLine="648"/>
        <w:spacing w:after="0" w:line="245" w:lineRule="auto"/>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color w:val="000000"/>
        </w:rPr>
        <w:t>Dividends. Dividends upon the capital stock of the corporation, subject to any restrictions contained in the DGCL or</w:t>
      </w:r>
      <w:r>
        <w:rPr>
          <w:rFonts w:ascii="Arial" w:cs="Arial" w:eastAsia="Arial" w:hAnsi="Arial"/>
          <w:sz w:val="22"/>
          <w:szCs w:val="22"/>
          <w:color w:val="010000"/>
        </w:rPr>
        <w:t xml:space="preserve"> </w:t>
      </w:r>
      <w:r>
        <w:rPr>
          <w:rFonts w:ascii="Arial" w:cs="Arial" w:eastAsia="Arial" w:hAnsi="Arial"/>
          <w:sz w:val="22"/>
          <w:szCs w:val="22"/>
          <w:color w:val="000000"/>
        </w:rPr>
        <w:t>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20" w:top="1414" w:right="359" w:bottom="1440" w:gutter="0" w:footer="0" w:header="0"/>
        </w:sectPr>
      </w:pPr>
    </w:p>
    <w:bookmarkStart w:id="42" w:name="page43"/>
    <w:bookmarkEnd w:id="42"/>
    <w:p>
      <w:pPr>
        <w:ind w:right="100" w:firstLine="648"/>
        <w:spacing w:after="0" w:line="247"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color w:val="000000"/>
        </w:rPr>
        <w:t>Checks. All checks or demands for money and notes of the corporation shall be signed by such officer or officers or</w:t>
      </w:r>
      <w:r>
        <w:rPr>
          <w:rFonts w:ascii="Arial" w:cs="Arial" w:eastAsia="Arial" w:hAnsi="Arial"/>
          <w:sz w:val="22"/>
          <w:szCs w:val="22"/>
          <w:color w:val="010000"/>
        </w:rPr>
        <w:t xml:space="preserve"> </w:t>
      </w:r>
      <w:r>
        <w:rPr>
          <w:rFonts w:ascii="Arial" w:cs="Arial" w:eastAsia="Arial" w:hAnsi="Arial"/>
          <w:sz w:val="22"/>
          <w:szCs w:val="22"/>
          <w:color w:val="000000"/>
        </w:rPr>
        <w:t>such other person or persons as the Board, or such officers of the corporation as may be designated by the Board to make such designation, may from time to time designate.</w:t>
      </w:r>
    </w:p>
    <w:p>
      <w:pPr>
        <w:spacing w:after="0" w:line="177" w:lineRule="exact"/>
        <w:rPr>
          <w:sz w:val="20"/>
          <w:szCs w:val="20"/>
          <w:color w:val="auto"/>
        </w:rPr>
      </w:pPr>
    </w:p>
    <w:p>
      <w:pPr>
        <w:ind w:right="120" w:firstLine="648"/>
        <w:spacing w:after="0" w:line="305" w:lineRule="auto"/>
        <w:rPr>
          <w:sz w:val="20"/>
          <w:szCs w:val="20"/>
          <w:color w:val="auto"/>
        </w:rPr>
      </w:pPr>
      <w:r>
        <w:rPr>
          <w:rFonts w:ascii="Arial" w:cs="Arial" w:eastAsia="Arial" w:hAnsi="Arial"/>
          <w:sz w:val="19"/>
          <w:szCs w:val="19"/>
          <w:color w:val="010000"/>
        </w:rPr>
        <w:t xml:space="preserve">8.3 </w:t>
      </w:r>
      <w:r>
        <w:rPr>
          <w:rFonts w:ascii="Arial" w:cs="Arial" w:eastAsia="Arial" w:hAnsi="Arial"/>
          <w:sz w:val="19"/>
          <w:szCs w:val="19"/>
          <w:color w:val="000000"/>
        </w:rPr>
        <w:t>Corporate Seal. The Board may, by resolution, adopt a corporate seal. The corporate seal shall have inscribed</w:t>
      </w:r>
      <w:r>
        <w:rPr>
          <w:rFonts w:ascii="Arial" w:cs="Arial" w:eastAsia="Arial" w:hAnsi="Arial"/>
          <w:sz w:val="19"/>
          <w:szCs w:val="19"/>
          <w:color w:val="010000"/>
        </w:rPr>
        <w:t xml:space="preserve"> </w:t>
      </w:r>
      <w:r>
        <w:rPr>
          <w:rFonts w:ascii="Arial" w:cs="Arial" w:eastAsia="Arial" w:hAnsi="Arial"/>
          <w:sz w:val="19"/>
          <w:szCs w:val="19"/>
          <w:color w:val="000000"/>
        </w:rPr>
        <w:t>thereon 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2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9"/>
          <w:szCs w:val="19"/>
          <w:color w:val="010000"/>
        </w:rPr>
        <w:t xml:space="preserve">8.4 </w:t>
      </w:r>
      <w:r>
        <w:rPr>
          <w:rFonts w:ascii="Arial" w:cs="Arial" w:eastAsia="Arial" w:hAnsi="Arial"/>
          <w:sz w:val="19"/>
          <w:szCs w:val="19"/>
          <w:color w:val="000000"/>
        </w:rPr>
        <w:t>Execution of Corporate Contracts and Instruments. The Board, except as otherwise provided in these bylaws, may</w:t>
      </w:r>
      <w:r>
        <w:rPr>
          <w:rFonts w:ascii="Arial" w:cs="Arial" w:eastAsia="Arial" w:hAnsi="Arial"/>
          <w:sz w:val="19"/>
          <w:szCs w:val="19"/>
          <w:color w:val="010000"/>
        </w:rPr>
        <w:t xml:space="preserve"> </w:t>
      </w:r>
      <w:r>
        <w:rPr>
          <w:rFonts w:ascii="Arial" w:cs="Arial" w:eastAsia="Arial" w:hAnsi="Arial"/>
          <w:sz w:val="19"/>
          <w:szCs w:val="19"/>
          <w:color w:val="000000"/>
        </w:rPr>
        <w:t>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3" w:lineRule="exact"/>
        <w:rPr>
          <w:sz w:val="20"/>
          <w:szCs w:val="20"/>
          <w:color w:val="auto"/>
        </w:rPr>
      </w:pPr>
    </w:p>
    <w:p>
      <w:pPr>
        <w:ind w:right="180" w:firstLine="648"/>
        <w:spacing w:after="0" w:line="239" w:lineRule="auto"/>
        <w:rPr>
          <w:sz w:val="20"/>
          <w:szCs w:val="20"/>
          <w:color w:val="auto"/>
        </w:rPr>
      </w:pPr>
      <w:r>
        <w:rPr>
          <w:rFonts w:ascii="Arial" w:cs="Arial" w:eastAsia="Arial" w:hAnsi="Arial"/>
          <w:sz w:val="22"/>
          <w:szCs w:val="22"/>
          <w:color w:val="010000"/>
        </w:rPr>
        <w:t xml:space="preserve">8.5 </w:t>
      </w:r>
      <w:r>
        <w:rPr>
          <w:rFonts w:ascii="Arial" w:cs="Arial" w:eastAsia="Arial" w:hAnsi="Arial"/>
          <w:sz w:val="22"/>
          <w:szCs w:val="22"/>
          <w:color w:val="000000"/>
        </w:rPr>
        <w:t>Representation of Shares of Other Corporations. The Chief Executive Officer, the President or any Vice President,</w:t>
      </w:r>
      <w:r>
        <w:rPr>
          <w:rFonts w:ascii="Arial" w:cs="Arial" w:eastAsia="Arial" w:hAnsi="Arial"/>
          <w:sz w:val="22"/>
          <w:szCs w:val="22"/>
          <w:color w:val="010000"/>
        </w:rPr>
        <w:t xml:space="preserve"> </w:t>
      </w:r>
      <w:r>
        <w:rPr>
          <w:rFonts w:ascii="Arial" w:cs="Arial" w:eastAsia="Arial" w:hAnsi="Arial"/>
          <w:sz w:val="22"/>
          <w:szCs w:val="22"/>
          <w:color w:val="000000"/>
        </w:rPr>
        <w:t>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ind w:firstLine="648"/>
        <w:spacing w:after="0" w:line="280" w:lineRule="auto"/>
        <w:rPr>
          <w:sz w:val="20"/>
          <w:szCs w:val="20"/>
          <w:color w:val="auto"/>
        </w:rPr>
      </w:pPr>
      <w:r>
        <w:rPr>
          <w:rFonts w:ascii="Arial" w:cs="Arial" w:eastAsia="Arial" w:hAnsi="Arial"/>
          <w:sz w:val="19"/>
          <w:szCs w:val="19"/>
          <w:color w:val="auto"/>
        </w:rPr>
        <w:t>The Board is expressly empowered to adopt, amend or repeal these bylaws; provided, however, that any adoption, amendment or repeal of these bylaws by the Board shall require the approval of at least a majority of the directors of the corporation then in office. The stockholders shall also have power to adopt, amend or repeal these bylaws; provided, however, that in addition to any vote of the holders of any class or series of stock of the corporation required by law or by the Certificate of 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 of directors, voting as one class, shall be required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4" w:right="339" w:bottom="1440" w:gutter="0" w:footer="0" w:header="0"/>
        </w:sectPr>
      </w:pPr>
    </w:p>
    <w:bookmarkStart w:id="43" w:name="page44"/>
    <w:bookmarkEnd w:id="43"/>
    <w:p>
      <w:pPr>
        <w:ind w:right="140"/>
        <w:spacing w:after="0" w:line="250" w:lineRule="auto"/>
        <w:rPr>
          <w:sz w:val="20"/>
          <w:szCs w:val="20"/>
          <w:color w:val="auto"/>
        </w:rPr>
      </w:pPr>
      <w:r>
        <w:rPr>
          <w:rFonts w:ascii="Arial" w:cs="Arial" w:eastAsia="Arial" w:hAnsi="Arial"/>
          <w:sz w:val="22"/>
          <w:szCs w:val="22"/>
          <w:color w:val="auto"/>
        </w:rPr>
        <w:t>such adoption, amendment or repeal of the bylaws has been previously approved by the affirmative vote of at least two-thirds of the directors of the corporation then in office.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10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EXCLUSIVE FORUM</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w:t>
      </w:r>
    </w:p>
    <w:p>
      <w:pPr>
        <w:spacing w:after="0" w:line="200"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Any person or entity purchasing or otherwise acquiring or holding any interest in any security of the corporation shall be deemed to have notice of and consented to the provisions of this Article 10 as well as Article IX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1414"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CERTIFICATION OF AMENDED AND RESTATED BYLAWS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512" w:lineRule="auto"/>
        <w:rPr>
          <w:sz w:val="20"/>
          <w:szCs w:val="20"/>
          <w:color w:val="auto"/>
        </w:rPr>
      </w:pPr>
      <w:r>
        <w:rPr>
          <w:rFonts w:ascii="Arial" w:cs="Arial" w:eastAsia="Arial" w:hAnsi="Arial"/>
          <w:sz w:val="21"/>
          <w:szCs w:val="21"/>
          <w:color w:val="auto"/>
        </w:rPr>
        <w:t>I, Annie McGuire, certify that I am General Counsel and Secretary of Veracyte, Inc., a Delaware corporation (the “Corporation”), that I am duly authorized to make and deliver this certification, that the attached bylaws are a true and complete copy of the Amended and Restated Bylaws of the corporation in effect as of the date of this certificate.</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Dated: June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Annie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1192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spacing w:after="0" w:line="9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Annie McGuire</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8" w:right="339" w:bottom="1440" w:gutter="0" w:footer="0" w:header="0"/>
        </w:sectPr>
      </w:pPr>
    </w:p>
    <w:bookmarkStart w:id="45" w:name="page46"/>
    <w:bookmarkEnd w:id="45"/>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46" w:name="page47"/>
    <w:bookmarkEnd w:id="46"/>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47" w:name="page48"/>
    <w:bookmarkEnd w:id="47"/>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1"/>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21"/>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22"/>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22"/>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22"/>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23"/>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49" w:name="page50"/>
    <w:bookmarkEnd w:id="49"/>
    <w:p>
      <w:pPr>
        <w:jc w:val="both"/>
        <w:ind w:left="-220" w:firstLine="1304"/>
        <w:spacing w:after="0" w:line="246" w:lineRule="auto"/>
        <w:tabs>
          <w:tab w:leader="none" w:pos="1709" w:val="left"/>
        </w:tabs>
        <w:numPr>
          <w:ilvl w:val="1"/>
          <w:numId w:val="24"/>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4"/>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4"/>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2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5"/>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5"/>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5"/>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25"/>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25"/>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50" w:name="page51"/>
    <w:bookmarkEnd w:id="50"/>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2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1" w:name="page52"/>
    <w:bookmarkEnd w:id="51"/>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27"/>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27"/>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27"/>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27"/>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2" w:name="page53"/>
    <w:bookmarkEnd w:id="52"/>
    <w:p>
      <w:pPr>
        <w:jc w:val="both"/>
        <w:ind w:firstLine="1304"/>
        <w:spacing w:after="0" w:line="249" w:lineRule="auto"/>
        <w:tabs>
          <w:tab w:leader="none" w:pos="1880"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2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2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2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29"/>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3" w:name="page54"/>
    <w:bookmarkEnd w:id="53"/>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0"/>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0"/>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54" w:name="page55"/>
    <w:bookmarkEnd w:id="54"/>
    <w:p>
      <w:pPr>
        <w:ind w:left="920" w:hanging="484"/>
        <w:spacing w:after="0"/>
        <w:tabs>
          <w:tab w:leader="none" w:pos="920" w:val="left"/>
        </w:tabs>
        <w:numPr>
          <w:ilvl w:val="0"/>
          <w:numId w:val="3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3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55" w:name="page56"/>
    <w:bookmarkEnd w:id="55"/>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32"/>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32"/>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32"/>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3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34"/>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34"/>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3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3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34"/>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3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34"/>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57" w:name="page58"/>
    <w:bookmarkEnd w:id="57"/>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3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3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3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3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58" w:name="page59"/>
    <w:bookmarkEnd w:id="58"/>
    <w:p>
      <w:pPr>
        <w:jc w:val="both"/>
        <w:ind w:firstLine="656"/>
        <w:spacing w:after="0" w:line="220" w:lineRule="auto"/>
        <w:tabs>
          <w:tab w:leader="none" w:pos="1187" w:val="left"/>
        </w:tabs>
        <w:numPr>
          <w:ilvl w:val="0"/>
          <w:numId w:val="36"/>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3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61" w:name="page62"/>
    <w:bookmarkEnd w:id="61"/>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63" w:name="page64"/>
    <w:bookmarkEnd w:id="63"/>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64" w:name="page65"/>
    <w:bookmarkEnd w:id="64"/>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66" w:name="page67"/>
    <w:bookmarkEnd w:id="66"/>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67" w:name="page68"/>
    <w:bookmarkEnd w:id="67"/>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38"/>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38"/>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39"/>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39"/>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69" w:name="page70"/>
    <w:bookmarkEnd w:id="69"/>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0" w:name="page71"/>
    <w:bookmarkEnd w:id="70"/>
    <w:p>
      <w:pPr>
        <w:ind w:left="820" w:hanging="384"/>
        <w:spacing w:after="0"/>
        <w:tabs>
          <w:tab w:leader="none" w:pos="820" w:val="left"/>
        </w:tabs>
        <w:numPr>
          <w:ilvl w:val="0"/>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41"/>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4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4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4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41"/>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71" w:name="page72"/>
    <w:bookmarkEnd w:id="71"/>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4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4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4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2" w:name="page73"/>
    <w:bookmarkEnd w:id="72"/>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4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4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4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4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4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3" w:name="page74"/>
    <w:bookmarkEnd w:id="73"/>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4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4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4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5" w:name="page76"/>
    <w:bookmarkEnd w:id="75"/>
    <w:p>
      <w:pPr>
        <w:jc w:val="both"/>
        <w:ind w:left="-220" w:firstLine="1304"/>
        <w:spacing w:after="0" w:line="218" w:lineRule="auto"/>
        <w:tabs>
          <w:tab w:leader="none" w:pos="1632" w:val="left"/>
        </w:tabs>
        <w:numPr>
          <w:ilvl w:val="1"/>
          <w:numId w:val="49"/>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5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50"/>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50"/>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50"/>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50"/>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50"/>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76" w:name="page77"/>
    <w:bookmarkEnd w:id="76"/>
    <w:p>
      <w:pPr>
        <w:jc w:val="both"/>
        <w:ind w:left="-220" w:firstLine="1304"/>
        <w:spacing w:after="0" w:line="249" w:lineRule="auto"/>
        <w:tabs>
          <w:tab w:leader="none" w:pos="1585" w:val="left"/>
        </w:tabs>
        <w:numPr>
          <w:ilvl w:val="0"/>
          <w:numId w:val="5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51"/>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51"/>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51"/>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77" w:name="page78"/>
    <w:bookmarkEnd w:id="77"/>
    <w:p>
      <w:pPr>
        <w:jc w:val="both"/>
        <w:ind w:left="-220" w:firstLine="656"/>
        <w:spacing w:after="0" w:line="243" w:lineRule="auto"/>
        <w:tabs>
          <w:tab w:leader="none" w:pos="932" w:val="left"/>
        </w:tabs>
        <w:numPr>
          <w:ilvl w:val="0"/>
          <w:numId w:val="5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5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5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5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5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5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78" w:name="page79"/>
    <w:bookmarkEnd w:id="78"/>
    <w:p>
      <w:pPr>
        <w:jc w:val="both"/>
        <w:ind w:left="-8" w:firstLine="656"/>
        <w:spacing w:after="0" w:line="238" w:lineRule="auto"/>
        <w:tabs>
          <w:tab w:leader="none" w:pos="1142" w:val="left"/>
        </w:tabs>
        <w:numPr>
          <w:ilvl w:val="1"/>
          <w:numId w:val="5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54"/>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5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5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54"/>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79" w:name="page80"/>
    <w:bookmarkEnd w:id="79"/>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5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55"/>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81" w:name="page82"/>
    <w:bookmarkEnd w:id="81"/>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3" w:name="page84"/>
    <w:bookmarkEnd w:id="83"/>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87" w:name="page88"/>
    <w:bookmarkEnd w:id="87"/>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88" w:name="page89"/>
    <w:bookmarkEnd w:id="88"/>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89" w:name="page90"/>
    <w:bookmarkEnd w:id="89"/>
    <w:p>
      <w:pPr>
        <w:jc w:val="both"/>
        <w:ind w:firstLine="656"/>
        <w:spacing w:after="0" w:line="238" w:lineRule="auto"/>
        <w:tabs>
          <w:tab w:leader="none" w:pos="112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8"/>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8"/>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90" w:name="page91"/>
    <w:bookmarkEnd w:id="90"/>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91" w:name="page92"/>
    <w:bookmarkEnd w:id="91"/>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92" w:name="page93"/>
    <w:bookmarkEnd w:id="92"/>
    <w:p>
      <w:pPr>
        <w:ind w:left="1072" w:hanging="424"/>
        <w:spacing w:after="0"/>
        <w:tabs>
          <w:tab w:leader="none" w:pos="1072" w:val="left"/>
        </w:tabs>
        <w:numPr>
          <w:ilvl w:val="1"/>
          <w:numId w:val="61"/>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61"/>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61"/>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61"/>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62"/>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93" w:name="page94"/>
    <w:bookmarkEnd w:id="93"/>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94" w:name="page95"/>
    <w:bookmarkEnd w:id="94"/>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6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95" w:name="page96"/>
    <w:bookmarkEnd w:id="95"/>
    <w:p>
      <w:pPr>
        <w:jc w:val="both"/>
        <w:ind w:left="-8" w:firstLine="8"/>
        <w:spacing w:after="0" w:line="254" w:lineRule="auto"/>
        <w:tabs>
          <w:tab w:leader="none" w:pos="52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96" w:name="page97"/>
    <w:bookmarkEnd w:id="96"/>
    <w:p>
      <w:pPr>
        <w:jc w:val="both"/>
        <w:ind w:firstLine="8"/>
        <w:spacing w:after="0" w:line="220" w:lineRule="auto"/>
        <w:tabs>
          <w:tab w:leader="none" w:pos="644"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99" w:name="page100"/>
    <w:bookmarkEnd w:id="99"/>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00" w:name="page101"/>
    <w:bookmarkEnd w:id="100"/>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01" w:name="page102"/>
    <w:bookmarkEnd w:id="101"/>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104" w:name="page105"/>
    <w:bookmarkEnd w:id="104"/>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05" w:name="page106"/>
    <w:bookmarkEnd w:id="105"/>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106" w:name="page107"/>
    <w:bookmarkEnd w:id="106"/>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07" w:name="page108"/>
    <w:bookmarkEnd w:id="107"/>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08" w:name="page109"/>
    <w:bookmarkEnd w:id="108"/>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09" w:name="page110"/>
    <w:bookmarkEnd w:id="109"/>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72"/>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72"/>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10" w:name="page111"/>
    <w:bookmarkEnd w:id="110"/>
    <w:p>
      <w:pPr>
        <w:ind w:left="1220" w:hanging="564"/>
        <w:spacing w:after="0"/>
        <w:tabs>
          <w:tab w:leader="none" w:pos="12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7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73"/>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73"/>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7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7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7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11" w:name="page112"/>
    <w:bookmarkEnd w:id="111"/>
    <w:p>
      <w:pPr>
        <w:jc w:val="both"/>
        <w:ind w:left="-220" w:firstLine="656"/>
        <w:spacing w:after="0" w:line="249" w:lineRule="auto"/>
        <w:tabs>
          <w:tab w:leader="none" w:pos="1183"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7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112" w:name="page113"/>
    <w:bookmarkEnd w:id="112"/>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7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13" w:name="page114"/>
    <w:bookmarkEnd w:id="113"/>
    <w:p>
      <w:pPr>
        <w:jc w:val="both"/>
        <w:ind w:left="-8" w:firstLine="8"/>
        <w:spacing w:after="0" w:line="225" w:lineRule="auto"/>
        <w:tabs>
          <w:tab w:leader="none" w:pos="545"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114" w:name="page115"/>
    <w:bookmarkEnd w:id="114"/>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117" w:name="page118"/>
    <w:bookmarkEnd w:id="117"/>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18" w:name="page119"/>
    <w:bookmarkEnd w:id="118"/>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19" w:name="page120"/>
    <w:bookmarkEnd w:id="119"/>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20" w:name="page121"/>
    <w:bookmarkEnd w:id="120"/>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
    </w:lvl>
  </w:abstractNum>
  <w:abstractNum w:abstractNumId="2">
    <w:nsid w:val="3855585C"/>
    <w:multiLevelType w:val="hybridMultilevel"/>
    <w:lvl w:ilvl="0">
      <w:lvlJc w:val="left"/>
      <w:lvlText w:val="%1."/>
      <w:numFmt w:val="decimal"/>
      <w:start w:val="6"/>
    </w:lvl>
  </w:abstractNum>
  <w:abstractNum w:abstractNumId="3">
    <w:nsid w:val="70A64E2A"/>
    <w:multiLevelType w:val="hybridMultilevel"/>
    <w:lvl w:ilvl="0">
      <w:lvlJc w:val="left"/>
      <w:lvlText w:val="(%1)"/>
      <w:numFmt w:val="lowerLetter"/>
      <w:start w:val="4"/>
    </w:lvl>
  </w:abstractNum>
  <w:abstractNum w:abstractNumId="4">
    <w:nsid w:val="6A2342EC"/>
    <w:multiLevelType w:val="hybridMultilevel"/>
    <w:lvl w:ilvl="0">
      <w:lvlJc w:val="left"/>
      <w:lvlText w:val="*"/>
      <w:numFmt w:val="bullet"/>
      <w:start w:val="1"/>
    </w:lvl>
    <w:lvl w:ilvl="1">
      <w:lvlJc w:val="left"/>
      <w:lvlText w:val="%2"/>
      <w:numFmt w:val="decimal"/>
      <w:start w:val="104"/>
    </w:lvl>
  </w:abstractNum>
  <w:abstractNum w:abstractNumId="5">
    <w:nsid w:val="2A487CB0"/>
    <w:multiLevelType w:val="hybridMultilevel"/>
    <w:lvl w:ilvl="0">
      <w:lvlJc w:val="left"/>
      <w:lvlText w:val="%1."/>
      <w:numFmt w:val="upperLetter"/>
      <w:start w:val="1"/>
    </w:lvl>
  </w:abstractNum>
  <w:abstractNum w:abstractNumId="6">
    <w:nsid w:val="1D4ED43B"/>
    <w:multiLevelType w:val="hybridMultilevel"/>
    <w:lvl w:ilvl="0">
      <w:lvlJc w:val="left"/>
      <w:lvlText w:val="%1."/>
      <w:numFmt w:val="upperLetter"/>
      <w:start w:val="3"/>
    </w:lvl>
  </w:abstractNum>
  <w:abstractNum w:abstractNumId="7">
    <w:nsid w:val="725A06FB"/>
    <w:multiLevelType w:val="hybridMultilevel"/>
    <w:lvl w:ilvl="0">
      <w:lvlJc w:val="left"/>
      <w:lvlText w:val="%1."/>
      <w:numFmt w:val="decimal"/>
      <w:start w:val="1"/>
    </w:lvl>
  </w:abstractNum>
  <w:abstractNum w:abstractNumId="8">
    <w:nsid w:val="2CD89A32"/>
    <w:multiLevelType w:val="hybridMultilevel"/>
    <w:lvl w:ilvl="0">
      <w:lvlJc w:val="left"/>
      <w:lvlText w:val="%1."/>
      <w:numFmt w:val="upperLetter"/>
      <w:start w:val="1"/>
    </w:lvl>
  </w:abstractNum>
  <w:abstractNum w:abstractNumId="9">
    <w:nsid w:val="57E4CCAF"/>
    <w:multiLevelType w:val="hybridMultilevel"/>
    <w:lvl w:ilvl="0">
      <w:lvlJc w:val="left"/>
      <w:lvlText w:val="%1."/>
      <w:numFmt w:val="upperLetter"/>
      <w:start w:val="4"/>
    </w:lvl>
  </w:abstractNum>
  <w:abstractNum w:abstractNumId="10">
    <w:nsid w:val="7A6D8D3C"/>
    <w:multiLevelType w:val="hybridMultilevel"/>
    <w:lvl w:ilvl="0">
      <w:lvlJc w:val="left"/>
      <w:lvlText w:val="%1."/>
      <w:numFmt w:val="upperLetter"/>
      <w:start w:val="1"/>
    </w:lvl>
  </w:abstractNum>
  <w:abstractNum w:abstractNumId="11">
    <w:nsid w:val="4B588F54"/>
    <w:multiLevelType w:val="hybridMultilevel"/>
    <w:lvl w:ilvl="0">
      <w:lvlJc w:val="left"/>
      <w:lvlText w:val="%1."/>
      <w:numFmt w:val="upperLetter"/>
      <w:start w:val="4"/>
    </w:lvl>
  </w:abstractNum>
  <w:abstractNum w:abstractNumId="12">
    <w:nsid w:val="542289EC"/>
    <w:multiLevelType w:val="hybridMultilevel"/>
    <w:lvl w:ilvl="0">
      <w:lvlJc w:val="left"/>
      <w:lvlText w:val="%1."/>
      <w:numFmt w:val="upperLetter"/>
      <w:start w:val="1"/>
    </w:lvl>
  </w:abstractNum>
  <w:abstractNum w:abstractNumId="13">
    <w:nsid w:val="6DE91B18"/>
    <w:multiLevelType w:val="hybridMultilevel"/>
    <w:lvl w:ilvl="0">
      <w:lvlJc w:val="left"/>
      <w:lvlText w:val="%1."/>
      <w:numFmt w:val="upperLetter"/>
      <w:start w:val="1"/>
    </w:lvl>
  </w:abstractNum>
  <w:abstractNum w:abstractNumId="14">
    <w:nsid w:val="38437FDB"/>
    <w:multiLevelType w:val="hybridMultilevel"/>
    <w:lvl w:ilvl="0">
      <w:lvlJc w:val="left"/>
      <w:lvlText w:val="%1."/>
      <w:numFmt w:val="upperLetter"/>
      <w:start w:val="4"/>
    </w:lvl>
  </w:abstractNum>
  <w:abstractNum w:abstractNumId="15">
    <w:nsid w:val="7644A45C"/>
    <w:multiLevelType w:val="hybridMultilevel"/>
    <w:lvl w:ilvl="0">
      <w:lvlJc w:val="left"/>
      <w:lvlText w:val="(%1)"/>
      <w:numFmt w:val="lowerLetter"/>
      <w:start w:val="5"/>
    </w:lvl>
  </w:abstractNum>
  <w:abstractNum w:abstractNumId="16">
    <w:nsid w:val="32FFF902"/>
    <w:multiLevelType w:val="hybridMultilevel"/>
    <w:lvl w:ilvl="0">
      <w:lvlJc w:val="left"/>
      <w:lvlText w:val="(%1)"/>
      <w:numFmt w:val="lowerRoman"/>
      <w:start w:val="2"/>
    </w:lvl>
  </w:abstractNum>
  <w:abstractNum w:abstractNumId="17">
    <w:nsid w:val="684A481A"/>
    <w:multiLevelType w:val="hybridMultilevel"/>
    <w:lvl w:ilvl="0">
      <w:lvlJc w:val="left"/>
      <w:lvlText w:val="(%1)"/>
      <w:numFmt w:val="lowerLetter"/>
      <w:start w:val="7"/>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3DC240FB"/>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1">
    <w:nsid w:val="1BA026FA"/>
    <w:multiLevelType w:val="hybridMultilevel"/>
    <w:lvl w:ilvl="0">
      <w:lvlJc w:val="left"/>
      <w:lvlText w:val="%1"/>
      <w:numFmt w:val="decimal"/>
      <w:start w:val="1"/>
    </w:lvl>
    <w:lvl w:ilvl="1">
      <w:lvlJc w:val="left"/>
      <w:lvlText w:val="(%2)"/>
      <w:numFmt w:val="lowerLetter"/>
      <w:start w:val="3"/>
    </w:lvl>
  </w:abstractNum>
  <w:abstractNum w:abstractNumId="22">
    <w:nsid w:val="79A1DEAA"/>
    <w:multiLevelType w:val="hybridMultilevel"/>
    <w:lvl w:ilvl="0">
      <w:lvlJc w:val="left"/>
      <w:lvlText w:val="%1."/>
      <w:numFmt w:val="decimal"/>
      <w:start w:val="4"/>
    </w:lvl>
    <w:lvl w:ilvl="1">
      <w:lvlJc w:val="left"/>
      <w:lvlText w:val="(%2)"/>
      <w:numFmt w:val="lowerLetter"/>
      <w:start w:val="1"/>
    </w:lvl>
  </w:abstractNum>
  <w:abstractNum w:abstractNumId="23">
    <w:nsid w:val="75C6C33A"/>
    <w:multiLevelType w:val="hybridMultilevel"/>
    <w:lvl w:ilvl="0">
      <w:lvlJc w:val="left"/>
      <w:lvlText w:val="%1"/>
      <w:numFmt w:val="decimal"/>
      <w:start w:val="1"/>
    </w:lvl>
    <w:lvl w:ilvl="1">
      <w:lvlJc w:val="left"/>
      <w:lvlText w:val="(%2)"/>
      <w:numFmt w:val="lowerLetter"/>
      <w:start w:val="2"/>
    </w:lvl>
  </w:abstractNum>
  <w:abstractNum w:abstractNumId="24">
    <w:nsid w:val="12E685FB"/>
    <w:multiLevelType w:val="hybridMultilevel"/>
    <w:lvl w:ilvl="0">
      <w:lvlJc w:val="left"/>
      <w:lvlText w:val="%1."/>
      <w:numFmt w:val="decimal"/>
      <w:start w:val="5"/>
    </w:lvl>
    <w:lvl w:ilvl="1">
      <w:lvlJc w:val="left"/>
      <w:lvlText w:val="(%2)"/>
      <w:numFmt w:val="lowerLetter"/>
      <w:start w:val="1"/>
    </w:lvl>
  </w:abstractNum>
  <w:abstractNum w:abstractNumId="25">
    <w:nsid w:val="70C6A529"/>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26">
    <w:nsid w:val="520EEDD1"/>
    <w:multiLevelType w:val="hybridMultilevel"/>
    <w:lvl w:ilvl="0">
      <w:lvlJc w:val="left"/>
      <w:lvlText w:val="(%1)"/>
      <w:numFmt w:val="lowerLetter"/>
      <w:start w:val="2"/>
    </w:lvl>
    <w:lvl w:ilvl="1">
      <w:lvlJc w:val="left"/>
      <w:lvlText w:val="%2."/>
      <w:numFmt w:val="lowerRoman"/>
      <w:start w:val="1"/>
    </w:lvl>
  </w:abstractNum>
  <w:abstractNum w:abstractNumId="27">
    <w:nsid w:val="374A3FE6"/>
    <w:multiLevelType w:val="hybridMultilevel"/>
    <w:lvl w:ilvl="0">
      <w:lvlJc w:val="left"/>
      <w:lvlText w:val="%1"/>
      <w:numFmt w:val="decimal"/>
      <w:start w:val="1"/>
    </w:lvl>
    <w:lvl w:ilvl="1">
      <w:lvlJc w:val="left"/>
      <w:lvlText w:val="(%2)"/>
      <w:numFmt w:val="lowerLetter"/>
      <w:start w:val="3"/>
    </w:lvl>
  </w:abstractNum>
  <w:abstractNum w:abstractNumId="28">
    <w:nsid w:val="4F4EF005"/>
    <w:multiLevelType w:val="hybridMultilevel"/>
    <w:lvl w:ilvl="0">
      <w:lvlJc w:val="left"/>
      <w:lvlText w:val="%1."/>
      <w:numFmt w:val="decimal"/>
      <w:start w:val="8"/>
    </w:lvl>
    <w:lvl w:ilvl="1">
      <w:lvlJc w:val="left"/>
      <w:lvlText w:val="(%2)"/>
      <w:numFmt w:val="lowerLetter"/>
      <w:start w:val="1"/>
    </w:lvl>
  </w:abstractNum>
  <w:abstractNum w:abstractNumId="29">
    <w:nsid w:val="23F9C13C"/>
    <w:multiLevelType w:val="hybridMultilevel"/>
    <w:lvl w:ilvl="0">
      <w:lvlJc w:val="left"/>
      <w:lvlText w:val="(%1)"/>
      <w:numFmt w:val="lowerLetter"/>
      <w:start w:val="5"/>
    </w:lvl>
  </w:abstractNum>
  <w:abstractNum w:abstractNumId="30">
    <w:nsid w:val="649BB77C"/>
    <w:multiLevelType w:val="hybridMultilevel"/>
    <w:lvl w:ilvl="0">
      <w:lvlJc w:val="left"/>
      <w:lvlText w:val="%1."/>
      <w:numFmt w:val="decimal"/>
      <w:start w:val="11"/>
    </w:lvl>
    <w:lvl w:ilvl="1">
      <w:lvlJc w:val="left"/>
      <w:lvlText w:val="(%2)"/>
      <w:numFmt w:val="lowerLetter"/>
      <w:start w:val="1"/>
    </w:lvl>
  </w:abstractNum>
  <w:abstractNum w:abstractNumId="31">
    <w:nsid w:val="275AC794"/>
    <w:multiLevelType w:val="hybridMultilevel"/>
    <w:lvl w:ilvl="0">
      <w:lvlJc w:val="left"/>
      <w:lvlText w:val="%1"/>
      <w:numFmt w:val="decimal"/>
      <w:start w:val="1"/>
    </w:lvl>
    <w:lvl w:ilvl="1">
      <w:lvlJc w:val="left"/>
      <w:lvlText w:val="(%2)"/>
      <w:numFmt w:val="lowerLetter"/>
      <w:start w:val="7"/>
    </w:lvl>
  </w:abstractNum>
  <w:abstractNum w:abstractNumId="32">
    <w:nsid w:val="39386575"/>
    <w:multiLevelType w:val="hybridMultilevel"/>
    <w:lvl w:ilvl="0">
      <w:lvlJc w:val="left"/>
      <w:lvlText w:val="%1."/>
      <w:numFmt w:val="decimal"/>
      <w:start w:val="12"/>
    </w:lvl>
    <w:lvl w:ilvl="1">
      <w:lvlJc w:val="left"/>
      <w:lvlText w:val="%2"/>
      <w:numFmt w:val="lowerLetter"/>
      <w:start w:val="1"/>
    </w:lvl>
  </w:abstractNum>
  <w:abstractNum w:abstractNumId="33">
    <w:nsid w:val="1CF10FD8"/>
    <w:multiLevelType w:val="hybridMultilevel"/>
    <w:lvl w:ilvl="0">
      <w:lvlJc w:val="left"/>
      <w:lvlText w:val="(%1)"/>
      <w:numFmt w:val="lowerLetter"/>
      <w:start w:val="2"/>
    </w:lvl>
    <w:lvl w:ilvl="1">
      <w:lvlJc w:val="left"/>
      <w:lvlText w:val="%2."/>
      <w:numFmt w:val="decimal"/>
      <w:start w:val="13"/>
    </w:lvl>
  </w:abstractNum>
  <w:abstractNum w:abstractNumId="34">
    <w:nsid w:val="180115BE"/>
    <w:multiLevelType w:val="hybridMultilevel"/>
    <w:lvl w:ilvl="0">
      <w:lvlJc w:val="left"/>
      <w:lvlText w:val="%1."/>
      <w:numFmt w:val="decimal"/>
      <w:start w:val="19"/>
    </w:lvl>
  </w:abstractNum>
  <w:abstractNum w:abstractNumId="35">
    <w:nsid w:val="235BA861"/>
    <w:multiLevelType w:val="hybridMultilevel"/>
    <w:lvl w:ilvl="0">
      <w:lvlJc w:val="left"/>
      <w:lvlText w:val="%1."/>
      <w:numFmt w:val="decimal"/>
      <w:start w:val="23"/>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8">
    <w:nsid w:val="15B5AF5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39">
    <w:nsid w:val="741226BB"/>
    <w:multiLevelType w:val="hybridMultilevel"/>
    <w:lvl w:ilvl="0">
      <w:lvlJc w:val="left"/>
      <w:lvlText w:val="(%1)"/>
      <w:numFmt w:val="lowerLetter"/>
      <w:start w:val="3"/>
    </w:lvl>
  </w:abstractNum>
  <w:abstractNum w:abstractNumId="40">
    <w:nsid w:val="D34B6A8"/>
    <w:multiLevelType w:val="hybridMultilevel"/>
    <w:lvl w:ilvl="0">
      <w:lvlJc w:val="left"/>
      <w:lvlText w:val="%1."/>
      <w:numFmt w:val="decimal"/>
      <w:start w:val="4"/>
    </w:lvl>
    <w:lvl w:ilvl="1">
      <w:lvlJc w:val="left"/>
      <w:lvlText w:val="(%2)"/>
      <w:numFmt w:val="lowerLetter"/>
      <w:start w:val="1"/>
    </w:lvl>
  </w:abstractNum>
  <w:abstractNum w:abstractNumId="41">
    <w:nsid w:val="10233C99"/>
    <w:multiLevelType w:val="hybridMultilevel"/>
    <w:lvl w:ilvl="0">
      <w:lvlJc w:val="left"/>
      <w:lvlText w:val="(%1)"/>
      <w:numFmt w:val="lowerLetter"/>
      <w:start w:val="5"/>
    </w:lvl>
  </w:abstractNum>
  <w:abstractNum w:abstractNumId="42">
    <w:nsid w:val="3F6AB60F"/>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43">
    <w:nsid w:val="61574095"/>
    <w:multiLevelType w:val="hybridMultilevel"/>
    <w:lvl w:ilvl="0">
      <w:lvlJc w:val="left"/>
      <w:lvlText w:val="(%1)"/>
      <w:numFmt w:val="lowerLetter"/>
      <w:start w:val="2"/>
    </w:lvl>
    <w:lvl w:ilvl="1">
      <w:lvlJc w:val="left"/>
      <w:lvlText w:val="%2."/>
      <w:numFmt w:val="lowerRoman"/>
      <w:start w:val="1"/>
    </w:lvl>
  </w:abstractNum>
  <w:abstractNum w:abstractNumId="44">
    <w:nsid w:val="7E0C57B1"/>
    <w:multiLevelType w:val="hybridMultilevel"/>
    <w:lvl w:ilvl="0">
      <w:lvlJc w:val="left"/>
      <w:lvlText w:val="%1"/>
      <w:numFmt w:val="decimal"/>
      <w:start w:val="1"/>
    </w:lvl>
    <w:lvl w:ilvl="1">
      <w:lvlJc w:val="left"/>
      <w:lvlText w:val="(%2)"/>
      <w:numFmt w:val="lowerLetter"/>
      <w:start w:val="3"/>
    </w:lvl>
  </w:abstractNum>
  <w:abstractNum w:abstractNumId="45">
    <w:nsid w:val="77AE35EB"/>
    <w:multiLevelType w:val="hybridMultilevel"/>
    <w:lvl w:ilvl="0">
      <w:lvlJc w:val="left"/>
      <w:lvlText w:val="%1."/>
      <w:numFmt w:val="decimal"/>
      <w:start w:val="8"/>
    </w:lvl>
    <w:lvl w:ilvl="1">
      <w:lvlJc w:val="left"/>
      <w:lvlText w:val="(%2)"/>
      <w:numFmt w:val="lowerLetter"/>
      <w:start w:val="1"/>
    </w:lvl>
  </w:abstractNum>
  <w:abstractNum w:abstractNumId="46">
    <w:nsid w:val="579BE4F1"/>
    <w:multiLevelType w:val="hybridMultilevel"/>
    <w:lvl w:ilvl="0">
      <w:lvlJc w:val="left"/>
      <w:lvlText w:val="(%1)"/>
      <w:numFmt w:val="lowerLetter"/>
      <w:start w:val="3"/>
    </w:lvl>
  </w:abstractNum>
  <w:abstractNum w:abstractNumId="47">
    <w:nsid w:val="310C50B3"/>
    <w:multiLevelType w:val="hybridMultilevel"/>
    <w:lvl w:ilvl="0">
      <w:lvlJc w:val="left"/>
      <w:lvlText w:val="(%1)"/>
      <w:numFmt w:val="lowerLetter"/>
      <w:start w:val="4"/>
    </w:lvl>
  </w:abstractNum>
  <w:abstractNum w:abstractNumId="48">
    <w:nsid w:val="5FF87E05"/>
    <w:multiLevelType w:val="hybridMultilevel"/>
    <w:lvl w:ilvl="0">
      <w:lvlJc w:val="left"/>
      <w:lvlText w:val="%1"/>
      <w:numFmt w:val="decimal"/>
      <w:start w:val="1"/>
    </w:lvl>
    <w:lvl w:ilvl="1">
      <w:lvlJc w:val="left"/>
      <w:lvlText w:val="(%2)"/>
      <w:numFmt w:val="lowerLetter"/>
      <w:start w:val="15"/>
    </w:lvl>
  </w:abstractNum>
  <w:abstractNum w:abstractNumId="49">
    <w:nsid w:val="2F305DEF"/>
    <w:multiLevelType w:val="hybridMultilevel"/>
    <w:lvl w:ilvl="0">
      <w:lvlJc w:val="left"/>
      <w:lvlText w:val="%1."/>
      <w:numFmt w:val="decimal"/>
      <w:start w:val="11"/>
    </w:lvl>
    <w:lvl w:ilvl="1">
      <w:lvlJc w:val="left"/>
      <w:lvlText w:val="(%2)"/>
      <w:numFmt w:val="lowerLetter"/>
      <w:start w:val="1"/>
    </w:lvl>
  </w:abstractNum>
  <w:abstractNum w:abstractNumId="50">
    <w:nsid w:val="25A70BF7"/>
    <w:multiLevelType w:val="hybridMultilevel"/>
    <w:lvl w:ilvl="0">
      <w:lvlJc w:val="left"/>
      <w:lvlText w:val="(%1)"/>
      <w:numFmt w:val="lowerLetter"/>
      <w:start w:val="6"/>
    </w:lvl>
  </w:abstractNum>
  <w:abstractNum w:abstractNumId="51">
    <w:nsid w:val="1DBABF00"/>
    <w:multiLevelType w:val="hybridMultilevel"/>
    <w:lvl w:ilvl="0">
      <w:lvlJc w:val="left"/>
      <w:lvlText w:val="%1."/>
      <w:numFmt w:val="decimal"/>
      <w:start w:val="12"/>
    </w:lvl>
  </w:abstractNum>
  <w:abstractNum w:abstractNumId="52">
    <w:nsid w:val="4AD084E9"/>
    <w:multiLevelType w:val="hybridMultilevel"/>
    <w:lvl w:ilvl="0">
      <w:lvlJc w:val="left"/>
      <w:lvlText w:val="%1"/>
      <w:numFmt w:val="decimal"/>
      <w:start w:val="1"/>
    </w:lvl>
    <w:lvl w:ilvl="1">
      <w:lvlJc w:val="left"/>
      <w:lvlText w:val="%2."/>
      <w:numFmt w:val="decimal"/>
      <w:start w:val="18"/>
    </w:lvl>
  </w:abstractNum>
  <w:abstractNum w:abstractNumId="53">
    <w:nsid w:val="1F48EAA1"/>
    <w:multiLevelType w:val="hybridMultilevel"/>
    <w:lvl w:ilvl="0">
      <w:lvlJc w:val="left"/>
      <w:lvlText w:val="(%1)"/>
      <w:numFmt w:val="decimal"/>
      <w:start w:val="650"/>
    </w:lvl>
    <w:lvl w:ilvl="1">
      <w:lvlJc w:val="left"/>
      <w:lvlText w:val="%2."/>
      <w:numFmt w:val="decimal"/>
      <w:start w:val="19"/>
    </w:lvl>
  </w:abstractNum>
  <w:abstractNum w:abstractNumId="54">
    <w:nsid w:val="1381823A"/>
    <w:multiLevelType w:val="hybridMultilevel"/>
    <w:lvl w:ilvl="0">
      <w:lvlJc w:val="left"/>
      <w:lvlText w:val="%1."/>
      <w:numFmt w:val="decimal"/>
      <w:start w:val="23"/>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1)"/>
      <w:numFmt w:val="lowerLetter"/>
      <w:start w:val="1"/>
    </w:lvl>
    <w:lvl w:ilvl="1">
      <w:lvlJc w:val="left"/>
      <w:lvlText w:val="(%2)"/>
      <w:numFmt w:val="lowerRoman"/>
      <w:start w:val="1"/>
    </w:lvl>
  </w:abstractNum>
  <w:abstractNum w:abstractNumId="58">
    <w:nsid w:val="15014ACB"/>
    <w:multiLevelType w:val="hybridMultilevel"/>
    <w:lvl w:ilvl="0">
      <w:lvlJc w:val="left"/>
      <w:lvlText w:val="%1."/>
      <w:numFmt w:val="decimal"/>
      <w:start w:val="8"/>
    </w:lvl>
  </w:abstractNum>
  <w:abstractNum w:abstractNumId="59">
    <w:nsid w:val="5F5E7FD0"/>
    <w:multiLevelType w:val="hybridMultilevel"/>
    <w:lvl w:ilvl="0">
      <w:lvlJc w:val="left"/>
      <w:lvlText w:val="%1."/>
      <w:numFmt w:val="decimal"/>
      <w:start w:val="11"/>
    </w:lvl>
    <w:lvl w:ilvl="1">
      <w:lvlJc w:val="left"/>
      <w:lvlText w:val="(%2)"/>
      <w:numFmt w:val="lowerLetter"/>
      <w:start w:val="1"/>
    </w:lvl>
  </w:abstractNum>
  <w:abstractNum w:abstractNumId="60">
    <w:nsid w:val="98A3148"/>
    <w:multiLevelType w:val="hybridMultilevel"/>
    <w:lvl w:ilvl="0">
      <w:lvlJc w:val="left"/>
      <w:lvlText w:val="%1"/>
      <w:numFmt w:val="decimal"/>
      <w:start w:val="1"/>
    </w:lvl>
    <w:lvl w:ilvl="1">
      <w:lvlJc w:val="left"/>
      <w:lvlText w:val="(%2)"/>
      <w:numFmt w:val="lowerLetter"/>
      <w:start w:val="12"/>
    </w:lvl>
  </w:abstractNum>
  <w:abstractNum w:abstractNumId="61">
    <w:nsid w:val="799D0247"/>
    <w:multiLevelType w:val="hybridMultilevel"/>
    <w:lvl w:ilvl="0">
      <w:lvlJc w:val="left"/>
      <w:lvlText w:val="%1."/>
      <w:numFmt w:val="decimal"/>
      <w:start w:val="12"/>
    </w:lvl>
    <w:lvl w:ilvl="1">
      <w:lvlJc w:val="left"/>
      <w:lvlText w:val="(%2)"/>
      <w:numFmt w:val="lowerLetter"/>
      <w:start w:val="1"/>
    </w:lvl>
  </w:abstractNum>
  <w:abstractNum w:abstractNumId="62">
    <w:nsid w:val="6B94764"/>
    <w:multiLevelType w:val="hybridMultilevel"/>
    <w:lvl w:ilvl="0">
      <w:lvlJc w:val="left"/>
      <w:lvlText w:val="(%1)"/>
      <w:numFmt w:val="lowerLetter"/>
      <w:start w:val="5"/>
    </w:lvl>
  </w:abstractNum>
  <w:abstractNum w:abstractNumId="63">
    <w:nsid w:val="42C296BD"/>
    <w:multiLevelType w:val="hybridMultilevel"/>
    <w:lvl w:ilvl="0">
      <w:lvlJc w:val="left"/>
      <w:lvlText w:val="%1"/>
      <w:numFmt w:val="decimal"/>
      <w:start w:val="1"/>
    </w:lvl>
    <w:lvl w:ilvl="1">
      <w:lvlJc w:val="left"/>
      <w:lvlText w:val="(%2)"/>
      <w:numFmt w:val="lowerRoman"/>
      <w:start w:val="1"/>
    </w:lvl>
  </w:abstractNum>
  <w:abstractNum w:abstractNumId="64">
    <w:nsid w:val="168E121F"/>
    <w:multiLevelType w:val="hybridMultilevel"/>
    <w:lvl w:ilvl="0">
      <w:lvlJc w:val="left"/>
      <w:lvlText w:val="%1."/>
      <w:numFmt w:val="decimal"/>
      <w:start w:val="13"/>
    </w:lvl>
    <w:lvl w:ilvl="1">
      <w:lvlJc w:val="left"/>
      <w:lvlText w:val="%2"/>
      <w:numFmt w:val="lowerRoman"/>
      <w:start w:val="1"/>
    </w:lvl>
  </w:abstractNum>
  <w:abstractNum w:abstractNumId="65">
    <w:nsid w:val="1EBA5D23"/>
    <w:multiLevelType w:val="hybridMultilevel"/>
    <w:lvl w:ilvl="0">
      <w:lvlJc w:val="left"/>
      <w:lvlText w:val="%1."/>
      <w:numFmt w:val="decimal"/>
      <w:start w:val="17"/>
    </w:lvl>
  </w:abstractNum>
  <w:abstractNum w:abstractNumId="66">
    <w:nsid w:val="661E3F1E"/>
    <w:multiLevelType w:val="hybridMultilevel"/>
    <w:lvl w:ilvl="0">
      <w:lvlJc w:val="left"/>
      <w:lvlText w:val="%1."/>
      <w:numFmt w:val="decimal"/>
      <w:start w:val="2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lowerLetter"/>
      <w:start w:val="1"/>
    </w:lvl>
    <w:lvl w:ilvl="1">
      <w:lvlJc w:val="left"/>
      <w:lvlText w:val="(%2)"/>
      <w:numFmt w:val="lowerRoman"/>
      <w:start w:val="1"/>
    </w:lvl>
  </w:abstractNum>
  <w:abstractNum w:abstractNumId="70">
    <w:nsid w:val="51D9C564"/>
    <w:multiLevelType w:val="hybridMultilevel"/>
    <w:lvl w:ilvl="0">
      <w:lvlJc w:val="left"/>
      <w:lvlText w:val="%1."/>
      <w:numFmt w:val="decimal"/>
      <w:start w:val="8"/>
    </w:lvl>
  </w:abstractNum>
  <w:abstractNum w:abstractNumId="71">
    <w:nsid w:val="613EFDC5"/>
    <w:multiLevelType w:val="hybridMultilevel"/>
    <w:lvl w:ilvl="0">
      <w:lvlJc w:val="left"/>
      <w:lvlText w:val="%1."/>
      <w:numFmt w:val="decimal"/>
      <w:start w:val="11"/>
    </w:lvl>
    <w:lvl w:ilvl="1">
      <w:lvlJc w:val="left"/>
      <w:lvlText w:val="(%2)"/>
      <w:numFmt w:val="lowerLetter"/>
      <w:start w:val="1"/>
    </w:lvl>
  </w:abstractNum>
  <w:abstractNum w:abstractNumId="72">
    <w:nsid w:val="BF72B14"/>
    <w:multiLevelType w:val="hybridMultilevel"/>
    <w:lvl w:ilvl="0">
      <w:lvlJc w:val="left"/>
      <w:lvlText w:val="%1"/>
      <w:numFmt w:val="decimal"/>
      <w:start w:val="1"/>
    </w:lvl>
    <w:lvl w:ilvl="1">
      <w:lvlJc w:val="left"/>
      <w:lvlText w:val="(%2)"/>
      <w:numFmt w:val="lowerLetter"/>
      <w:start w:val="10"/>
    </w:lvl>
  </w:abstractNum>
  <w:abstractNum w:abstractNumId="73">
    <w:nsid w:val="11447B73"/>
    <w:multiLevelType w:val="hybridMultilevel"/>
    <w:lvl w:ilvl="0">
      <w:lvlJc w:val="left"/>
      <w:lvlText w:val="%1."/>
      <w:numFmt w:val="decimal"/>
      <w:start w:val="12"/>
    </w:lvl>
    <w:lvl w:ilvl="1">
      <w:lvlJc w:val="left"/>
      <w:lvlText w:val="(%2)"/>
      <w:numFmt w:val="lowerLetter"/>
      <w:start w:val="1"/>
    </w:lvl>
  </w:abstractNum>
  <w:abstractNum w:abstractNumId="74">
    <w:nsid w:val="42963E5A"/>
    <w:multiLevelType w:val="hybridMultilevel"/>
    <w:lvl w:ilvl="0">
      <w:lvlJc w:val="left"/>
      <w:lvlText w:val="(%1)"/>
      <w:numFmt w:val="lowerLetter"/>
      <w:start w:val="4"/>
    </w:lvl>
  </w:abstractNum>
  <w:abstractNum w:abstractNumId="75">
    <w:nsid w:val="A0382C5"/>
    <w:multiLevelType w:val="hybridMultilevel"/>
    <w:lvl w:ilvl="0">
      <w:lvlJc w:val="left"/>
      <w:lvlText w:val="%1"/>
      <w:numFmt w:val="decimal"/>
      <w:start w:val="1"/>
    </w:lvl>
    <w:lvl w:ilvl="1">
      <w:lvlJc w:val="left"/>
      <w:lvlText w:val="(%2)"/>
      <w:numFmt w:val="lowerRoman"/>
      <w:start w:val="1"/>
    </w:lvl>
  </w:abstractNum>
  <w:abstractNum w:abstractNumId="76">
    <w:nsid w:val="8F2B15E"/>
    <w:multiLevelType w:val="hybridMultilevel"/>
    <w:lvl w:ilvl="0">
      <w:lvlJc w:val="left"/>
      <w:lvlText w:val="%1."/>
      <w:numFmt w:val="decimal"/>
      <w:start w:val="13"/>
    </w:lvl>
    <w:lvl w:ilvl="1">
      <w:lvlJc w:val="left"/>
      <w:lvlText w:val="%2"/>
      <w:numFmt w:val="lowerRoman"/>
      <w:start w:val="1"/>
    </w:lvl>
  </w:abstractNum>
  <w:abstractNum w:abstractNumId="77">
    <w:nsid w:val="1A32234B"/>
    <w:multiLevelType w:val="hybridMultilevel"/>
    <w:lvl w:ilvl="0">
      <w:lvlJc w:val="left"/>
      <w:lvlText w:val="%1."/>
      <w:numFmt w:val="decimal"/>
      <w:start w:val="16"/>
    </w:lvl>
  </w:abstractNum>
  <w:abstractNum w:abstractNumId="78">
    <w:nsid w:val="3B0FD379"/>
    <w:multiLevelType w:val="hybridMultilevel"/>
    <w:lvl w:ilvl="0">
      <w:lvlJc w:val="left"/>
      <w:lvlText w:val="%1."/>
      <w:numFmt w:val="decimal"/>
      <w:start w:val="2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3"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2023-06-09T16:10:58Z</dcterms:created>
  <dcterms:modified xsi:type="dcterms:W3CDTF">2023-06-09T16:10:58Z</dcterms:modified>
</cp:coreProperties>
</file>