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38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38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 Tina Susan</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06/07/2017</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6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6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1"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60" w:type="dxa"/>
            <w:vAlign w:val="bottom"/>
            <w:gridSpan w:val="7"/>
          </w:tcPr>
          <w:p>
            <w:pPr>
              <w:jc w:val="center"/>
              <w:ind w:righ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8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40" w:type="dxa"/>
            <w:vAlign w:val="bottom"/>
            <w:tcBorders>
              <w:bottom w:val="single" w:sz="8" w:color="9A9A9A"/>
            </w:tcBorders>
            <w:gridSpan w:val="2"/>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w w:val="98"/>
              </w:rPr>
              <w:t>Disposed Of (D) (Instr. 3, 4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0"/>
          </w:tcPr>
          <w:p>
            <w:pPr>
              <w:jc w:val="center"/>
              <w:ind w:left="6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7.94</w:t>
            </w:r>
          </w:p>
        </w:tc>
        <w:tc>
          <w:tcPr>
            <w:tcW w:w="16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06/07/2017</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10,000</w:t>
            </w:r>
          </w:p>
        </w:tc>
        <w:tc>
          <w:tcPr>
            <w:tcW w:w="380" w:type="dxa"/>
            <w:vAlign w:val="bottom"/>
          </w:tcPr>
          <w:p>
            <w:pPr>
              <w:spacing w:after="0"/>
              <w:rPr>
                <w:sz w:val="18"/>
                <w:szCs w:val="18"/>
                <w:color w:val="auto"/>
              </w:rPr>
            </w:pPr>
          </w:p>
        </w:tc>
        <w:tc>
          <w:tcPr>
            <w:tcW w:w="880" w:type="dxa"/>
            <w:vAlign w:val="bottom"/>
            <w:gridSpan w:val="2"/>
          </w:tcPr>
          <w:p>
            <w:pPr>
              <w:spacing w:after="0" w:line="211" w:lineRule="exact"/>
              <w:rPr>
                <w:sz w:val="20"/>
                <w:szCs w:val="20"/>
                <w:color w:val="auto"/>
              </w:rPr>
            </w:pPr>
            <w:r>
              <w:rPr>
                <w:rFonts w:ascii="Arial" w:cs="Arial" w:eastAsia="Arial" w:hAnsi="Arial"/>
                <w:sz w:val="13"/>
                <w:szCs w:val="13"/>
                <w:color w:val="0000FF"/>
              </w:rPr>
              <w:t>06/07/2018</w:t>
            </w:r>
            <w:r>
              <w:rPr>
                <w:rFonts w:ascii="Arial" w:cs="Arial" w:eastAsia="Arial" w:hAnsi="Arial"/>
                <w:sz w:val="22"/>
                <w:szCs w:val="22"/>
                <w:color w:val="008000"/>
                <w:vertAlign w:val="superscript"/>
              </w:rPr>
              <w:t>(1)</w:t>
            </w:r>
          </w:p>
        </w:tc>
        <w:tc>
          <w:tcPr>
            <w:tcW w:w="680" w:type="dxa"/>
            <w:vAlign w:val="bottom"/>
          </w:tcPr>
          <w:p>
            <w:pPr>
              <w:spacing w:after="0"/>
              <w:rPr>
                <w:sz w:val="20"/>
                <w:szCs w:val="20"/>
                <w:color w:val="auto"/>
              </w:rPr>
            </w:pPr>
            <w:r>
              <w:rPr>
                <w:rFonts w:ascii="Arial" w:cs="Arial" w:eastAsia="Arial" w:hAnsi="Arial"/>
                <w:sz w:val="13"/>
                <w:szCs w:val="13"/>
                <w:color w:val="0000FF"/>
              </w:rPr>
              <w:t>06/07/2027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10,000</w:t>
            </w:r>
          </w:p>
        </w:tc>
        <w:tc>
          <w:tcPr>
            <w:tcW w:w="86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10,000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0"/>
                <w:szCs w:val="10"/>
                <w:color w:val="0000FF"/>
              </w:rPr>
              <w:t>Stock</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full on the first anniversary of the date of the grant or immediately prior to the Company's next annual meeting of stockholders, if earlier. In addition, the option vests in full in the event of a change in control of the Company.</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Keith S. Kennedy, as</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06/07/2017</w:t>
            </w: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6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2019-12-24T06:57:55Z</dcterms:created>
  <dcterms:modified xsi:type="dcterms:W3CDTF">2019-12-24T06:57:55Z</dcterms:modified>
</cp:coreProperties>
</file>