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14, 2016</w:t>
      </w:r>
    </w:p>
    <w:p>
      <w:pPr>
        <w:spacing w:after="0" w:line="27" w:lineRule="exact"/>
        <w:rPr>
          <w:sz w:val="24"/>
          <w:szCs w:val="24"/>
          <w:color w:val="auto"/>
        </w:rPr>
      </w:pPr>
    </w:p>
    <w:p>
      <w:pPr>
        <w:ind w:left="96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Delaware</w:t>
            </w:r>
          </w:p>
        </w:tc>
        <w:tc>
          <w:tcPr>
            <w:tcW w:w="3840" w:type="dxa"/>
            <w:vAlign w:val="bottom"/>
          </w:tcPr>
          <w:p>
            <w:pPr>
              <w:spacing w:after="0"/>
              <w:rPr>
                <w:sz w:val="19"/>
                <w:szCs w:val="19"/>
                <w:color w:val="auto"/>
              </w:rPr>
            </w:pPr>
          </w:p>
        </w:tc>
        <w:tc>
          <w:tcPr>
            <w:tcW w:w="3060" w:type="dxa"/>
            <w:vAlign w:val="bottom"/>
          </w:tcPr>
          <w:p>
            <w:pPr>
              <w:jc w:val="right"/>
              <w:ind w:right="1850"/>
              <w:spacing w:after="0"/>
              <w:rPr>
                <w:sz w:val="20"/>
                <w:szCs w:val="20"/>
                <w:color w:val="auto"/>
              </w:rPr>
            </w:pPr>
            <w:r>
              <w:rPr>
                <w:rFonts w:ascii="Arial" w:cs="Arial" w:eastAsia="Arial" w:hAnsi="Arial"/>
                <w:sz w:val="18"/>
                <w:szCs w:val="18"/>
                <w:b w:val="1"/>
                <w:bCs w:val="1"/>
                <w:color w:val="auto"/>
              </w:rPr>
              <w:t>20-5455398</w:t>
            </w:r>
          </w:p>
        </w:tc>
      </w:tr>
      <w:tr>
        <w:trPr>
          <w:trHeight w:val="216"/>
        </w:trPr>
        <w:tc>
          <w:tcPr>
            <w:tcW w:w="3660" w:type="dxa"/>
            <w:vAlign w:val="bottom"/>
          </w:tcPr>
          <w:p>
            <w:pPr>
              <w:jc w:val="center"/>
              <w:ind w:left="990"/>
              <w:spacing w:after="0"/>
              <w:rPr>
                <w:sz w:val="20"/>
                <w:szCs w:val="20"/>
                <w:color w:val="auto"/>
              </w:rPr>
            </w:pPr>
            <w:r>
              <w:rPr>
                <w:rFonts w:ascii="Arial" w:cs="Arial" w:eastAsia="Arial" w:hAnsi="Arial"/>
                <w:sz w:val="18"/>
                <w:szCs w:val="18"/>
                <w:color w:val="auto"/>
                <w:w w:val="93"/>
              </w:rPr>
              <w:t>(State or other jurisdiction of</w:t>
            </w:r>
          </w:p>
        </w:tc>
        <w:tc>
          <w:tcPr>
            <w:tcW w:w="3840" w:type="dxa"/>
            <w:vAlign w:val="bottom"/>
          </w:tcPr>
          <w:p>
            <w:pPr>
              <w:spacing w:after="0"/>
              <w:rPr>
                <w:sz w:val="18"/>
                <w:szCs w:val="18"/>
                <w:color w:val="auto"/>
              </w:rPr>
            </w:pPr>
          </w:p>
        </w:tc>
        <w:tc>
          <w:tcPr>
            <w:tcW w:w="3060" w:type="dxa"/>
            <w:vAlign w:val="bottom"/>
          </w:tcPr>
          <w:p>
            <w:pPr>
              <w:jc w:val="center"/>
              <w:ind w:right="1610"/>
              <w:spacing w:after="0"/>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ind w:left="990"/>
              <w:spacing w:after="0"/>
              <w:rPr>
                <w:sz w:val="20"/>
                <w:szCs w:val="20"/>
                <w:color w:val="auto"/>
              </w:rPr>
            </w:pPr>
            <w:r>
              <w:rPr>
                <w:rFonts w:ascii="Arial" w:cs="Arial" w:eastAsia="Arial" w:hAnsi="Arial"/>
                <w:sz w:val="18"/>
                <w:szCs w:val="18"/>
                <w:color w:val="auto"/>
                <w:w w:val="93"/>
              </w:rPr>
              <w:t>incorporation or organization)</w:t>
            </w:r>
          </w:p>
        </w:tc>
        <w:tc>
          <w:tcPr>
            <w:tcW w:w="3840" w:type="dxa"/>
            <w:vAlign w:val="bottom"/>
          </w:tcPr>
          <w:p>
            <w:pPr>
              <w:spacing w:after="0"/>
              <w:rPr>
                <w:sz w:val="20"/>
                <w:szCs w:val="20"/>
                <w:color w:val="auto"/>
              </w:rPr>
            </w:pPr>
          </w:p>
        </w:tc>
        <w:tc>
          <w:tcPr>
            <w:tcW w:w="3060" w:type="dxa"/>
            <w:vAlign w:val="bottom"/>
          </w:tcPr>
          <w:p>
            <w:pPr>
              <w:jc w:val="center"/>
              <w:ind w:right="1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6000 Shoreline Court, Suite 300</w:t>
            </w:r>
          </w:p>
        </w:tc>
        <w:tc>
          <w:tcPr>
            <w:tcW w:w="38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20"/>
        </w:trPr>
        <w:tc>
          <w:tcPr>
            <w:tcW w:w="366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South San Francisco, California</w:t>
            </w:r>
          </w:p>
        </w:tc>
        <w:tc>
          <w:tcPr>
            <w:tcW w:w="3840" w:type="dxa"/>
            <w:vAlign w:val="bottom"/>
          </w:tcPr>
          <w:p>
            <w:pPr>
              <w:spacing w:after="0"/>
              <w:rPr>
                <w:sz w:val="19"/>
                <w:szCs w:val="19"/>
                <w:color w:val="auto"/>
              </w:rPr>
            </w:pPr>
          </w:p>
        </w:tc>
        <w:tc>
          <w:tcPr>
            <w:tcW w:w="3060" w:type="dxa"/>
            <w:vAlign w:val="bottom"/>
          </w:tcPr>
          <w:p>
            <w:pPr>
              <w:jc w:val="right"/>
              <w:ind w:right="2070"/>
              <w:spacing w:after="0"/>
              <w:rPr>
                <w:sz w:val="20"/>
                <w:szCs w:val="20"/>
                <w:color w:val="auto"/>
              </w:rPr>
            </w:pPr>
            <w:r>
              <w:rPr>
                <w:rFonts w:ascii="Arial" w:cs="Arial" w:eastAsia="Arial" w:hAnsi="Arial"/>
                <w:sz w:val="18"/>
                <w:szCs w:val="18"/>
                <w:b w:val="1"/>
                <w:bCs w:val="1"/>
                <w:color w:val="auto"/>
              </w:rPr>
              <w:t>94080</w:t>
            </w:r>
          </w:p>
        </w:tc>
      </w:tr>
      <w:tr>
        <w:trPr>
          <w:trHeight w:val="230"/>
        </w:trPr>
        <w:tc>
          <w:tcPr>
            <w:tcW w:w="3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60" w:type="dxa"/>
            <w:vAlign w:val="bottom"/>
          </w:tcPr>
          <w:p>
            <w:pPr>
              <w:jc w:val="center"/>
              <w:ind w:right="1610"/>
              <w:spacing w:after="0"/>
              <w:rPr>
                <w:sz w:val="20"/>
                <w:szCs w:val="20"/>
                <w:color w:val="auto"/>
              </w:rPr>
            </w:pPr>
            <w:r>
              <w:rPr>
                <w:rFonts w:ascii="Arial" w:cs="Arial" w:eastAsia="Arial" w:hAnsi="Arial"/>
                <w:sz w:val="18"/>
                <w:szCs w:val="18"/>
                <w:color w:val="auto"/>
                <w:w w:val="94"/>
              </w:rPr>
              <w:t>(Zip Code)</w:t>
            </w:r>
          </w:p>
        </w:tc>
      </w:tr>
      <w:tr>
        <w:trPr>
          <w:trHeight w:val="418"/>
        </w:trPr>
        <w:tc>
          <w:tcPr>
            <w:tcW w:w="3660" w:type="dxa"/>
            <w:vAlign w:val="bottom"/>
          </w:tcPr>
          <w:p>
            <w:pPr>
              <w:spacing w:after="0"/>
              <w:rPr>
                <w:sz w:val="24"/>
                <w:szCs w:val="24"/>
                <w:color w:val="auto"/>
              </w:rPr>
            </w:pPr>
          </w:p>
        </w:tc>
        <w:tc>
          <w:tcPr>
            <w:tcW w:w="3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Veracyte, Inc. 2013 Stock Incentive Plan</w:t>
            </w:r>
          </w:p>
        </w:tc>
        <w:tc>
          <w:tcPr>
            <w:tcW w:w="306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3840" w:type="dxa"/>
            <w:vAlign w:val="bottom"/>
          </w:tcPr>
          <w:p>
            <w:pPr>
              <w:jc w:val="center"/>
              <w:ind w:right="530"/>
              <w:spacing w:after="0"/>
              <w:rPr>
                <w:sz w:val="20"/>
                <w:szCs w:val="20"/>
                <w:color w:val="auto"/>
              </w:rPr>
            </w:pPr>
            <w:r>
              <w:rPr>
                <w:rFonts w:ascii="Arial" w:cs="Arial" w:eastAsia="Arial" w:hAnsi="Arial"/>
                <w:sz w:val="18"/>
                <w:szCs w:val="18"/>
                <w:color w:val="auto"/>
                <w:w w:val="94"/>
              </w:rPr>
              <w:t>(Full title of the plan)</w:t>
            </w:r>
          </w:p>
        </w:tc>
        <w:tc>
          <w:tcPr>
            <w:tcW w:w="306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3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Bonnie H. Anderson</w:t>
            </w:r>
          </w:p>
        </w:tc>
        <w:tc>
          <w:tcPr>
            <w:tcW w:w="306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3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0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384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6000 Shoreline Court, Suite 300</w:t>
            </w:r>
          </w:p>
        </w:tc>
        <w:tc>
          <w:tcPr>
            <w:tcW w:w="30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3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30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384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(Name and address agent for service)</w:t>
            </w:r>
          </w:p>
        </w:tc>
        <w:tc>
          <w:tcPr>
            <w:tcW w:w="3060" w:type="dxa"/>
            <w:vAlign w:val="bottom"/>
          </w:tcPr>
          <w:p>
            <w:pPr>
              <w:spacing w:after="0"/>
              <w:rPr>
                <w:sz w:val="18"/>
                <w:szCs w:val="18"/>
                <w:color w:val="auto"/>
              </w:rPr>
            </w:pPr>
          </w:p>
        </w:tc>
      </w:tr>
      <w:tr>
        <w:trPr>
          <w:trHeight w:val="220"/>
        </w:trPr>
        <w:tc>
          <w:tcPr>
            <w:tcW w:w="3660" w:type="dxa"/>
            <w:vAlign w:val="bottom"/>
          </w:tcPr>
          <w:p>
            <w:pPr>
              <w:spacing w:after="0"/>
              <w:rPr>
                <w:sz w:val="19"/>
                <w:szCs w:val="19"/>
                <w:color w:val="auto"/>
              </w:rPr>
            </w:pPr>
          </w:p>
        </w:tc>
        <w:tc>
          <w:tcPr>
            <w:tcW w:w="3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(650) 243-6300</w:t>
            </w:r>
          </w:p>
        </w:tc>
        <w:tc>
          <w:tcPr>
            <w:tcW w:w="3060" w:type="dxa"/>
            <w:vAlign w:val="bottom"/>
          </w:tcPr>
          <w:p>
            <w:pPr>
              <w:spacing w:after="0"/>
              <w:rPr>
                <w:sz w:val="19"/>
                <w:szCs w:val="19"/>
                <w:color w:val="auto"/>
              </w:rPr>
            </w:pPr>
          </w:p>
        </w:tc>
      </w:tr>
      <w:tr>
        <w:trPr>
          <w:trHeight w:val="230"/>
        </w:trPr>
        <w:tc>
          <w:tcPr>
            <w:tcW w:w="7500" w:type="dxa"/>
            <w:vAlign w:val="bottom"/>
            <w:gridSpan w:val="2"/>
          </w:tcPr>
          <w:p>
            <w:pPr>
              <w:jc w:val="center"/>
              <w:ind w:left="2970"/>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306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384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Copies to:</w:t>
            </w:r>
          </w:p>
        </w:tc>
        <w:tc>
          <w:tcPr>
            <w:tcW w:w="3060" w:type="dxa"/>
            <w:vAlign w:val="bottom"/>
          </w:tcPr>
          <w:p>
            <w:pPr>
              <w:spacing w:after="0"/>
              <w:rPr>
                <w:sz w:val="24"/>
                <w:szCs w:val="24"/>
                <w:color w:val="auto"/>
              </w:rPr>
            </w:pPr>
          </w:p>
        </w:tc>
      </w:tr>
      <w:tr>
        <w:trPr>
          <w:trHeight w:val="418"/>
        </w:trPr>
        <w:tc>
          <w:tcPr>
            <w:tcW w:w="3660" w:type="dxa"/>
            <w:vAlign w:val="bottom"/>
          </w:tcPr>
          <w:p>
            <w:pPr>
              <w:jc w:val="center"/>
              <w:ind w:right="770"/>
              <w:spacing w:after="0"/>
              <w:rPr>
                <w:sz w:val="20"/>
                <w:szCs w:val="20"/>
                <w:color w:val="auto"/>
              </w:rPr>
            </w:pPr>
            <w:r>
              <w:rPr>
                <w:rFonts w:ascii="Arial" w:cs="Arial" w:eastAsia="Arial" w:hAnsi="Arial"/>
                <w:sz w:val="18"/>
                <w:szCs w:val="18"/>
                <w:b w:val="1"/>
                <w:bCs w:val="1"/>
                <w:color w:val="auto"/>
                <w:w w:val="91"/>
              </w:rPr>
              <w:t>Stanton D. Wong</w:t>
            </w:r>
          </w:p>
        </w:tc>
        <w:tc>
          <w:tcPr>
            <w:tcW w:w="3840" w:type="dxa"/>
            <w:vAlign w:val="bottom"/>
          </w:tcPr>
          <w:p>
            <w:pPr>
              <w:jc w:val="center"/>
              <w:ind w:right="490"/>
              <w:spacing w:after="0"/>
              <w:rPr>
                <w:sz w:val="20"/>
                <w:szCs w:val="20"/>
                <w:color w:val="auto"/>
              </w:rPr>
            </w:pPr>
            <w:r>
              <w:rPr>
                <w:rFonts w:ascii="Arial" w:cs="Arial" w:eastAsia="Arial" w:hAnsi="Arial"/>
                <w:sz w:val="18"/>
                <w:szCs w:val="18"/>
                <w:b w:val="1"/>
                <w:bCs w:val="1"/>
                <w:color w:val="auto"/>
                <w:w w:val="95"/>
              </w:rPr>
              <w:t>Gabriella A. Lombardi</w:t>
            </w:r>
          </w:p>
        </w:tc>
        <w:tc>
          <w:tcPr>
            <w:tcW w:w="30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Julie A. Brooks</w:t>
            </w:r>
          </w:p>
        </w:tc>
      </w:tr>
      <w:tr>
        <w:trPr>
          <w:trHeight w:val="216"/>
        </w:trPr>
        <w:tc>
          <w:tcPr>
            <w:tcW w:w="3660" w:type="dxa"/>
            <w:vAlign w:val="bottom"/>
          </w:tcPr>
          <w:p>
            <w:pPr>
              <w:jc w:val="center"/>
              <w:ind w:right="770"/>
              <w:spacing w:after="0"/>
              <w:rPr>
                <w:sz w:val="20"/>
                <w:szCs w:val="20"/>
                <w:color w:val="auto"/>
              </w:rPr>
            </w:pPr>
            <w:r>
              <w:rPr>
                <w:rFonts w:ascii="Arial" w:cs="Arial" w:eastAsia="Arial" w:hAnsi="Arial"/>
                <w:sz w:val="18"/>
                <w:szCs w:val="18"/>
                <w:color w:val="auto"/>
                <w:w w:val="93"/>
              </w:rPr>
              <w:t>Pillsbury Winthrop Shaw Pittman LLP</w:t>
            </w:r>
          </w:p>
        </w:tc>
        <w:tc>
          <w:tcPr>
            <w:tcW w:w="3840" w:type="dxa"/>
            <w:vAlign w:val="bottom"/>
          </w:tcPr>
          <w:p>
            <w:pPr>
              <w:jc w:val="center"/>
              <w:ind w:right="490"/>
              <w:spacing w:after="0"/>
              <w:rPr>
                <w:sz w:val="20"/>
                <w:szCs w:val="20"/>
                <w:color w:val="auto"/>
              </w:rPr>
            </w:pPr>
            <w:r>
              <w:rPr>
                <w:rFonts w:ascii="Arial" w:cs="Arial" w:eastAsia="Arial" w:hAnsi="Arial"/>
                <w:sz w:val="18"/>
                <w:szCs w:val="18"/>
                <w:color w:val="auto"/>
                <w:w w:val="93"/>
              </w:rPr>
              <w:t>Pillsbury Winthrop Shaw Pittman LLP</w:t>
            </w: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0"/>
              </w:rPr>
              <w:t>Executive Vice President, General</w:t>
            </w:r>
          </w:p>
        </w:tc>
      </w:tr>
      <w:tr>
        <w:trPr>
          <w:trHeight w:val="216"/>
        </w:trPr>
        <w:tc>
          <w:tcPr>
            <w:tcW w:w="3660" w:type="dxa"/>
            <w:vAlign w:val="bottom"/>
          </w:tcPr>
          <w:p>
            <w:pPr>
              <w:jc w:val="center"/>
              <w:ind w:right="770"/>
              <w:spacing w:after="0"/>
              <w:rPr>
                <w:sz w:val="20"/>
                <w:szCs w:val="20"/>
                <w:color w:val="auto"/>
              </w:rPr>
            </w:pPr>
            <w:r>
              <w:rPr>
                <w:rFonts w:ascii="Arial" w:cs="Arial" w:eastAsia="Arial" w:hAnsi="Arial"/>
                <w:sz w:val="18"/>
                <w:szCs w:val="18"/>
                <w:color w:val="auto"/>
                <w:w w:val="89"/>
              </w:rPr>
              <w:t>Four Embarcadero Center, 22nd Flr.</w:t>
            </w:r>
          </w:p>
        </w:tc>
        <w:tc>
          <w:tcPr>
            <w:tcW w:w="3840" w:type="dxa"/>
            <w:vAlign w:val="bottom"/>
          </w:tcPr>
          <w:p>
            <w:pPr>
              <w:jc w:val="center"/>
              <w:ind w:right="490"/>
              <w:spacing w:after="0"/>
              <w:rPr>
                <w:sz w:val="20"/>
                <w:szCs w:val="20"/>
                <w:color w:val="auto"/>
              </w:rPr>
            </w:pPr>
            <w:r>
              <w:rPr>
                <w:rFonts w:ascii="Arial" w:cs="Arial" w:eastAsia="Arial" w:hAnsi="Arial"/>
                <w:sz w:val="18"/>
                <w:szCs w:val="18"/>
                <w:color w:val="auto"/>
                <w:w w:val="90"/>
              </w:rPr>
              <w:t>2550 Hanover Street</w:t>
            </w:r>
          </w:p>
        </w:tc>
        <w:tc>
          <w:tcPr>
            <w:tcW w:w="3060" w:type="dxa"/>
            <w:vAlign w:val="bottom"/>
          </w:tcPr>
          <w:p>
            <w:pPr>
              <w:jc w:val="center"/>
              <w:ind w:left="150"/>
              <w:spacing w:after="0"/>
              <w:rPr>
                <w:sz w:val="20"/>
                <w:szCs w:val="20"/>
                <w:color w:val="auto"/>
              </w:rPr>
            </w:pPr>
            <w:r>
              <w:rPr>
                <w:rFonts w:ascii="Arial" w:cs="Arial" w:eastAsia="Arial" w:hAnsi="Arial"/>
                <w:sz w:val="18"/>
                <w:szCs w:val="18"/>
                <w:color w:val="auto"/>
                <w:w w:val="88"/>
              </w:rPr>
              <w:t>Counsel and Secretary</w:t>
            </w:r>
          </w:p>
        </w:tc>
      </w:tr>
      <w:tr>
        <w:trPr>
          <w:trHeight w:val="216"/>
        </w:trPr>
        <w:tc>
          <w:tcPr>
            <w:tcW w:w="3660" w:type="dxa"/>
            <w:vAlign w:val="bottom"/>
          </w:tcPr>
          <w:p>
            <w:pPr>
              <w:jc w:val="center"/>
              <w:ind w:right="770"/>
              <w:spacing w:after="0"/>
              <w:rPr>
                <w:sz w:val="20"/>
                <w:szCs w:val="20"/>
                <w:color w:val="auto"/>
              </w:rPr>
            </w:pPr>
            <w:r>
              <w:rPr>
                <w:rFonts w:ascii="Arial" w:cs="Arial" w:eastAsia="Arial" w:hAnsi="Arial"/>
                <w:sz w:val="18"/>
                <w:szCs w:val="18"/>
                <w:color w:val="auto"/>
                <w:w w:val="90"/>
              </w:rPr>
              <w:t>San Francisco, California 94111-5998</w:t>
            </w:r>
          </w:p>
        </w:tc>
        <w:tc>
          <w:tcPr>
            <w:tcW w:w="3840" w:type="dxa"/>
            <w:vAlign w:val="bottom"/>
          </w:tcPr>
          <w:p>
            <w:pPr>
              <w:jc w:val="center"/>
              <w:ind w:right="510"/>
              <w:spacing w:after="0"/>
              <w:rPr>
                <w:sz w:val="20"/>
                <w:szCs w:val="20"/>
                <w:color w:val="auto"/>
              </w:rPr>
            </w:pPr>
            <w:r>
              <w:rPr>
                <w:rFonts w:ascii="Arial" w:cs="Arial" w:eastAsia="Arial" w:hAnsi="Arial"/>
                <w:sz w:val="18"/>
                <w:szCs w:val="18"/>
                <w:color w:val="auto"/>
                <w:w w:val="93"/>
              </w:rPr>
              <w:t>Palo Alto, California 94304</w:t>
            </w: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0"/>
              </w:rPr>
              <w:t>Veracyte, Inc.</w:t>
            </w:r>
          </w:p>
        </w:tc>
      </w:tr>
      <w:tr>
        <w:trPr>
          <w:trHeight w:val="216"/>
        </w:trPr>
        <w:tc>
          <w:tcPr>
            <w:tcW w:w="3660" w:type="dxa"/>
            <w:vAlign w:val="bottom"/>
          </w:tcPr>
          <w:p>
            <w:pPr>
              <w:jc w:val="center"/>
              <w:ind w:right="770"/>
              <w:spacing w:after="0"/>
              <w:rPr>
                <w:sz w:val="20"/>
                <w:szCs w:val="20"/>
                <w:color w:val="auto"/>
              </w:rPr>
            </w:pPr>
            <w:r>
              <w:rPr>
                <w:rFonts w:ascii="Arial" w:cs="Arial" w:eastAsia="Arial" w:hAnsi="Arial"/>
                <w:sz w:val="18"/>
                <w:szCs w:val="18"/>
                <w:color w:val="auto"/>
                <w:w w:val="90"/>
              </w:rPr>
              <w:t>(415) 983-1000</w:t>
            </w:r>
          </w:p>
        </w:tc>
        <w:tc>
          <w:tcPr>
            <w:tcW w:w="3840" w:type="dxa"/>
            <w:vAlign w:val="bottom"/>
          </w:tcPr>
          <w:p>
            <w:pPr>
              <w:jc w:val="center"/>
              <w:ind w:right="490"/>
              <w:spacing w:after="0"/>
              <w:rPr>
                <w:sz w:val="20"/>
                <w:szCs w:val="20"/>
                <w:color w:val="auto"/>
              </w:rPr>
            </w:pPr>
            <w:r>
              <w:rPr>
                <w:rFonts w:ascii="Arial" w:cs="Arial" w:eastAsia="Arial" w:hAnsi="Arial"/>
                <w:sz w:val="18"/>
                <w:szCs w:val="18"/>
                <w:color w:val="auto"/>
                <w:w w:val="92"/>
              </w:rPr>
              <w:t>(650) 233-4500</w:t>
            </w: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3660" w:type="dxa"/>
            <w:vAlign w:val="bottom"/>
          </w:tcPr>
          <w:p>
            <w:pPr>
              <w:jc w:val="center"/>
              <w:ind w:right="770"/>
              <w:spacing w:after="0"/>
              <w:rPr>
                <w:sz w:val="20"/>
                <w:szCs w:val="20"/>
                <w:color w:val="auto"/>
              </w:rPr>
            </w:pPr>
            <w:r>
              <w:rPr>
                <w:rFonts w:ascii="Arial" w:cs="Arial" w:eastAsia="Arial" w:hAnsi="Arial"/>
                <w:sz w:val="18"/>
                <w:szCs w:val="18"/>
                <w:color w:val="auto"/>
                <w:w w:val="92"/>
              </w:rPr>
              <w:t>(415) 983-1200 facsimile</w:t>
            </w:r>
          </w:p>
        </w:tc>
        <w:tc>
          <w:tcPr>
            <w:tcW w:w="3840" w:type="dxa"/>
            <w:vAlign w:val="bottom"/>
          </w:tcPr>
          <w:p>
            <w:pPr>
              <w:jc w:val="center"/>
              <w:ind w:right="490"/>
              <w:spacing w:after="0"/>
              <w:rPr>
                <w:sz w:val="20"/>
                <w:szCs w:val="20"/>
                <w:color w:val="auto"/>
              </w:rPr>
            </w:pPr>
            <w:r>
              <w:rPr>
                <w:rFonts w:ascii="Arial" w:cs="Arial" w:eastAsia="Arial" w:hAnsi="Arial"/>
                <w:sz w:val="18"/>
                <w:szCs w:val="18"/>
                <w:color w:val="auto"/>
                <w:w w:val="91"/>
              </w:rPr>
              <w:t>(650) 233-4545 facsimile</w:t>
            </w: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0"/>
              </w:rPr>
              <w:t>South San Francisco, California 94080</w:t>
            </w:r>
          </w:p>
        </w:tc>
      </w:tr>
      <w:tr>
        <w:trPr>
          <w:trHeight w:val="216"/>
        </w:trPr>
        <w:tc>
          <w:tcPr>
            <w:tcW w:w="3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0"/>
              </w:rPr>
              <w:t>(650) 243-6300</w:t>
            </w:r>
          </w:p>
        </w:tc>
      </w:tr>
      <w:tr>
        <w:trPr>
          <w:trHeight w:val="230"/>
        </w:trPr>
        <w:tc>
          <w:tcPr>
            <w:tcW w:w="3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60" w:type="dxa"/>
            <w:vAlign w:val="bottom"/>
          </w:tcPr>
          <w:p>
            <w:pPr>
              <w:jc w:val="center"/>
              <w:ind w:left="170"/>
              <w:spacing w:after="0"/>
              <w:rPr>
                <w:sz w:val="20"/>
                <w:szCs w:val="20"/>
                <w:color w:val="auto"/>
              </w:rPr>
            </w:pPr>
            <w:r>
              <w:rPr>
                <w:rFonts w:ascii="Arial" w:cs="Arial" w:eastAsia="Arial" w:hAnsi="Arial"/>
                <w:sz w:val="18"/>
                <w:szCs w:val="18"/>
                <w:color w:val="auto"/>
                <w:w w:val="92"/>
              </w:rPr>
              <w:t>(650) 243-6301 facsimile</w:t>
            </w:r>
          </w:p>
        </w:tc>
      </w:tr>
    </w:tbl>
    <w:p>
      <w:pPr>
        <w:spacing w:after="0" w:line="202"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Large accelerated filer o</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Accelerated filer x</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2"/>
          </w:tcPr>
          <w:p>
            <w:pPr>
              <w:ind w:left="320"/>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3"/>
          </w:tcPr>
          <w:p>
            <w:pPr>
              <w:ind w:left="20"/>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60" w:type="dxa"/>
            <w:vAlign w:val="bottom"/>
            <w:gridSpan w:val="3"/>
          </w:tcPr>
          <w:p>
            <w:pPr>
              <w:jc w:val="right"/>
              <w:ind w:right="286"/>
              <w:spacing w:after="0"/>
              <w:rPr>
                <w:sz w:val="20"/>
                <w:szCs w:val="20"/>
                <w:color w:val="auto"/>
              </w:rPr>
            </w:pPr>
            <w:r>
              <w:rPr>
                <w:rFonts w:ascii="Arial" w:cs="Arial" w:eastAsia="Arial" w:hAnsi="Arial"/>
                <w:sz w:val="18"/>
                <w:szCs w:val="18"/>
                <w:b w:val="1"/>
                <w:bCs w:val="1"/>
                <w:color w:val="auto"/>
              </w:rPr>
              <w:t>CALCULATION OF REGISTRATION FEE</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5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Title of Securities</w:t>
            </w:r>
          </w:p>
        </w:tc>
        <w:tc>
          <w:tcPr>
            <w:tcW w:w="2400" w:type="dxa"/>
            <w:vAlign w:val="bottom"/>
            <w:vMerge w:val="restart"/>
          </w:tcPr>
          <w:p>
            <w:pPr>
              <w:jc w:val="center"/>
              <w:ind w:left="659"/>
              <w:spacing w:after="0"/>
              <w:rPr>
                <w:sz w:val="20"/>
                <w:szCs w:val="20"/>
                <w:color w:val="auto"/>
              </w:rPr>
            </w:pPr>
            <w:r>
              <w:rPr>
                <w:rFonts w:ascii="Arial" w:cs="Arial" w:eastAsia="Arial" w:hAnsi="Arial"/>
                <w:sz w:val="14"/>
                <w:szCs w:val="14"/>
                <w:b w:val="1"/>
                <w:bCs w:val="1"/>
                <w:color w:val="auto"/>
                <w:w w:val="94"/>
              </w:rPr>
              <w:t>Amount To</w:t>
            </w:r>
          </w:p>
        </w:tc>
        <w:tc>
          <w:tcPr>
            <w:tcW w:w="280" w:type="dxa"/>
            <w:vAlign w:val="bottom"/>
          </w:tcPr>
          <w:p>
            <w:pPr>
              <w:spacing w:after="0"/>
              <w:rPr>
                <w:sz w:val="9"/>
                <w:szCs w:val="9"/>
                <w:color w:val="auto"/>
              </w:rPr>
            </w:pPr>
          </w:p>
        </w:tc>
        <w:tc>
          <w:tcPr>
            <w:tcW w:w="1580" w:type="dxa"/>
            <w:vAlign w:val="bottom"/>
          </w:tcPr>
          <w:p>
            <w:pPr>
              <w:jc w:val="center"/>
              <w:ind w:right="206"/>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740" w:type="dxa"/>
            <w:vAlign w:val="bottom"/>
          </w:tcPr>
          <w:p>
            <w:pPr>
              <w:jc w:val="center"/>
              <w:ind w:right="161"/>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3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99"/>
              </w:rPr>
              <w:t>Maximum Offering</w:t>
            </w:r>
          </w:p>
        </w:tc>
        <w:tc>
          <w:tcPr>
            <w:tcW w:w="260" w:type="dxa"/>
            <w:vAlign w:val="bottom"/>
          </w:tcPr>
          <w:p>
            <w:pPr>
              <w:spacing w:after="0"/>
              <w:rPr>
                <w:sz w:val="12"/>
                <w:szCs w:val="12"/>
                <w:color w:val="auto"/>
              </w:rPr>
            </w:pPr>
          </w:p>
        </w:tc>
        <w:tc>
          <w:tcPr>
            <w:tcW w:w="17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Maximum Aggregate</w:t>
            </w:r>
          </w:p>
        </w:tc>
        <w:tc>
          <w:tcPr>
            <w:tcW w:w="2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To Be Registered</w:t>
            </w:r>
          </w:p>
        </w:tc>
        <w:tc>
          <w:tcPr>
            <w:tcW w:w="2400" w:type="dxa"/>
            <w:vAlign w:val="bottom"/>
            <w:tcBorders>
              <w:bottom w:val="single" w:sz="8" w:color="auto"/>
            </w:tcBorders>
          </w:tcPr>
          <w:p>
            <w:pPr>
              <w:jc w:val="center"/>
              <w:ind w:left="659"/>
              <w:spacing w:after="0"/>
              <w:rPr>
                <w:sz w:val="20"/>
                <w:szCs w:val="20"/>
                <w:color w:val="auto"/>
              </w:rPr>
            </w:pPr>
            <w:r>
              <w:rPr>
                <w:rFonts w:ascii="Arial" w:cs="Arial" w:eastAsia="Arial" w:hAnsi="Arial"/>
                <w:sz w:val="14"/>
                <w:szCs w:val="14"/>
                <w:b w:val="1"/>
                <w:bCs w:val="1"/>
                <w:color w:val="auto"/>
                <w:w w:val="91"/>
              </w:rPr>
              <w:t>Be Registered(1)</w:t>
            </w: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94"/>
              </w:rPr>
              <w:t>Price Per Share(2)</w:t>
            </w: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Common stock, par value $0.001 per share</w:t>
            </w:r>
          </w:p>
        </w:tc>
        <w:tc>
          <w:tcPr>
            <w:tcW w:w="2400" w:type="dxa"/>
            <w:vAlign w:val="bottom"/>
          </w:tcPr>
          <w:p>
            <w:pPr>
              <w:jc w:val="right"/>
              <w:ind w:right="79"/>
              <w:spacing w:after="0"/>
              <w:rPr>
                <w:sz w:val="20"/>
                <w:szCs w:val="20"/>
                <w:color w:val="auto"/>
              </w:rPr>
            </w:pPr>
            <w:r>
              <w:rPr>
                <w:rFonts w:ascii="Arial" w:cs="Arial" w:eastAsia="Arial" w:hAnsi="Arial"/>
                <w:sz w:val="18"/>
                <w:szCs w:val="18"/>
                <w:color w:val="auto"/>
              </w:rPr>
              <w:t>1,107,411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6"/>
              <w:spacing w:after="0"/>
              <w:rPr>
                <w:sz w:val="20"/>
                <w:szCs w:val="20"/>
                <w:color w:val="auto"/>
              </w:rPr>
            </w:pPr>
            <w:r>
              <w:rPr>
                <w:rFonts w:ascii="Arial" w:cs="Arial" w:eastAsia="Arial" w:hAnsi="Arial"/>
                <w:sz w:val="18"/>
                <w:szCs w:val="18"/>
                <w:color w:val="auto"/>
              </w:rPr>
              <w:t>6.06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61"/>
              <w:spacing w:after="0"/>
              <w:rPr>
                <w:sz w:val="20"/>
                <w:szCs w:val="20"/>
                <w:color w:val="auto"/>
              </w:rPr>
            </w:pPr>
            <w:r>
              <w:rPr>
                <w:rFonts w:ascii="Arial" w:cs="Arial" w:eastAsia="Arial" w:hAnsi="Arial"/>
                <w:sz w:val="18"/>
                <w:szCs w:val="18"/>
                <w:color w:val="auto"/>
              </w:rPr>
              <w:t>6,710,910.66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2"/>
              <w:spacing w:after="0"/>
              <w:rPr>
                <w:sz w:val="20"/>
                <w:szCs w:val="20"/>
                <w:color w:val="auto"/>
              </w:rPr>
            </w:pPr>
            <w:r>
              <w:rPr>
                <w:rFonts w:ascii="Arial" w:cs="Arial" w:eastAsia="Arial" w:hAnsi="Arial"/>
                <w:sz w:val="18"/>
                <w:szCs w:val="18"/>
                <w:color w:val="auto"/>
              </w:rPr>
              <w:t>675.78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0" w:right="140" w:hanging="392"/>
        <w:spacing w:after="0" w:line="259" w:lineRule="auto"/>
        <w:tabs>
          <w:tab w:leader="none" w:pos="41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(the “Securities Act”), this registration statement also covers any additional securities that may be offered or become issuable under the 2013 Stock Incentive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186" w:lineRule="exact"/>
        <w:rPr>
          <w:rFonts w:ascii="Arial" w:cs="Arial" w:eastAsia="Arial" w:hAnsi="Arial"/>
          <w:sz w:val="18"/>
          <w:szCs w:val="18"/>
          <w:color w:val="auto"/>
        </w:rPr>
      </w:pPr>
    </w:p>
    <w:p>
      <w:pPr>
        <w:ind w:left="400" w:right="180" w:hanging="392"/>
        <w:spacing w:after="0" w:line="308" w:lineRule="auto"/>
        <w:tabs>
          <w:tab w:leader="none" w:pos="41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Rules 457(h) and 457(c) under the Securities Act, solely for the purposes of calculating the registration fee, based on the average of the high and low prices of the Registrant’s Common Stock as reported on The Nasdaq Capital Market on March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170815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8"/>
          <w:szCs w:val="18"/>
          <w:color w:val="auto"/>
        </w:rPr>
        <w:t>The Registration Statement shall become effective upon filing in accordance with Rule 462 under the Securities Act.</w:t>
      </w:r>
    </w:p>
    <w:p>
      <w:pPr>
        <w:sectPr>
          <w:pgSz w:w="11900" w:h="16838" w:orient="portrait"/>
          <w:cols w:equalWidth="0" w:num="1">
            <w:col w:w="11420"/>
          </w:cols>
          <w:pgMar w:left="240" w:top="445"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507365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t>PART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Registration Statement is being filed for the purpose of increasing the number of securities of the same class as other securities for which certain Registration Statements on Form S-8 relating to the same employee benefit plan are effective. The Registrant’s Registration Statements on Form S-8 filed with the Securities and Exchange Commission (the “Commission”) on October 30, 2014 (File No. 333-191992) and March 30, 2015 (File No. 333-203097),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documents filed by the Registrant with the Securities and Exchange Commission (the “Commission”) are hereby incorporated by reference in this Registration Statement:</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4, 2016; and.</w:t>
      </w:r>
    </w:p>
    <w:p>
      <w:pPr>
        <w:spacing w:after="0" w:line="225" w:lineRule="exact"/>
        <w:rPr>
          <w:rFonts w:ascii="Arial" w:cs="Arial" w:eastAsia="Arial" w:hAnsi="Arial"/>
          <w:sz w:val="18"/>
          <w:szCs w:val="18"/>
          <w:color w:val="auto"/>
        </w:rPr>
      </w:pPr>
    </w:p>
    <w:p>
      <w:pPr>
        <w:ind w:left="980" w:right="440" w:hanging="324"/>
        <w:spacing w:after="0" w:line="264" w:lineRule="auto"/>
        <w:tabs>
          <w:tab w:leader="none" w:pos="99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(the “Exchange Act”), including any amendment or report filed for the purpose of updating such description.</w:t>
      </w:r>
    </w:p>
    <w:p>
      <w:pPr>
        <w:spacing w:after="0" w:line="181"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2"/>
          </w:tcPr>
          <w:p>
            <w:pPr>
              <w:jc w:val="center"/>
              <w:ind w:right="1540"/>
              <w:spacing w:after="0"/>
              <w:rPr>
                <w:sz w:val="20"/>
                <w:szCs w:val="20"/>
                <w:color w:val="auto"/>
              </w:rPr>
            </w:pPr>
            <w:r>
              <w:rPr>
                <w:rFonts w:ascii="Arial" w:cs="Arial" w:eastAsia="Arial" w:hAnsi="Arial"/>
                <w:sz w:val="18"/>
                <w:szCs w:val="18"/>
                <w:color w:val="auto"/>
                <w:w w:val="99"/>
              </w:rPr>
              <w:t>II-1</w:t>
            </w:r>
          </w:p>
        </w:tc>
      </w:tr>
      <w:tr>
        <w:trPr>
          <w:trHeight w:val="132"/>
        </w:trPr>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74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5.1</w:t>
            </w:r>
          </w:p>
        </w:tc>
        <w:tc>
          <w:tcPr>
            <w:tcW w:w="4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Opinion of Pillsbury Winthrop Shaw Pittman LLP.</w:t>
            </w:r>
          </w:p>
        </w:tc>
        <w:tc>
          <w:tcPr>
            <w:tcW w:w="40" w:type="dxa"/>
            <w:vAlign w:val="bottom"/>
          </w:tcPr>
          <w:p>
            <w:pPr>
              <w:spacing w:after="0"/>
              <w:rPr>
                <w:sz w:val="16"/>
                <w:szCs w:val="16"/>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18"/>
                <w:szCs w:val="18"/>
                <w:color w:val="auto"/>
              </w:rPr>
            </w:pP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18"/>
                <w:szCs w:val="18"/>
                <w:color w:val="auto"/>
              </w:rPr>
            </w:pP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0"/>
                <w:szCs w:val="20"/>
                <w:color w:val="auto"/>
              </w:rPr>
            </w:pP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Power of Attorney (contained on signature page hereto).</w:t>
            </w:r>
          </w:p>
        </w:tc>
      </w:tr>
      <w:tr>
        <w:trPr>
          <w:trHeight w:val="432"/>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9.</w:t>
            </w:r>
          </w:p>
        </w:tc>
        <w:tc>
          <w:tcPr>
            <w:tcW w:w="10740" w:type="dxa"/>
            <w:vAlign w:val="bottom"/>
            <w:gridSpan w:val="4"/>
          </w:tcPr>
          <w:p>
            <w:pPr>
              <w:ind w:left="20"/>
              <w:spacing w:after="0"/>
              <w:rPr>
                <w:sz w:val="20"/>
                <w:szCs w:val="20"/>
                <w:color w:val="auto"/>
              </w:rPr>
            </w:pPr>
            <w:r>
              <w:rPr>
                <w:rFonts w:ascii="Arial" w:cs="Arial" w:eastAsia="Arial" w:hAnsi="Arial"/>
                <w:sz w:val="18"/>
                <w:szCs w:val="18"/>
                <w:b w:val="1"/>
                <w:bCs w:val="1"/>
                <w:color w:val="auto"/>
              </w:rPr>
              <w:t>Undertakings.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-1999615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-1999615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5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200" w:firstLine="449"/>
        <w:spacing w:after="0" w:line="302" w:lineRule="auto"/>
        <w:tabs>
          <w:tab w:leader="none" w:pos="70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w:t>
      </w:r>
    </w:p>
    <w:p>
      <w:pPr>
        <w:sectPr>
          <w:pgSz w:w="11900" w:h="16838" w:orient="portrait"/>
          <w:cols w:equalWidth="0" w:num="1">
            <w:col w:w="11460"/>
          </w:cols>
          <w:pgMar w:left="240" w:top="1391" w:right="199" w:bottom="0" w:gutter="0" w:footer="0" w:header="0"/>
        </w:sectPr>
      </w:pPr>
    </w:p>
    <w:bookmarkStart w:id="2" w:name="page3"/>
    <w:bookmarkEnd w:id="2"/>
    <w:p>
      <w:pPr>
        <w:spacing w:after="0" w:line="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0" w:lineRule="exact"/>
        <w:rPr>
          <w:sz w:val="20"/>
          <w:szCs w:val="20"/>
          <w:color w:val="auto"/>
        </w:rPr>
      </w:pPr>
    </w:p>
    <w:p>
      <w:pPr>
        <w:ind w:right="200" w:firstLine="449"/>
        <w:spacing w:after="0" w:line="277" w:lineRule="auto"/>
        <w:tabs>
          <w:tab w:leader="none" w:pos="7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ind w:right="540" w:firstLine="449"/>
        <w:spacing w:after="0" w:line="264"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60" w:firstLine="449"/>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60" w:firstLine="449"/>
        <w:spacing w:after="0" w:line="30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9"/>
        <w:spacing w:after="0" w:line="291" w:lineRule="auto"/>
        <w:tabs>
          <w:tab w:leader="none" w:pos="68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14th day of March, 2016.</w:t>
      </w:r>
    </w:p>
    <w:p>
      <w:pPr>
        <w:spacing w:after="0" w:line="17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45" w:lineRule="exact"/>
        <w:rPr>
          <w:sz w:val="20"/>
          <w:szCs w:val="20"/>
          <w:color w:val="auto"/>
        </w:rPr>
      </w:pPr>
    </w:p>
    <w:p>
      <w:pPr>
        <w:ind w:left="58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Bonnie H.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480" w:type="dxa"/>
            <w:vAlign w:val="bottom"/>
          </w:tcPr>
          <w:p>
            <w:pPr>
              <w:spacing w:after="0"/>
              <w:rPr>
                <w:sz w:val="14"/>
                <w:szCs w:val="14"/>
                <w:color w:val="auto"/>
              </w:rPr>
            </w:pPr>
          </w:p>
        </w:tc>
        <w:tc>
          <w:tcPr>
            <w:tcW w:w="39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Title</w:t>
            </w:r>
          </w:p>
        </w:tc>
        <w:tc>
          <w:tcPr>
            <w:tcW w:w="4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5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Bonnie H. Anderson</w:t>
            </w:r>
          </w:p>
        </w:tc>
        <w:tc>
          <w:tcPr>
            <w:tcW w:w="48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(Principal</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Bonnie H. Anderson</w:t>
            </w:r>
          </w:p>
        </w:tc>
        <w:tc>
          <w:tcPr>
            <w:tcW w:w="48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Executive Officer) and Director</w:t>
            </w:r>
          </w:p>
        </w:tc>
        <w:tc>
          <w:tcPr>
            <w:tcW w:w="26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Shelly D. Guyer</w:t>
            </w:r>
          </w:p>
        </w:tc>
        <w:tc>
          <w:tcPr>
            <w:tcW w:w="48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Shelly D. Guyer</w:t>
            </w:r>
          </w:p>
        </w:tc>
        <w:tc>
          <w:tcPr>
            <w:tcW w:w="48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6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Brian G. Atwood</w:t>
            </w:r>
          </w:p>
        </w:tc>
        <w:tc>
          <w:tcPr>
            <w:tcW w:w="48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6"/>
              </w:rPr>
              <w:t>Brian G. Atwood</w:t>
            </w:r>
          </w:p>
        </w:tc>
        <w:tc>
          <w:tcPr>
            <w:tcW w:w="4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L. Bishop</w:t>
            </w:r>
          </w:p>
        </w:tc>
        <w:tc>
          <w:tcPr>
            <w:tcW w:w="48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March 14, 2016</w:t>
            </w:r>
          </w:p>
        </w:tc>
      </w:tr>
    </w:tbl>
    <w:p>
      <w:pPr>
        <w:sectPr>
          <w:pgSz w:w="11900" w:h="16843"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2"/>
              </w:rPr>
              <w:t>John L. Bishop</w:t>
            </w:r>
          </w:p>
        </w:tc>
        <w:tc>
          <w:tcPr>
            <w:tcW w:w="33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Fred E. Cohen, M.D., D.Phil.</w:t>
            </w:r>
          </w:p>
        </w:tc>
        <w:tc>
          <w:tcPr>
            <w:tcW w:w="3380" w:type="dxa"/>
            <w:vAlign w:val="bottom"/>
          </w:tcPr>
          <w:p>
            <w:pPr>
              <w:ind w:left="4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2320"/>
              <w:spacing w:after="0"/>
              <w:rPr>
                <w:sz w:val="20"/>
                <w:szCs w:val="20"/>
                <w:color w:val="auto"/>
              </w:rPr>
            </w:pPr>
            <w:r>
              <w:rPr>
                <w:rFonts w:ascii="Arial" w:cs="Arial" w:eastAsia="Arial" w:hAnsi="Arial"/>
                <w:sz w:val="18"/>
                <w:szCs w:val="18"/>
                <w:color w:val="auto"/>
                <w:w w:val="89"/>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Fred E. Cohen, M.D., D.Phil.</w:t>
            </w:r>
          </w:p>
        </w:tc>
        <w:tc>
          <w:tcPr>
            <w:tcW w:w="33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Karin Eastham</w:t>
            </w:r>
          </w:p>
        </w:tc>
        <w:tc>
          <w:tcPr>
            <w:tcW w:w="3380" w:type="dxa"/>
            <w:vAlign w:val="bottom"/>
          </w:tcPr>
          <w:p>
            <w:pPr>
              <w:ind w:left="4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2320"/>
              <w:spacing w:after="0"/>
              <w:rPr>
                <w:sz w:val="20"/>
                <w:szCs w:val="20"/>
                <w:color w:val="auto"/>
              </w:rPr>
            </w:pPr>
            <w:r>
              <w:rPr>
                <w:rFonts w:ascii="Arial" w:cs="Arial" w:eastAsia="Arial" w:hAnsi="Arial"/>
                <w:sz w:val="18"/>
                <w:szCs w:val="18"/>
                <w:color w:val="auto"/>
                <w:w w:val="89"/>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Karin Eastham</w:t>
            </w:r>
          </w:p>
        </w:tc>
        <w:tc>
          <w:tcPr>
            <w:tcW w:w="33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S. Epstein, M.D., M.S.</w:t>
            </w:r>
          </w:p>
        </w:tc>
        <w:tc>
          <w:tcPr>
            <w:tcW w:w="3380" w:type="dxa"/>
            <w:vAlign w:val="bottom"/>
          </w:tcPr>
          <w:p>
            <w:pPr>
              <w:ind w:left="4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2320"/>
              <w:spacing w:after="0"/>
              <w:rPr>
                <w:sz w:val="20"/>
                <w:szCs w:val="20"/>
                <w:color w:val="auto"/>
              </w:rPr>
            </w:pPr>
            <w:r>
              <w:rPr>
                <w:rFonts w:ascii="Arial" w:cs="Arial" w:eastAsia="Arial" w:hAnsi="Arial"/>
                <w:sz w:val="18"/>
                <w:szCs w:val="18"/>
                <w:color w:val="auto"/>
                <w:w w:val="89"/>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Robert S. Epstein, M.D., M.S.</w:t>
            </w:r>
          </w:p>
        </w:tc>
        <w:tc>
          <w:tcPr>
            <w:tcW w:w="33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Evan Jones</w:t>
            </w:r>
          </w:p>
        </w:tc>
        <w:tc>
          <w:tcPr>
            <w:tcW w:w="3380" w:type="dxa"/>
            <w:vAlign w:val="bottom"/>
          </w:tcPr>
          <w:p>
            <w:pPr>
              <w:ind w:left="4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2320"/>
              <w:spacing w:after="0"/>
              <w:rPr>
                <w:sz w:val="20"/>
                <w:szCs w:val="20"/>
                <w:color w:val="auto"/>
              </w:rPr>
            </w:pPr>
            <w:r>
              <w:rPr>
                <w:rFonts w:ascii="Arial" w:cs="Arial" w:eastAsia="Arial" w:hAnsi="Arial"/>
                <w:sz w:val="18"/>
                <w:szCs w:val="18"/>
                <w:color w:val="auto"/>
                <w:w w:val="89"/>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Evan Jones</w:t>
            </w:r>
          </w:p>
        </w:tc>
        <w:tc>
          <w:tcPr>
            <w:tcW w:w="33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Tina S. Nova, Ph.D.</w:t>
            </w:r>
          </w:p>
        </w:tc>
        <w:tc>
          <w:tcPr>
            <w:tcW w:w="3380" w:type="dxa"/>
            <w:vAlign w:val="bottom"/>
          </w:tcPr>
          <w:p>
            <w:pPr>
              <w:ind w:left="4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2320"/>
              <w:spacing w:after="0"/>
              <w:rPr>
                <w:sz w:val="20"/>
                <w:szCs w:val="20"/>
                <w:color w:val="auto"/>
              </w:rPr>
            </w:pPr>
            <w:r>
              <w:rPr>
                <w:rFonts w:ascii="Arial" w:cs="Arial" w:eastAsia="Arial" w:hAnsi="Arial"/>
                <w:sz w:val="18"/>
                <w:szCs w:val="18"/>
                <w:color w:val="auto"/>
                <w:w w:val="89"/>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Tina S. Nova, Ph.D.</w:t>
            </w:r>
          </w:p>
        </w:tc>
        <w:tc>
          <w:tcPr>
            <w:tcW w:w="33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Jesse I. Treu, Ph.D.</w:t>
            </w:r>
          </w:p>
        </w:tc>
        <w:tc>
          <w:tcPr>
            <w:tcW w:w="3380" w:type="dxa"/>
            <w:vAlign w:val="bottom"/>
          </w:tcPr>
          <w:p>
            <w:pPr>
              <w:ind w:left="4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2320"/>
              <w:spacing w:after="0"/>
              <w:rPr>
                <w:sz w:val="20"/>
                <w:szCs w:val="20"/>
                <w:color w:val="auto"/>
              </w:rPr>
            </w:pPr>
            <w:r>
              <w:rPr>
                <w:rFonts w:ascii="Arial" w:cs="Arial" w:eastAsia="Arial" w:hAnsi="Arial"/>
                <w:sz w:val="18"/>
                <w:szCs w:val="18"/>
                <w:color w:val="auto"/>
                <w:w w:val="89"/>
              </w:rPr>
              <w:t>March 14, 2016</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Jesse I. Treu, Ph.D.</w:t>
            </w:r>
          </w:p>
        </w:tc>
        <w:tc>
          <w:tcPr>
            <w:tcW w:w="3380" w:type="dxa"/>
            <w:vAlign w:val="bottom"/>
          </w:tcPr>
          <w:p>
            <w:pPr>
              <w:spacing w:after="0"/>
              <w:rPr>
                <w:sz w:val="19"/>
                <w:szCs w:val="19"/>
                <w:color w:val="auto"/>
              </w:rPr>
            </w:pPr>
          </w:p>
        </w:tc>
        <w:tc>
          <w:tcPr>
            <w:tcW w:w="3460" w:type="dxa"/>
            <w:vAlign w:val="bottom"/>
          </w:tcPr>
          <w:p>
            <w:pPr>
              <w:spacing w:after="0"/>
              <w:rPr>
                <w:sz w:val="19"/>
                <w:szCs w:val="19"/>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2"/>
          </w:tcPr>
          <w:p>
            <w:pPr>
              <w:jc w:val="center"/>
              <w:ind w:right="1540"/>
              <w:spacing w:after="0"/>
              <w:rPr>
                <w:sz w:val="20"/>
                <w:szCs w:val="20"/>
                <w:color w:val="auto"/>
              </w:rPr>
            </w:pPr>
            <w:r>
              <w:rPr>
                <w:rFonts w:ascii="Arial" w:cs="Arial" w:eastAsia="Arial" w:hAnsi="Arial"/>
                <w:sz w:val="18"/>
                <w:szCs w:val="18"/>
                <w:color w:val="auto"/>
                <w:w w:val="99"/>
              </w:rPr>
              <w:t>II-4</w:t>
            </w: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Opinion of Pillsbury Winthrop Shaw Pittman LLP.</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10300" w:type="dxa"/>
            <w:vAlign w:val="bottom"/>
            <w:gridSpan w:val="3"/>
          </w:tcPr>
          <w:p>
            <w:pPr>
              <w:ind w:left="340"/>
              <w:spacing w:after="0"/>
              <w:rPr>
                <w:sz w:val="20"/>
                <w:szCs w:val="20"/>
                <w:color w:val="auto"/>
              </w:rPr>
            </w:pPr>
            <w:r>
              <w:rPr>
                <w:rFonts w:ascii="Arial" w:cs="Arial" w:eastAsia="Arial" w:hAnsi="Arial"/>
                <w:sz w:val="18"/>
                <w:szCs w:val="18"/>
                <w:color w:val="auto"/>
              </w:rPr>
              <w:t>Power of Attorney (contained on signature page hereto).</w:t>
            </w:r>
          </w:p>
        </w:tc>
      </w:tr>
      <w:tr>
        <w:trPr>
          <w:trHeight w:val="348"/>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-2370455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-2370455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94111-5998</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March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Registration Statement on Form S-8 (the “Registration Statement”) relating to the registration under the Securities Act of 1933 (the “Act”) of 1,107,411 shares of the Company’s common stock, par value $0.001 per share (the “Shares”), issuable pursuant to the Company’s 2013 Stock Incentive Plan (the “Plan”).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the opinions expressed in this letter. Based upon the foregoing, we are of the opinion that the Shares have been duly authorized and, when issued and sold in accordance with the Plan, will be validly issued, fully paid and nonassessable. The opinions set forth in this letter are limited to the General Corporation Law of the State of Delaware, as in effect on the date hereof.</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within the category of persons whose consent is required under Section 7 of the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Veracyte, Inc. of our report dated March 14, 2016, with respect to the financial statements of Veracyte, Inc. included in its Annual Report (Form 10-K) for the year ended December 31, 2015,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hereby consent to the incorporation by reference in this Registration Statement on Form S-8 of Veracyte, Inc. of our report dated March 20, 2014 relating to the financial statements, which appears in Veracyte, Inc.’s Annual Report on Form 10-K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2019-12-08T13:31:57Z</dcterms:created>
  <dcterms:modified xsi:type="dcterms:W3CDTF">2019-12-08T13:31:57Z</dcterms:modified>
</cp:coreProperties>
</file>