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4 )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3,159,329</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4,232,844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4,232,844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5.51%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3,159,329</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4,232,844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4,232,844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5.51%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3,159,329</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4,232,844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4,232,844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5.51%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48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3,127,253</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8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480" w:type="dxa"/>
            <w:vAlign w:val="bottom"/>
          </w:tcPr>
          <w:p>
            <w:pPr>
              <w:spacing w:after="0"/>
              <w:rPr>
                <w:sz w:val="24"/>
                <w:szCs w:val="24"/>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3,845,237</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3,845,237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5.01%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right="7880" w:hanging="401"/>
        <w:spacing w:after="0" w:line="286" w:lineRule="auto"/>
        <w:tabs>
          <w:tab w:leader="none" w:pos="176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Veracyte, Inc.</w:t>
      </w:r>
    </w:p>
    <w:p>
      <w:pPr>
        <w:spacing w:after="0" w:line="45" w:lineRule="exact"/>
        <w:rPr>
          <w:rFonts w:ascii="Times New Roman" w:cs="Times New Roman" w:eastAsia="Times New Roman" w:hAnsi="Times New Roman"/>
          <w:sz w:val="21"/>
          <w:szCs w:val="21"/>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6000 Shoreline Court</w:t>
      </w:r>
    </w:p>
    <w:p>
      <w:pPr>
        <w:spacing w:after="0" w:line="1" w:lineRule="exact"/>
        <w:rPr>
          <w:rFonts w:ascii="Times New Roman" w:cs="Times New Roman" w:eastAsia="Times New Roman" w:hAnsi="Times New Roman"/>
          <w:sz w:val="22"/>
          <w:szCs w:val="22"/>
          <w:b w:val="1"/>
          <w:bCs w:val="1"/>
          <w:color w:val="auto"/>
        </w:rPr>
      </w:pPr>
    </w:p>
    <w:p>
      <w:pPr>
        <w:ind w:left="1760"/>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Suite 300</w:t>
      </w: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South San Francisco, CA 94080</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92337F107</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 *</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Group LLP - HC</w:t>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Group Holdings LLP - HC</w:t>
      </w:r>
    </w:p>
    <w:p>
      <w:pPr>
        <w:ind w:left="1360"/>
        <w:spacing w:after="0" w:line="230" w:lineRule="auto"/>
        <w:rPr>
          <w:sz w:val="20"/>
          <w:szCs w:val="20"/>
          <w:color w:val="auto"/>
        </w:rPr>
      </w:pPr>
      <w:r>
        <w:rPr>
          <w:rFonts w:ascii="Times New Roman" w:cs="Times New Roman" w:eastAsia="Times New Roman" w:hAnsi="Times New Roman"/>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40"/>
          </w:cols>
          <w:pgMar w:left="400" w:top="405" w:right="459" w:bottom="0" w:gutter="0" w:footer="0" w:header="0"/>
        </w:sectPr>
      </w:pPr>
    </w:p>
    <w:bookmarkStart w:id="6" w:name="page7"/>
    <w:bookmarkEnd w:id="6"/>
    <w:p>
      <w:pPr>
        <w:ind w:left="1760"/>
        <w:spacing w:after="0"/>
        <w:rPr>
          <w:sz w:val="20"/>
          <w:szCs w:val="20"/>
          <w:color w:val="auto"/>
        </w:rPr>
      </w:pPr>
      <w:r>
        <w:rPr>
          <w:rFonts w:ascii="Times New Roman" w:cs="Times New Roman" w:eastAsia="Times New Roman" w:hAnsi="Times New Roman"/>
          <w:sz w:val="21"/>
          <w:szCs w:val="21"/>
          <w:color w:val="auto"/>
        </w:rPr>
        <w:t>See the responses to Item 11 on the attached cover pages.</w:t>
      </w:r>
    </w:p>
    <w:p>
      <w:pPr>
        <w:sectPr>
          <w:pgSz w:w="11900" w:h="16838" w:orient="portrait"/>
          <w:cols w:equalWidth="0" w:num="1">
            <w:col w:w="10980"/>
          </w:cols>
          <w:pgMar w:left="400" w:top="111" w:right="519" w:bottom="9" w:gutter="0" w:footer="0" w:header="0"/>
        </w:sectPr>
      </w:pPr>
    </w:p>
    <w:p>
      <w:pPr>
        <w:spacing w:after="0" w:line="137" w:lineRule="exact"/>
        <w:rPr>
          <w:sz w:val="20"/>
          <w:szCs w:val="20"/>
          <w:color w:val="auto"/>
        </w:rPr>
      </w:pPr>
    </w:p>
    <w:p>
      <w:pPr>
        <w:ind w:left="1760" w:hanging="401"/>
        <w:spacing w:after="0"/>
        <w:tabs>
          <w:tab w:leader="none" w:pos="17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46"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00"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28" w:lineRule="exact"/>
        <w:rPr>
          <w:sz w:val="20"/>
          <w:szCs w:val="20"/>
          <w:color w:val="auto"/>
        </w:rPr>
      </w:pPr>
    </w:p>
    <w:p>
      <w:pPr>
        <w:sectPr>
          <w:pgSz w:w="11900" w:h="16838" w:orient="portrait"/>
          <w:cols w:equalWidth="0" w:num="2">
            <w:col w:w="6420" w:space="200"/>
            <w:col w:w="4360"/>
          </w:cols>
          <w:pgMar w:left="400" w:top="111" w:right="519" w:bottom="9" w:gutter="0" w:footer="0" w:header="0"/>
          <w:type w:val="continuous"/>
        </w:sectPr>
      </w:pPr>
    </w:p>
    <w:p>
      <w:pPr>
        <w:spacing w:after="0" w:line="18" w:lineRule="exact"/>
        <w:rPr>
          <w:sz w:val="20"/>
          <w:szCs w:val="20"/>
          <w:color w:val="auto"/>
        </w:rPr>
      </w:pPr>
    </w:p>
    <w:p>
      <w:pPr>
        <w:ind w:left="2220" w:right="280" w:hanging="456"/>
        <w:spacing w:after="0" w:line="185" w:lineRule="auto"/>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ind w:right="12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5900" w:space="720"/>
            <w:col w:w="4360"/>
          </w:cols>
          <w:pgMar w:left="400" w:top="111" w:right="519" w:bottom="9" w:gutter="0" w:footer="0" w:header="0"/>
          <w:type w:val="continuous"/>
        </w:sect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1360" w:right="14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136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7.</w:t>
      </w:r>
      <w:r>
        <w:rPr>
          <w:sz w:val="20"/>
          <w:szCs w:val="20"/>
          <w:color w:val="auto"/>
        </w:rPr>
        <w:tab/>
      </w:r>
      <w:r>
        <w:rPr>
          <w:rFonts w:ascii="Times New Roman" w:cs="Times New Roman" w:eastAsia="Times New Roman" w:hAnsi="Times New Roman"/>
          <w:sz w:val="21"/>
          <w:szCs w:val="21"/>
          <w:b w:val="1"/>
          <w:bCs w:val="1"/>
          <w:color w:val="auto"/>
        </w:rPr>
        <w:t>Identification and Classification of the Subsidiary Which Acquired the Security Being Reported on by</w:t>
      </w:r>
    </w:p>
    <w:p>
      <w:pPr>
        <w:spacing w:after="0" w:line="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p>
      <w:pPr>
        <w:spacing w:after="0" w:line="10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Pursuant to the instructions in Item 7 of Schedule 13G, the following lists the identity and Item 3 classification</w:t>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of each relevant entity that beneficially owns shares of the security class being reported on this Schedule 13G.</w:t>
      </w:r>
    </w:p>
    <w:p>
      <w:pPr>
        <w:spacing w:after="0" w:line="35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Group Holdings LLP – HC</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Investment Advisors LLP – HC</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Global Holdings, Ltd. - HC</w:t>
      </w:r>
    </w:p>
    <w:p>
      <w:pPr>
        <w:spacing w:after="0" w:line="36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36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368" w:lineRule="exact"/>
        <w:rPr>
          <w:sz w:val="20"/>
          <w:szCs w:val="20"/>
          <w:color w:val="auto"/>
        </w:rPr>
      </w:pPr>
    </w:p>
    <w:p>
      <w:pPr>
        <w:ind w:left="1360"/>
        <w:spacing w:after="0" w:line="236"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9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jc w:val="center"/>
        <w:ind w:right="690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10.</w:t>
      </w:r>
      <w:r>
        <w:rPr>
          <w:sz w:val="20"/>
          <w:szCs w:val="20"/>
          <w:color w:val="auto"/>
        </w:rPr>
        <w:tab/>
      </w:r>
      <w:r>
        <w:rPr>
          <w:rFonts w:ascii="Times New Roman" w:cs="Times New Roman" w:eastAsia="Times New Roman" w:hAnsi="Times New Roman"/>
          <w:sz w:val="21"/>
          <w:szCs w:val="21"/>
          <w:b w:val="1"/>
          <w:bCs w:val="1"/>
          <w:color w:val="auto"/>
        </w:rPr>
        <w:t>Certification.</w:t>
      </w:r>
    </w:p>
    <w:p>
      <w:pPr>
        <w:sectPr>
          <w:pgSz w:w="11900" w:h="16838" w:orient="portrait"/>
          <w:cols w:equalWidth="0" w:num="1">
            <w:col w:w="10980"/>
          </w:cols>
          <w:pgMar w:left="400" w:top="111" w:right="519" w:bottom="9" w:gutter="0" w:footer="0" w:header="0"/>
          <w:type w:val="continuous"/>
        </w:sectPr>
      </w:pPr>
    </w:p>
    <w:bookmarkStart w:id="7" w:name="page8"/>
    <w:bookmarkEnd w:id="7"/>
    <w:p>
      <w:pPr>
        <w:ind w:left="320"/>
        <w:spacing w:after="0" w:line="255"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0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332" w:lineRule="exact"/>
        <w:rPr>
          <w:sz w:val="20"/>
          <w:szCs w:val="20"/>
          <w:color w:val="auto"/>
        </w:rPr>
      </w:pPr>
    </w:p>
    <w:p>
      <w:pPr>
        <w:ind w:left="60" w:right="10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6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ectPr>
          <w:pgSz w:w="11900" w:h="16838" w:orient="portrait"/>
          <w:cols w:equalWidth="0" w:num="1">
            <w:col w:w="9900"/>
          </w:cols>
          <w:pgMar w:left="1440" w:top="111" w:right="5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Veracyte,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2024-11-08T09:51:15Z</dcterms:created>
  <dcterms:modified xsi:type="dcterms:W3CDTF">2024-11-08T09:51:15Z</dcterms:modified>
</cp:coreProperties>
</file>