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36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58"/>
              <w:spacing w:after="0" w:line="132"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vMerge w:val="restart"/>
          </w:tcPr>
          <w:p>
            <w:pPr>
              <w:jc w:val="center"/>
              <w:ind w:right="3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12700</wp:posOffset>
            </wp:positionV>
            <wp:extent cx="7280910"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94164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00" w:space="640"/>
            <w:col w:w="868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TPG Group Holdings (SBS) Advisors, Inc.</w:t>
        </w:r>
      </w:hyperlink>
    </w:p>
    <w:p>
      <w:pPr>
        <w:spacing w:after="0" w:line="32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GLOBAL, LLC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VERACYTE,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VCYT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11/04/2013</w:t>
      </w:r>
    </w:p>
    <w:p>
      <w:pPr>
        <w:spacing w:after="0" w:line="20" w:lineRule="exact"/>
        <w:rPr>
          <w:sz w:val="24"/>
          <w:szCs w:val="24"/>
          <w:color w:val="auto"/>
        </w:rPr>
      </w:pPr>
      <w:r>
        <w:rPr>
          <w:sz w:val="24"/>
          <w:szCs w:val="24"/>
          <w:color w:val="auto"/>
        </w:rPr>
        <w:br w:type="column"/>
      </w:r>
    </w:p>
    <w:p>
      <w:pPr>
        <w:ind w:left="2" w:right="820" w:hanging="2"/>
        <w:spacing w:after="0" w:line="23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42"/>
        <w:spacing w:after="0"/>
        <w:tabs>
          <w:tab w:leader="none" w:pos="1841" w:val="left"/>
          <w:tab w:leader="none" w:pos="21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5" w:lineRule="exact"/>
        <w:rPr>
          <w:sz w:val="24"/>
          <w:szCs w:val="24"/>
          <w:color w:val="auto"/>
        </w:rPr>
      </w:pPr>
    </w:p>
    <w:p>
      <w:pPr>
        <w:sectPr>
          <w:pgSz w:w="11900" w:h="16838" w:orient="portrait"/>
          <w:cols w:equalWidth="0" w:num="3">
            <w:col w:w="3580" w:space="480"/>
            <w:col w:w="3258" w:space="720"/>
            <w:col w:w="3482"/>
          </w:cols>
          <w:pgMar w:left="240" w:top="219" w:right="139" w:bottom="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00" w:type="dxa"/>
            <w:vAlign w:val="bottom"/>
            <w:tcBorders>
              <w:top w:val="single" w:sz="8" w:color="9A9A9A"/>
            </w:tcBorders>
          </w:tcPr>
          <w:p>
            <w:pPr>
              <w:spacing w:after="0"/>
              <w:rPr>
                <w:sz w:val="10"/>
                <w:szCs w:val="10"/>
                <w:color w:val="auto"/>
              </w:rPr>
            </w:pPr>
          </w:p>
        </w:tc>
        <w:tc>
          <w:tcPr>
            <w:tcW w:w="3740" w:type="dxa"/>
            <w:vAlign w:val="bottom"/>
          </w:tcPr>
          <w:p>
            <w:pPr>
              <w:ind w:left="160"/>
              <w:spacing w:after="0" w:line="126"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tcPr>
          <w:p>
            <w:pPr>
              <w:ind w:left="400"/>
              <w:spacing w:after="0" w:line="126" w:lineRule="exact"/>
              <w:rPr>
                <w:sz w:val="20"/>
                <w:szCs w:val="20"/>
                <w:color w:val="auto"/>
              </w:rPr>
            </w:pPr>
            <w:r>
              <w:rPr>
                <w:rFonts w:ascii="Arial" w:cs="Arial" w:eastAsia="Arial" w:hAnsi="Arial"/>
                <w:sz w:val="13"/>
                <w:szCs w:val="13"/>
                <w:color w:val="auto"/>
                <w:w w:val="96"/>
              </w:rPr>
              <w:t>6. Individual or Joint/Group Filing (Check Applicable Line)</w:t>
            </w:r>
          </w:p>
        </w:tc>
        <w:tc>
          <w:tcPr>
            <w:tcW w:w="0" w:type="dxa"/>
            <w:vAlign w:val="bottom"/>
          </w:tcPr>
          <w:p>
            <w:pPr>
              <w:spacing w:after="0"/>
              <w:rPr>
                <w:sz w:val="1"/>
                <w:szCs w:val="1"/>
                <w:color w:val="auto"/>
              </w:rPr>
            </w:pPr>
          </w:p>
        </w:tc>
      </w:tr>
      <w:tr>
        <w:trPr>
          <w:trHeight w:val="152"/>
        </w:trPr>
        <w:tc>
          <w:tcPr>
            <w:tcW w:w="756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00" w:type="dxa"/>
            <w:vAlign w:val="bottom"/>
            <w:vMerge w:val="restart"/>
          </w:tcPr>
          <w:p>
            <w:pPr>
              <w:ind w:left="9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6"/>
                <w:szCs w:val="16"/>
                <w:color w:val="0000FF"/>
              </w:rPr>
              <w:t>TX</w:t>
            </w:r>
          </w:p>
        </w:tc>
        <w:tc>
          <w:tcPr>
            <w:tcW w:w="1040" w:type="dxa"/>
            <w:vAlign w:val="bottom"/>
          </w:tcPr>
          <w:p>
            <w:pPr>
              <w:ind w:left="120"/>
              <w:spacing w:after="0"/>
              <w:rPr>
                <w:sz w:val="20"/>
                <w:szCs w:val="20"/>
                <w:color w:val="auto"/>
              </w:rPr>
            </w:pPr>
            <w:r>
              <w:rPr>
                <w:rFonts w:ascii="Arial" w:cs="Arial" w:eastAsia="Arial" w:hAnsi="Arial"/>
                <w:sz w:val="16"/>
                <w:szCs w:val="16"/>
                <w:color w:val="0000FF"/>
              </w:rPr>
              <w:t>76102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4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gridSpan w:val="2"/>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6. Ownership</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2"/>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2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Form: Direct</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gridSpan w:val="4"/>
          </w:tcPr>
          <w:p>
            <w:pPr>
              <w:ind w:left="72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30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 or Indirect</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Owned Following</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(I) (Instr. 4)</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gridSpan w:val="4"/>
            <w:vMerge w:val="restart"/>
          </w:tcPr>
          <w:p>
            <w:pPr>
              <w:jc w:val="center"/>
              <w:ind w:left="532"/>
              <w:spacing w:after="0"/>
              <w:rPr>
                <w:sz w:val="20"/>
                <w:szCs w:val="20"/>
                <w:color w:val="auto"/>
              </w:rPr>
            </w:pPr>
            <w:r>
              <w:rPr>
                <w:rFonts w:ascii="Arial" w:cs="Arial" w:eastAsia="Arial" w:hAnsi="Arial"/>
                <w:sz w:val="16"/>
                <w:szCs w:val="16"/>
                <w:color w:val="0000FF"/>
                <w:w w:val="92"/>
              </w:rPr>
              <w:t>11/04/2013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ind w:left="120"/>
              <w:spacing w:after="0"/>
              <w:rPr>
                <w:sz w:val="20"/>
                <w:szCs w:val="20"/>
                <w:color w:val="auto"/>
              </w:rPr>
            </w:pPr>
            <w:r>
              <w:rPr>
                <w:rFonts w:ascii="Arial" w:cs="Arial" w:eastAsia="Arial" w:hAnsi="Arial"/>
                <w:sz w:val="16"/>
                <w:szCs w:val="16"/>
                <w:color w:val="0000FF"/>
                <w:w w:val="95"/>
              </w:rPr>
              <w:t>3,551,929</w:t>
            </w: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60" w:type="dxa"/>
            <w:vAlign w:val="bottom"/>
          </w:tcPr>
          <w:p>
            <w:pPr>
              <w:spacing w:after="0"/>
              <w:rPr>
                <w:sz w:val="21"/>
                <w:szCs w:val="2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6"/>
                <w:szCs w:val="16"/>
                <w:color w:val="0000FF"/>
              </w:rPr>
              <w:t>3,551,929</w:t>
            </w:r>
          </w:p>
        </w:tc>
        <w:tc>
          <w:tcPr>
            <w:tcW w:w="600" w:type="dxa"/>
            <w:vAlign w:val="bottom"/>
            <w:vMerge w:val="restart"/>
          </w:tcPr>
          <w:p>
            <w:pPr>
              <w:ind w:left="520"/>
              <w:spacing w:after="0"/>
              <w:rPr>
                <w:sz w:val="20"/>
                <w:szCs w:val="20"/>
                <w:color w:val="auto"/>
              </w:rPr>
            </w:pPr>
            <w:r>
              <w:rPr>
                <w:rFonts w:ascii="Arial" w:cs="Arial" w:eastAsia="Arial" w:hAnsi="Arial"/>
                <w:sz w:val="16"/>
                <w:szCs w:val="16"/>
                <w:color w:val="0000FF"/>
              </w:rPr>
              <w:t>I</w:t>
            </w:r>
          </w:p>
        </w:tc>
        <w:tc>
          <w:tcPr>
            <w:tcW w:w="42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w w:val="96"/>
              </w:rPr>
              <w:t>See Explanation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ind w:left="60"/>
              <w:spacing w:after="0" w:line="197" w:lineRule="exact"/>
              <w:rPr>
                <w:sz w:val="20"/>
                <w:szCs w:val="20"/>
                <w:color w:val="auto"/>
              </w:rPr>
            </w:pPr>
            <w:r>
              <w:rPr>
                <w:rFonts w:ascii="Arial" w:cs="Arial" w:eastAsia="Arial" w:hAnsi="Arial"/>
                <w:sz w:val="16"/>
                <w:szCs w:val="16"/>
                <w:color w:val="0000FF"/>
                <w:w w:val="98"/>
              </w:rPr>
              <w:t>of Responses</w:t>
            </w:r>
            <w:r>
              <w:rPr>
                <w:rFonts w:ascii="Arial" w:cs="Arial" w:eastAsia="Arial" w:hAnsi="Arial"/>
                <w:sz w:val="20"/>
                <w:szCs w:val="20"/>
                <w:color w:val="008000"/>
                <w:w w:val="98"/>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0"/>
                <w:szCs w:val="10"/>
                <w:color w:val="008000"/>
                <w:w w:val="97"/>
              </w:rPr>
              <w:t>(4)(5)</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360" w:type="dxa"/>
            <w:vAlign w:val="bottom"/>
            <w:tcBorders>
              <w:top w:val="single" w:sz="8" w:color="2C2C2C"/>
            </w:tcBorders>
            <w:gridSpan w:val="15"/>
          </w:tcPr>
          <w:p>
            <w:pPr>
              <w:ind w:lef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gridSpan w:val="14"/>
          </w:tcPr>
          <w:p>
            <w:pPr>
              <w:ind w:left="9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jc w:val="center"/>
              <w:ind w:right="1"/>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88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jc w:val="center"/>
              <w:ind w:right="1"/>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88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8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4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0000FF"/>
                <w:w w:val="90"/>
              </w:rPr>
              <w:t>See Explanation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w w:val="97"/>
              </w:rPr>
              <w:t>Convertible</w:t>
            </w: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1,758,333</w:t>
            </w: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20" w:type="dxa"/>
            <w:vAlign w:val="bottom"/>
          </w:tcPr>
          <w:p>
            <w:pPr>
              <w:ind w:left="260"/>
              <w:spacing w:after="0"/>
              <w:rPr>
                <w:sz w:val="20"/>
                <w:szCs w:val="20"/>
                <w:color w:val="auto"/>
              </w:rPr>
            </w:pPr>
            <w:r>
              <w:rPr>
                <w:rFonts w:ascii="Arial" w:cs="Arial" w:eastAsia="Arial" w:hAnsi="Arial"/>
                <w:sz w:val="10"/>
                <w:szCs w:val="10"/>
                <w:color w:val="008000"/>
              </w:rPr>
              <w:t>(2)(3)</w:t>
            </w:r>
          </w:p>
        </w:tc>
        <w:tc>
          <w:tcPr>
            <w:tcW w:w="140" w:type="dxa"/>
            <w:vAlign w:val="bottom"/>
          </w:tcPr>
          <w:p>
            <w:pPr>
              <w:spacing w:after="0"/>
              <w:rPr>
                <w:sz w:val="13"/>
                <w:szCs w:val="13"/>
                <w:color w:val="auto"/>
              </w:rPr>
            </w:pPr>
          </w:p>
        </w:tc>
        <w:tc>
          <w:tcPr>
            <w:tcW w:w="1040" w:type="dxa"/>
            <w:vAlign w:val="bottom"/>
            <w:gridSpan w:val="2"/>
          </w:tcPr>
          <w:p>
            <w:pPr>
              <w:ind w:left="240"/>
              <w:spacing w:after="0"/>
              <w:rPr>
                <w:sz w:val="20"/>
                <w:szCs w:val="20"/>
                <w:color w:val="auto"/>
              </w:rPr>
            </w:pPr>
            <w:r>
              <w:rPr>
                <w:rFonts w:ascii="Arial" w:cs="Arial" w:eastAsia="Arial" w:hAnsi="Arial"/>
                <w:sz w:val="13"/>
                <w:szCs w:val="13"/>
                <w:color w:val="0000FF"/>
              </w:rPr>
              <w:t>11/04/2013</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4"/>
          </w:tcPr>
          <w:p>
            <w:pPr>
              <w:ind w:left="440"/>
              <w:spacing w:after="0"/>
              <w:rPr>
                <w:sz w:val="20"/>
                <w:szCs w:val="20"/>
                <w:color w:val="auto"/>
              </w:rPr>
            </w:pPr>
            <w:r>
              <w:rPr>
                <w:rFonts w:ascii="Arial" w:cs="Arial" w:eastAsia="Arial" w:hAnsi="Arial"/>
                <w:sz w:val="13"/>
                <w:szCs w:val="13"/>
                <w:color w:val="0000FF"/>
                <w:w w:val="93"/>
              </w:rPr>
              <w:t>7,033,333</w:t>
            </w:r>
          </w:p>
        </w:tc>
        <w:tc>
          <w:tcPr>
            <w:tcW w:w="780" w:type="dxa"/>
            <w:vAlign w:val="bottom"/>
          </w:tcPr>
          <w:p>
            <w:pPr>
              <w:ind w:left="280"/>
              <w:spacing w:after="0"/>
              <w:rPr>
                <w:sz w:val="20"/>
                <w:szCs w:val="20"/>
                <w:color w:val="auto"/>
              </w:rPr>
            </w:pPr>
            <w:r>
              <w:rPr>
                <w:rFonts w:ascii="Arial" w:cs="Arial" w:eastAsia="Arial" w:hAnsi="Arial"/>
                <w:sz w:val="10"/>
                <w:szCs w:val="10"/>
                <w:color w:val="008000"/>
              </w:rPr>
              <w:t>(2)(3)</w:t>
            </w:r>
          </w:p>
        </w:tc>
        <w:tc>
          <w:tcPr>
            <w:tcW w:w="680" w:type="dxa"/>
            <w:vAlign w:val="bottom"/>
          </w:tcPr>
          <w:p>
            <w:pPr>
              <w:ind w:left="220"/>
              <w:spacing w:after="0"/>
              <w:rPr>
                <w:sz w:val="20"/>
                <w:szCs w:val="20"/>
                <w:color w:val="auto"/>
              </w:rPr>
            </w:pPr>
            <w:r>
              <w:rPr>
                <w:rFonts w:ascii="Arial" w:cs="Arial" w:eastAsia="Arial" w:hAnsi="Arial"/>
                <w:sz w:val="10"/>
                <w:szCs w:val="10"/>
                <w:color w:val="008000"/>
              </w:rPr>
              <w:t>(2)(3)</w:t>
            </w: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tcPr>
          <w:p>
            <w:pPr>
              <w:ind w:left="220"/>
              <w:spacing w:after="0"/>
              <w:rPr>
                <w:sz w:val="20"/>
                <w:szCs w:val="20"/>
                <w:color w:val="auto"/>
              </w:rPr>
            </w:pPr>
            <w:r>
              <w:rPr>
                <w:rFonts w:ascii="Arial" w:cs="Arial" w:eastAsia="Arial" w:hAnsi="Arial"/>
                <w:sz w:val="10"/>
                <w:szCs w:val="10"/>
                <w:color w:val="008000"/>
              </w:rPr>
              <w:t>(2)(3)</w:t>
            </w:r>
          </w:p>
        </w:tc>
        <w:tc>
          <w:tcPr>
            <w:tcW w:w="3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rPr>
              <w:t>0</w:t>
            </w:r>
          </w:p>
        </w:tc>
        <w:tc>
          <w:tcPr>
            <w:tcW w:w="420" w:type="dxa"/>
            <w:vAlign w:val="bottom"/>
          </w:tcPr>
          <w:p>
            <w:pPr>
              <w:ind w:left="3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Arial" w:cs="Arial" w:eastAsia="Arial" w:hAnsi="Arial"/>
                <w:sz w:val="11"/>
                <w:szCs w:val="11"/>
                <w:color w:val="0000FF"/>
              </w:rPr>
              <w:t>of Responses</w:t>
            </w:r>
            <w:r>
              <w:rPr>
                <w:rFonts w:ascii="Arial" w:cs="Arial" w:eastAsia="Arial" w:hAnsi="Arial"/>
                <w:sz w:val="17"/>
                <w:szCs w:val="17"/>
                <w:color w:val="008000"/>
                <w:vertAlign w:val="superscript"/>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ind w:left="40"/>
              <w:spacing w:after="0" w:line="79" w:lineRule="exact"/>
              <w:rPr>
                <w:sz w:val="20"/>
                <w:szCs w:val="20"/>
                <w:color w:val="auto"/>
              </w:rPr>
            </w:pPr>
            <w:r>
              <w:rPr>
                <w:rFonts w:ascii="Arial" w:cs="Arial" w:eastAsia="Arial" w:hAnsi="Arial"/>
                <w:sz w:val="9"/>
                <w:szCs w:val="9"/>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0"/>
                <w:szCs w:val="10"/>
                <w:color w:val="008000"/>
              </w:rPr>
              <w:t>(4)(5)</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0000FF"/>
                <w:w w:val="90"/>
              </w:rPr>
              <w:t>See Explanation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w w:val="97"/>
              </w:rPr>
              <w:t>Convertible</w:t>
            </w: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2"/>
              </w:rPr>
              <w:t>1,004,000</w:t>
            </w: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20" w:type="dxa"/>
            <w:vAlign w:val="bottom"/>
          </w:tcPr>
          <w:p>
            <w:pPr>
              <w:ind w:left="260"/>
              <w:spacing w:after="0"/>
              <w:rPr>
                <w:sz w:val="20"/>
                <w:szCs w:val="20"/>
                <w:color w:val="auto"/>
              </w:rPr>
            </w:pPr>
            <w:r>
              <w:rPr>
                <w:rFonts w:ascii="Arial" w:cs="Arial" w:eastAsia="Arial" w:hAnsi="Arial"/>
                <w:sz w:val="10"/>
                <w:szCs w:val="10"/>
                <w:color w:val="008000"/>
              </w:rPr>
              <w:t>(2)(3)</w:t>
            </w:r>
          </w:p>
        </w:tc>
        <w:tc>
          <w:tcPr>
            <w:tcW w:w="140" w:type="dxa"/>
            <w:vAlign w:val="bottom"/>
          </w:tcPr>
          <w:p>
            <w:pPr>
              <w:spacing w:after="0"/>
              <w:rPr>
                <w:sz w:val="13"/>
                <w:szCs w:val="13"/>
                <w:color w:val="auto"/>
              </w:rPr>
            </w:pPr>
          </w:p>
        </w:tc>
        <w:tc>
          <w:tcPr>
            <w:tcW w:w="1040" w:type="dxa"/>
            <w:vAlign w:val="bottom"/>
            <w:gridSpan w:val="2"/>
          </w:tcPr>
          <w:p>
            <w:pPr>
              <w:ind w:left="240"/>
              <w:spacing w:after="0"/>
              <w:rPr>
                <w:sz w:val="20"/>
                <w:szCs w:val="20"/>
                <w:color w:val="auto"/>
              </w:rPr>
            </w:pPr>
            <w:r>
              <w:rPr>
                <w:rFonts w:ascii="Arial" w:cs="Arial" w:eastAsia="Arial" w:hAnsi="Arial"/>
                <w:sz w:val="13"/>
                <w:szCs w:val="13"/>
                <w:color w:val="0000FF"/>
              </w:rPr>
              <w:t>11/04/2013</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4"/>
          </w:tcPr>
          <w:p>
            <w:pPr>
              <w:ind w:left="440"/>
              <w:spacing w:after="0"/>
              <w:rPr>
                <w:sz w:val="20"/>
                <w:szCs w:val="20"/>
                <w:color w:val="auto"/>
              </w:rPr>
            </w:pPr>
            <w:r>
              <w:rPr>
                <w:rFonts w:ascii="Arial" w:cs="Arial" w:eastAsia="Arial" w:hAnsi="Arial"/>
                <w:sz w:val="13"/>
                <w:szCs w:val="13"/>
                <w:color w:val="0000FF"/>
                <w:w w:val="93"/>
              </w:rPr>
              <w:t>4,016,000</w:t>
            </w:r>
          </w:p>
        </w:tc>
        <w:tc>
          <w:tcPr>
            <w:tcW w:w="780" w:type="dxa"/>
            <w:vAlign w:val="bottom"/>
          </w:tcPr>
          <w:p>
            <w:pPr>
              <w:ind w:left="280"/>
              <w:spacing w:after="0"/>
              <w:rPr>
                <w:sz w:val="20"/>
                <w:szCs w:val="20"/>
                <w:color w:val="auto"/>
              </w:rPr>
            </w:pPr>
            <w:r>
              <w:rPr>
                <w:rFonts w:ascii="Arial" w:cs="Arial" w:eastAsia="Arial" w:hAnsi="Arial"/>
                <w:sz w:val="10"/>
                <w:szCs w:val="10"/>
                <w:color w:val="008000"/>
              </w:rPr>
              <w:t>(2)(3)</w:t>
            </w:r>
          </w:p>
        </w:tc>
        <w:tc>
          <w:tcPr>
            <w:tcW w:w="680" w:type="dxa"/>
            <w:vAlign w:val="bottom"/>
          </w:tcPr>
          <w:p>
            <w:pPr>
              <w:ind w:left="220"/>
              <w:spacing w:after="0"/>
              <w:rPr>
                <w:sz w:val="20"/>
                <w:szCs w:val="20"/>
                <w:color w:val="auto"/>
              </w:rPr>
            </w:pPr>
            <w:r>
              <w:rPr>
                <w:rFonts w:ascii="Arial" w:cs="Arial" w:eastAsia="Arial" w:hAnsi="Arial"/>
                <w:sz w:val="10"/>
                <w:szCs w:val="10"/>
                <w:color w:val="008000"/>
              </w:rPr>
              <w:t>(2)(3)</w:t>
            </w: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tcPr>
          <w:p>
            <w:pPr>
              <w:ind w:left="220"/>
              <w:spacing w:after="0"/>
              <w:rPr>
                <w:sz w:val="20"/>
                <w:szCs w:val="20"/>
                <w:color w:val="auto"/>
              </w:rPr>
            </w:pPr>
            <w:r>
              <w:rPr>
                <w:rFonts w:ascii="Arial" w:cs="Arial" w:eastAsia="Arial" w:hAnsi="Arial"/>
                <w:sz w:val="10"/>
                <w:szCs w:val="10"/>
                <w:color w:val="008000"/>
              </w:rPr>
              <w:t>(2)(3)</w:t>
            </w:r>
          </w:p>
        </w:tc>
        <w:tc>
          <w:tcPr>
            <w:tcW w:w="3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rPr>
              <w:t>0</w:t>
            </w:r>
          </w:p>
        </w:tc>
        <w:tc>
          <w:tcPr>
            <w:tcW w:w="420" w:type="dxa"/>
            <w:vAlign w:val="bottom"/>
          </w:tcPr>
          <w:p>
            <w:pPr>
              <w:ind w:left="3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3"/>
                <w:szCs w:val="13"/>
                <w:color w:val="auto"/>
              </w:rPr>
            </w:pPr>
          </w:p>
        </w:tc>
        <w:tc>
          <w:tcPr>
            <w:tcW w:w="880" w:type="dxa"/>
            <w:vAlign w:val="bottom"/>
          </w:tcPr>
          <w:p>
            <w:pPr>
              <w:spacing w:after="0" w:line="152" w:lineRule="exact"/>
              <w:rPr>
                <w:sz w:val="20"/>
                <w:szCs w:val="20"/>
                <w:color w:val="auto"/>
              </w:rPr>
            </w:pPr>
            <w:r>
              <w:rPr>
                <w:rFonts w:ascii="Arial" w:cs="Arial" w:eastAsia="Arial" w:hAnsi="Arial"/>
                <w:sz w:val="11"/>
                <w:szCs w:val="11"/>
                <w:color w:val="0000FF"/>
              </w:rPr>
              <w:t>of Responses</w:t>
            </w:r>
            <w:r>
              <w:rPr>
                <w:rFonts w:ascii="Arial" w:cs="Arial" w:eastAsia="Arial" w:hAnsi="Arial"/>
                <w:sz w:val="17"/>
                <w:szCs w:val="17"/>
                <w:color w:val="008000"/>
                <w:vertAlign w:val="superscript"/>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Preferred</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ind w:left="40"/>
              <w:spacing w:after="0" w:line="79" w:lineRule="exact"/>
              <w:rPr>
                <w:sz w:val="20"/>
                <w:szCs w:val="20"/>
                <w:color w:val="auto"/>
              </w:rPr>
            </w:pPr>
            <w:r>
              <w:rPr>
                <w:rFonts w:ascii="Arial" w:cs="Arial" w:eastAsia="Arial" w:hAnsi="Arial"/>
                <w:sz w:val="9"/>
                <w:szCs w:val="9"/>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0"/>
                <w:szCs w:val="10"/>
                <w:color w:val="008000"/>
              </w:rPr>
              <w:t>(4)(5)</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0000FF"/>
                <w:w w:val="90"/>
              </w:rPr>
              <w:t>See Explanation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w w:val="97"/>
              </w:rPr>
              <w:t>Convertible</w:t>
            </w: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w w:val="98"/>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789,596</w:t>
            </w: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0"/>
                <w:szCs w:val="10"/>
                <w:color w:val="008000"/>
              </w:rPr>
              <w:t>(2)(3)</w:t>
            </w:r>
          </w:p>
        </w:tc>
        <w:tc>
          <w:tcPr>
            <w:tcW w:w="140" w:type="dxa"/>
            <w:vAlign w:val="bottom"/>
          </w:tcPr>
          <w:p>
            <w:pPr>
              <w:spacing w:after="0"/>
              <w:rPr>
                <w:sz w:val="8"/>
                <w:szCs w:val="8"/>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3"/>
                <w:szCs w:val="13"/>
                <w:color w:val="0000FF"/>
              </w:rPr>
              <w:t>11/04/2013</w:t>
            </w: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1000" w:type="dxa"/>
            <w:vAlign w:val="bottom"/>
            <w:gridSpan w:val="4"/>
            <w:vMerge w:val="restart"/>
          </w:tcPr>
          <w:p>
            <w:pPr>
              <w:ind w:left="440"/>
              <w:spacing w:after="0"/>
              <w:rPr>
                <w:sz w:val="20"/>
                <w:szCs w:val="20"/>
                <w:color w:val="auto"/>
              </w:rPr>
            </w:pPr>
            <w:r>
              <w:rPr>
                <w:rFonts w:ascii="Arial" w:cs="Arial" w:eastAsia="Arial" w:hAnsi="Arial"/>
                <w:sz w:val="13"/>
                <w:szCs w:val="13"/>
                <w:color w:val="0000FF"/>
                <w:w w:val="93"/>
              </w:rPr>
              <w:t>3,158,385</w:t>
            </w:r>
          </w:p>
        </w:tc>
        <w:tc>
          <w:tcPr>
            <w:tcW w:w="78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680" w:type="dxa"/>
            <w:vAlign w:val="bottom"/>
            <w:vMerge w:val="restart"/>
          </w:tcPr>
          <w:p>
            <w:pPr>
              <w:ind w:left="220"/>
              <w:spacing w:after="0"/>
              <w:rPr>
                <w:sz w:val="20"/>
                <w:szCs w:val="20"/>
                <w:color w:val="auto"/>
              </w:rPr>
            </w:pPr>
            <w:r>
              <w:rPr>
                <w:rFonts w:ascii="Arial" w:cs="Arial" w:eastAsia="Arial" w:hAnsi="Arial"/>
                <w:sz w:val="10"/>
                <w:szCs w:val="10"/>
                <w:color w:val="008000"/>
              </w:rPr>
              <w:t>(2)(3)</w:t>
            </w:r>
          </w:p>
        </w:tc>
        <w:tc>
          <w:tcPr>
            <w:tcW w:w="6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0"/>
                <w:szCs w:val="10"/>
                <w:color w:val="008000"/>
              </w:rPr>
              <w:t>(2)(3)</w:t>
            </w:r>
          </w:p>
        </w:tc>
        <w:tc>
          <w:tcPr>
            <w:tcW w:w="300" w:type="dxa"/>
            <w:vAlign w:val="bottom"/>
          </w:tcPr>
          <w:p>
            <w:pPr>
              <w:spacing w:after="0"/>
              <w:rPr>
                <w:sz w:val="8"/>
                <w:szCs w:val="8"/>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0</w:t>
            </w:r>
          </w:p>
        </w:tc>
        <w:tc>
          <w:tcPr>
            <w:tcW w:w="420" w:type="dxa"/>
            <w:vAlign w:val="bottom"/>
            <w:vMerge w:val="restart"/>
          </w:tcPr>
          <w:p>
            <w:pPr>
              <w:ind w:left="3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8"/>
                <w:szCs w:val="8"/>
                <w:color w:val="auto"/>
              </w:rPr>
            </w:pPr>
          </w:p>
        </w:tc>
        <w:tc>
          <w:tcPr>
            <w:tcW w:w="880" w:type="dxa"/>
            <w:vAlign w:val="bottom"/>
            <w:vMerge w:val="restart"/>
          </w:tcPr>
          <w:p>
            <w:pPr>
              <w:spacing w:after="0" w:line="163" w:lineRule="exact"/>
              <w:rPr>
                <w:sz w:val="20"/>
                <w:szCs w:val="20"/>
                <w:color w:val="auto"/>
              </w:rPr>
            </w:pPr>
            <w:r>
              <w:rPr>
                <w:rFonts w:ascii="Arial" w:cs="Arial" w:eastAsia="Arial" w:hAnsi="Arial"/>
                <w:sz w:val="12"/>
                <w:szCs w:val="12"/>
                <w:color w:val="0000FF"/>
                <w:w w:val="97"/>
              </w:rPr>
              <w:t>of Responses</w:t>
            </w:r>
            <w:r>
              <w:rPr>
                <w:rFonts w:ascii="Arial" w:cs="Arial" w:eastAsia="Arial" w:hAnsi="Arial"/>
                <w:sz w:val="18"/>
                <w:szCs w:val="18"/>
                <w:color w:val="008000"/>
                <w:w w:val="97"/>
                <w:vertAlign w:val="superscript"/>
              </w:rPr>
              <w:t>(1)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vMerge w:val="restart"/>
          </w:tcPr>
          <w:p>
            <w:pPr>
              <w:spacing w:after="0"/>
              <w:rPr>
                <w:sz w:val="20"/>
                <w:szCs w:val="20"/>
                <w:color w:val="auto"/>
              </w:rPr>
            </w:pPr>
            <w:r>
              <w:rPr>
                <w:rFonts w:ascii="Arial" w:cs="Arial" w:eastAsia="Arial" w:hAnsi="Arial"/>
                <w:sz w:val="10"/>
                <w:szCs w:val="10"/>
                <w:color w:val="008000"/>
              </w:rPr>
              <w:t>(4)(5)</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0" w:lineRule="exact"/>
              <w:rPr>
                <w:rFonts w:ascii="Arial" w:cs="Arial" w:eastAsia="Arial" w:hAnsi="Arial"/>
                <w:sz w:val="20"/>
                <w:szCs w:val="20"/>
                <w:color w:val="0000EE"/>
                <w:w w:val="94"/>
              </w:rPr>
            </w:pPr>
            <w:hyperlink r:id="rId12">
              <w:r>
                <w:rPr>
                  <w:rFonts w:ascii="Arial" w:cs="Arial" w:eastAsia="Arial" w:hAnsi="Arial"/>
                  <w:sz w:val="20"/>
                  <w:szCs w:val="20"/>
                  <w:color w:val="0000EE"/>
                  <w:w w:val="94"/>
                </w:rPr>
                <w:t>TPG Group Holdings (SBS) Advisors, Inc.</w:t>
              </w:r>
            </w:hyperlink>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C/O TPG GLOBAL, LLC</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301 COMMERCE STREET, SUITE 3300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FORT WORTH</w:t>
            </w:r>
          </w:p>
        </w:tc>
        <w:tc>
          <w:tcPr>
            <w:tcW w:w="14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0000FF"/>
              </w:rPr>
              <w:t>TX</w:t>
            </w:r>
          </w:p>
        </w:tc>
        <w:tc>
          <w:tcPr>
            <w:tcW w:w="1040" w:type="dxa"/>
            <w:vAlign w:val="bottom"/>
          </w:tcPr>
          <w:p>
            <w:pPr>
              <w:ind w:left="500"/>
              <w:spacing w:after="0"/>
              <w:rPr>
                <w:sz w:val="20"/>
                <w:szCs w:val="20"/>
                <w:color w:val="auto"/>
              </w:rPr>
            </w:pPr>
            <w:r>
              <w:rPr>
                <w:rFonts w:ascii="Arial" w:cs="Arial" w:eastAsia="Arial" w:hAnsi="Arial"/>
                <w:sz w:val="16"/>
                <w:szCs w:val="16"/>
                <w:color w:val="0000FF"/>
              </w:rPr>
              <w:t>76102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BONDERMAN DAVID</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C/O TPG GLOBAL, LLC</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Arial" w:cs="Arial" w:eastAsia="Arial" w:hAnsi="Arial"/>
                <w:sz w:val="16"/>
                <w:szCs w:val="16"/>
                <w:color w:val="0000FF"/>
              </w:rPr>
              <w:t>301 COMMERCE STREET, SUITE 3300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FORT WORTH</w:t>
            </w:r>
          </w:p>
        </w:tc>
        <w:tc>
          <w:tcPr>
            <w:tcW w:w="14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0000FF"/>
              </w:rPr>
              <w:t>TX</w:t>
            </w:r>
          </w:p>
        </w:tc>
        <w:tc>
          <w:tcPr>
            <w:tcW w:w="1040" w:type="dxa"/>
            <w:vAlign w:val="bottom"/>
          </w:tcPr>
          <w:p>
            <w:pPr>
              <w:ind w:left="500"/>
              <w:spacing w:after="0"/>
              <w:rPr>
                <w:sz w:val="20"/>
                <w:szCs w:val="20"/>
                <w:color w:val="auto"/>
              </w:rPr>
            </w:pPr>
            <w:r>
              <w:rPr>
                <w:rFonts w:ascii="Arial" w:cs="Arial" w:eastAsia="Arial" w:hAnsi="Arial"/>
                <w:sz w:val="16"/>
                <w:szCs w:val="16"/>
                <w:color w:val="0000FF"/>
              </w:rPr>
              <w:t>76102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-5932170</wp:posOffset>
            </wp:positionV>
            <wp:extent cx="23495" cy="2617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2617470"/>
                    </a:xfrm>
                    <a:prstGeom prst="rect">
                      <a:avLst/>
                    </a:prstGeom>
                    <a:noFill/>
                  </pic:spPr>
                </pic:pic>
              </a:graphicData>
            </a:graphic>
          </wp:anchor>
        </w:drawing>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520"/>
          </w:cols>
          <w:pgMar w:left="240" w:top="219" w:right="139" w:bottom="0" w:gutter="0" w:footer="0" w:header="0"/>
          <w:type w:val="continuous"/>
        </w:sectPr>
      </w:pPr>
    </w:p>
    <w:p>
      <w:pPr>
        <w:ind w:left="1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COULTER JAMES G</w:t>
        </w:r>
      </w:hyperlink>
    </w:p>
    <w:p>
      <w:pPr>
        <w:sectPr>
          <w:pgSz w:w="11900" w:h="16838" w:orient="portrait"/>
          <w:cols w:equalWidth="0" w:num="1">
            <w:col w:w="11520"/>
          </w:cols>
          <w:pgMar w:left="240" w:top="219" w:right="139" w:bottom="0" w:gutter="0" w:footer="0" w:header="0"/>
          <w:type w:val="continuous"/>
        </w:sectPr>
      </w:pPr>
    </w:p>
    <w:bookmarkStart w:id="1" w:name="page2"/>
    <w:bookmarkEnd w:id="1"/>
    <w:tbl>
      <w:tblPr>
        <w:tblLayout w:type="fixed"/>
        <w:tblInd w:w="41" w:type="dxa"/>
        <w:tblCellMar>
          <w:top w:w="0" w:type="dxa"/>
          <w:left w:w="0" w:type="dxa"/>
          <w:bottom w:w="0" w:type="dxa"/>
          <w:right w:w="0" w:type="dxa"/>
        </w:tblCellMar>
      </w:tblPr>
      <w:tr>
        <w:trPr>
          <w:trHeight w:val="152"/>
        </w:trPr>
        <w:tc>
          <w:tcPr>
            <w:tcW w:w="4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2"/>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0000FF"/>
              </w:rPr>
              <w:t>C/O TPG GLOBAL, LLC</w:t>
            </w:r>
          </w:p>
        </w:tc>
        <w:tc>
          <w:tcPr>
            <w:tcW w:w="1500" w:type="dxa"/>
            <w:vAlign w:val="bottom"/>
          </w:tcPr>
          <w:p>
            <w:pPr>
              <w:spacing w:after="0"/>
              <w:rPr>
                <w:sz w:val="22"/>
                <w:szCs w:val="22"/>
                <w:color w:val="auto"/>
              </w:rPr>
            </w:pPr>
          </w:p>
        </w:tc>
      </w:tr>
      <w:tr>
        <w:trPr>
          <w:trHeight w:val="252"/>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0000FF"/>
                <w:w w:val="97"/>
              </w:rPr>
              <w:t>301 COMMERCE STREET, SUITE 3300</w:t>
            </w:r>
          </w:p>
        </w:tc>
        <w:tc>
          <w:tcPr>
            <w:tcW w:w="1500" w:type="dxa"/>
            <w:vAlign w:val="bottom"/>
          </w:tcPr>
          <w:p>
            <w:pPr>
              <w:spacing w:after="0"/>
              <w:rPr>
                <w:sz w:val="21"/>
                <w:szCs w:val="21"/>
                <w:color w:val="auto"/>
              </w:rPr>
            </w:pPr>
          </w:p>
        </w:tc>
      </w:tr>
      <w:tr>
        <w:trPr>
          <w:trHeight w:val="146"/>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52"/>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6"/>
                <w:szCs w:val="16"/>
                <w:color w:val="0000FF"/>
              </w:rPr>
              <w:t>FORT WORTH</w:t>
            </w:r>
          </w:p>
        </w:tc>
        <w:tc>
          <w:tcPr>
            <w:tcW w:w="1600" w:type="dxa"/>
            <w:vAlign w:val="bottom"/>
          </w:tcPr>
          <w:p>
            <w:pPr>
              <w:ind w:left="220"/>
              <w:spacing w:after="0"/>
              <w:rPr>
                <w:sz w:val="20"/>
                <w:szCs w:val="20"/>
                <w:color w:val="auto"/>
              </w:rPr>
            </w:pPr>
            <w:r>
              <w:rPr>
                <w:rFonts w:ascii="Arial" w:cs="Arial" w:eastAsia="Arial" w:hAnsi="Arial"/>
                <w:sz w:val="16"/>
                <w:szCs w:val="16"/>
                <w:color w:val="0000FF"/>
              </w:rPr>
              <w:t>TX</w:t>
            </w:r>
          </w:p>
        </w:tc>
        <w:tc>
          <w:tcPr>
            <w:tcW w:w="1500" w:type="dxa"/>
            <w:vAlign w:val="bottom"/>
          </w:tcPr>
          <w:p>
            <w:pPr>
              <w:ind w:left="80"/>
              <w:spacing w:after="0"/>
              <w:rPr>
                <w:sz w:val="20"/>
                <w:szCs w:val="20"/>
                <w:color w:val="auto"/>
              </w:rPr>
            </w:pPr>
            <w:r>
              <w:rPr>
                <w:rFonts w:ascii="Arial" w:cs="Arial" w:eastAsia="Arial" w:hAnsi="Arial"/>
                <w:sz w:val="16"/>
                <w:szCs w:val="16"/>
                <w:color w:val="0000FF"/>
              </w:rPr>
              <w:t>76102</w:t>
            </w:r>
          </w:p>
        </w:tc>
      </w:tr>
      <w:tr>
        <w:trPr>
          <w:trHeight w:val="146"/>
        </w:trPr>
        <w:tc>
          <w:tcPr>
            <w:tcW w:w="4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90"/>
        </w:trPr>
        <w:tc>
          <w:tcPr>
            <w:tcW w:w="4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2921000" cy="1220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00" cy="122047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 w:right="20" w:hanging="1"/>
        <w:spacing w:after="0" w:line="231"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David Bonderman and James G. Coulter are officers and sole shareholders of TPG Group Holdings (SBS) Advisors, Inc. ("Group Advisors" and, together with Messrs. Bonderman and Coulter, the "Reporting Persons"), which is the general partner of TPG Group Holdings (SBS), L.P., which is the sole member of TPG Holdings I-A, LLC, which is the general partner of TPG Holdings I, L.P., which is the sole member of TPG Biotechnology GenPar II Advisors, LLC, which is the general partner of TPG Biotechnology GenPar II, L.P., which is the general partner of TPG Biotechnology Partners II, L.P. ("TPG Biotech II"), which directly holds 3,551,929 shares of Common Stock ("Common Stock") of Veracyte, Inc. (the "Issuer").</w:t>
      </w:r>
    </w:p>
    <w:p>
      <w:pPr>
        <w:spacing w:after="0" w:line="29" w:lineRule="exact"/>
        <w:rPr>
          <w:rFonts w:ascii="Arial" w:cs="Arial" w:eastAsia="Arial" w:hAnsi="Arial"/>
          <w:sz w:val="13"/>
          <w:szCs w:val="13"/>
          <w:color w:val="008000"/>
        </w:rPr>
      </w:pPr>
    </w:p>
    <w:p>
      <w:pPr>
        <w:jc w:val="both"/>
        <w:ind w:left="1" w:hanging="1"/>
        <w:spacing w:after="0" w:line="234"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4, 2013, the (a) shares of Series A Convertible Preferred Stock of the Issuer (the "Series A Preferred") held by TPG Biotech II automatically converted into 1,758,333 shares of Common Stock, (b) shares of Series B Convertible Preferred Stock of the Issuer (the "Series B Preferred") held by TPG Biotech II automatically converted into 1,004,000 shares of Common Stock and (c) shares of Series C Convertible Preferred Stock of the Issuer (the "Series C Preferred") held by TPG Biotech II automatically converted into 789,596 shares of Common Stock.</w:t>
      </w:r>
    </w:p>
    <w:p>
      <w:pPr>
        <w:spacing w:after="0" w:line="28" w:lineRule="exact"/>
        <w:rPr>
          <w:rFonts w:ascii="Arial" w:cs="Arial" w:eastAsia="Arial" w:hAnsi="Arial"/>
          <w:sz w:val="13"/>
          <w:szCs w:val="13"/>
          <w:color w:val="008000"/>
        </w:rPr>
      </w:pPr>
    </w:p>
    <w:p>
      <w:pPr>
        <w:jc w:val="both"/>
        <w:ind w:left="1" w:right="200" w:hanging="1"/>
        <w:spacing w:after="0" w:line="234"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Fourth Amended and Restated Certificate of Incorporation of the Issuer, as amended, the shares of Series A Preferred, Series B Preferred and Series C Preferred had been convertible, at the option of the holder, at any time into shares of Common Stock of the Issuer, at initial conversion rates in each case equal to one share of Common Stock per share of Preferred Stock. The initial conversion rates have been adjusted as a result of a 4-for-1 reverse stock split of the Issuer's Common Stock.</w:t>
      </w:r>
    </w:p>
    <w:p>
      <w:pPr>
        <w:spacing w:after="0" w:line="28" w:lineRule="exact"/>
        <w:rPr>
          <w:rFonts w:ascii="Arial" w:cs="Arial" w:eastAsia="Arial" w:hAnsi="Arial"/>
          <w:sz w:val="13"/>
          <w:szCs w:val="13"/>
          <w:color w:val="008000"/>
        </w:rPr>
      </w:pPr>
    </w:p>
    <w:p>
      <w:pPr>
        <w:ind w:left="1" w:right="60" w:hanging="1"/>
        <w:spacing w:after="0" w:line="234"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Because of the relationship between the Reporting Persons and TPG Biotech II, the Reporting Persons may be deemed to beneficially own the securities reported herein to the extent of the greater of their respective direct or indirect pecuniary interests in the profits or capital accounts of TPG Biotech II. Each of TPG Biotech II and each Reporting Person disclaims beneficial ownership of the securities reported herein, except to the extent of TPG Biotech II's or such Reporting Person's pecuniary interest therein, if any.</w:t>
      </w:r>
    </w:p>
    <w:p>
      <w:pPr>
        <w:spacing w:after="0" w:line="28" w:lineRule="exact"/>
        <w:rPr>
          <w:rFonts w:ascii="Arial" w:cs="Arial" w:eastAsia="Arial" w:hAnsi="Arial"/>
          <w:sz w:val="13"/>
          <w:szCs w:val="13"/>
          <w:color w:val="008000"/>
        </w:rPr>
      </w:pPr>
    </w:p>
    <w:p>
      <w:pPr>
        <w:ind w:left="1" w:right="200" w:hanging="1"/>
        <w:spacing w:after="0" w:line="239"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p>
      <w:pPr>
        <w:spacing w:after="0" w:line="2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right="440" w:hanging="1"/>
        <w:spacing w:after="0" w:line="239" w:lineRule="auto"/>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are jointly filing this Form 4 pursuant to Rule 16a-3(j) under the Exchange Act. (7) Ronald Cami is signing on behalf of both Messrs. Bonderman and Coulter pursuant to authorization and designation letters dated July 1, 2013, which were previously filed with the Securities and Exchange Commission.</w:t>
      </w:r>
    </w:p>
    <w:p>
      <w:pPr>
        <w:spacing w:after="0" w:line="5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/s/ Ronald Cami,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-6350</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4" w:lineRule="exact"/>
        <w:rPr>
          <w:sz w:val="20"/>
          <w:szCs w:val="20"/>
          <w:color w:val="auto"/>
        </w:rPr>
      </w:pPr>
    </w:p>
    <w:p>
      <w:pPr>
        <w:ind w:left="6821"/>
        <w:spacing w:after="0"/>
        <w:tabs>
          <w:tab w:leader="none" w:pos="9101" w:val="left"/>
        </w:tabs>
        <w:rPr>
          <w:sz w:val="20"/>
          <w:szCs w:val="20"/>
          <w:color w:val="auto"/>
        </w:rPr>
      </w:pPr>
      <w:r>
        <w:rPr>
          <w:rFonts w:ascii="Arial" w:cs="Arial" w:eastAsia="Arial" w:hAnsi="Arial"/>
          <w:sz w:val="16"/>
          <w:szCs w:val="16"/>
          <w:color w:val="0000FF"/>
        </w:rPr>
        <w:t>TPG Group Holdings (SBS)</w:t>
      </w:r>
      <w:r>
        <w:rPr>
          <w:sz w:val="20"/>
          <w:szCs w:val="20"/>
          <w:color w:val="auto"/>
        </w:rPr>
        <w:tab/>
      </w:r>
      <w:r>
        <w:rPr>
          <w:rFonts w:ascii="Arial" w:cs="Arial" w:eastAsia="Arial" w:hAnsi="Arial"/>
          <w:sz w:val="14"/>
          <w:szCs w:val="14"/>
          <w:color w:val="0000FF"/>
        </w:rPr>
        <w:t>11/06/2013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1925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925955" cy="8255"/>
                    </a:xfrm>
                    <a:prstGeom prst="rect">
                      <a:avLst/>
                    </a:prstGeom>
                    <a:noFill/>
                  </pic:spPr>
                </pic:pic>
              </a:graphicData>
            </a:graphic>
          </wp:anchor>
        </w:drawing>
      </w:r>
    </w:p>
    <w:p>
      <w:pPr>
        <w:ind w:left="6821"/>
        <w:spacing w:after="0"/>
        <w:rPr>
          <w:sz w:val="20"/>
          <w:szCs w:val="20"/>
          <w:color w:val="auto"/>
        </w:rPr>
      </w:pPr>
      <w:r>
        <w:rPr>
          <w:rFonts w:ascii="Arial" w:cs="Arial" w:eastAsia="Arial" w:hAnsi="Arial"/>
          <w:sz w:val="16"/>
          <w:szCs w:val="16"/>
          <w:color w:val="0000FF"/>
        </w:rPr>
        <w:t>Advisors, Inc.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733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ectPr>
          <w:pgSz w:w="11900" w:h="16838" w:orient="portrait"/>
          <w:cols w:equalWidth="0" w:num="1">
            <w:col w:w="11281"/>
          </w:cols>
          <w:pgMar w:left="279" w:top="177" w:right="339" w:bottom="1440" w:gutter="0" w:footer="0" w:header="0"/>
        </w:sectPr>
      </w:pPr>
    </w:p>
    <w:p>
      <w:pPr>
        <w:spacing w:after="0" w:line="62" w:lineRule="exact"/>
        <w:rPr>
          <w:sz w:val="20"/>
          <w:szCs w:val="20"/>
          <w:color w:val="auto"/>
        </w:rPr>
      </w:pPr>
    </w:p>
    <w:p>
      <w:pPr>
        <w:ind w:left="6821"/>
        <w:spacing w:after="0"/>
        <w:rPr>
          <w:sz w:val="20"/>
          <w:szCs w:val="20"/>
          <w:color w:val="auto"/>
        </w:rPr>
      </w:pPr>
      <w:r>
        <w:rPr>
          <w:rFonts w:ascii="Arial" w:cs="Arial" w:eastAsia="Arial" w:hAnsi="Arial"/>
          <w:sz w:val="15"/>
          <w:szCs w:val="15"/>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0</wp:posOffset>
            </wp:positionV>
            <wp:extent cx="1230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1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David Bonderman (6)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1059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42" w:lineRule="exact"/>
        <w:rPr>
          <w:sz w:val="20"/>
          <w:szCs w:val="20"/>
          <w:color w:val="auto"/>
        </w:rPr>
      </w:pPr>
    </w:p>
    <w:p>
      <w:pPr>
        <w:ind w:left="6821"/>
        <w:spacing w:after="0"/>
        <w:rPr>
          <w:sz w:val="20"/>
          <w:szCs w:val="20"/>
          <w:color w:val="auto"/>
        </w:rPr>
      </w:pPr>
      <w:r>
        <w:rPr>
          <w:rFonts w:ascii="Arial" w:cs="Arial" w:eastAsia="Arial" w:hAnsi="Arial"/>
          <w:sz w:val="15"/>
          <w:szCs w:val="15"/>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0</wp:posOffset>
            </wp:positionV>
            <wp:extent cx="1230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15" w:lineRule="exact"/>
        <w:rPr>
          <w:sz w:val="20"/>
          <w:szCs w:val="20"/>
          <w:color w:val="auto"/>
        </w:rPr>
      </w:pPr>
    </w:p>
    <w:p>
      <w:pPr>
        <w:ind w:left="6821"/>
        <w:spacing w:after="0"/>
        <w:rPr>
          <w:sz w:val="20"/>
          <w:szCs w:val="20"/>
          <w:color w:val="auto"/>
        </w:rPr>
      </w:pPr>
      <w:r>
        <w:rPr>
          <w:rFonts w:ascii="Arial" w:cs="Arial" w:eastAsia="Arial" w:hAnsi="Arial"/>
          <w:sz w:val="16"/>
          <w:szCs w:val="16"/>
          <w:color w:val="0000FF"/>
        </w:rPr>
        <w:t>James G. Coulter (6)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1013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0000FF"/>
        </w:rPr>
        <w:t>11/06/2013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69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0000FF"/>
        </w:rPr>
        <w:t>11/06/2013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69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1" w:space="360"/>
            <w:col w:w="2160"/>
          </w:cols>
          <w:pgMar w:left="279" w:top="177" w:right="339" w:bottom="1440" w:gutter="0" w:footer="0" w:header="0"/>
          <w:type w:val="continuous"/>
        </w:sectPr>
      </w:pPr>
    </w:p>
    <w:p>
      <w:pPr>
        <w:ind w:left="6821"/>
        <w:spacing w:after="0"/>
        <w:tabs>
          <w:tab w:leader="none" w:pos="910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1" w:right="4020" w:hanging="1"/>
        <w:spacing w:after="0" w:line="325"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1"/>
      </w:cols>
      <w:pgMar w:left="279" w:top="17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2" Type="http://schemas.openxmlformats.org/officeDocument/2006/relationships/hyperlink" Target="http://www.sec.gov/cgi-bin/browse-edgar?action=getcompany&amp;CIK=0001495741" TargetMode="External"/><Relationship Id="rId13" Type="http://schemas.openxmlformats.org/officeDocument/2006/relationships/hyperlink" Target="http://www.sec.gov/cgi-bin/browse-edgar?action=getcompany&amp;CIK=0001384101" TargetMode="External"/><Relationship Id="rId14" Type="http://schemas.openxmlformats.org/officeDocument/2006/relationships/hyperlink" Target="http://www.sec.gov/cgi-bin/browse-edgar?action=getcompany&amp;CIK=0000860866" TargetMode="External"/><Relationship Id="rId16" Type="http://schemas.openxmlformats.org/officeDocument/2006/relationships/hyperlink" Target="http://www.sec.gov/cgi-bin/browse-edgar?action=getcompany&amp;CIK=0001099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2019-12-16T08:41:50Z</dcterms:created>
  <dcterms:modified xsi:type="dcterms:W3CDTF">2019-12-16T08:41:50Z</dcterms:modified>
</cp:coreProperties>
</file>