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10-K/A</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(Amendment No. 1)</w:t>
      </w:r>
    </w:p>
    <w:p>
      <w:pPr>
        <w:spacing w:after="0" w:line="12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4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x ANNUAL REPORT PURSUANT TO SECTION 13 OR 15(d) 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2014</w:t>
      </w:r>
    </w:p>
    <w:p>
      <w:pPr>
        <w:spacing w:after="0" w:line="14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o TRANSITION REPORT PURSUANT TO SECTION 13 OR 15(d) OF THE SECURITIES EXCHANGE ACT OF 1934</w:t>
      </w:r>
    </w:p>
    <w:p>
      <w:pPr>
        <w:spacing w:after="0" w:line="153" w:lineRule="exact"/>
        <w:rPr>
          <w:sz w:val="24"/>
          <w:szCs w:val="24"/>
          <w:color w:val="auto"/>
        </w:rPr>
      </w:pPr>
    </w:p>
    <w:p>
      <w:pPr>
        <w:ind w:left="4160"/>
        <w:spacing w:after="0"/>
        <w:tabs>
          <w:tab w:leader="none" w:pos="65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001-36156</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VERACYTE,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20" w:lineRule="exact"/>
        <w:rPr>
          <w:sz w:val="24"/>
          <w:szCs w:val="24"/>
          <w:color w:val="auto"/>
        </w:rPr>
      </w:pPr>
    </w:p>
    <w:p>
      <w:pPr>
        <w:ind w:left="2520"/>
        <w:spacing w:after="0"/>
        <w:tabs>
          <w:tab w:leader="none" w:pos="82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20-5455398</w:t>
      </w:r>
    </w:p>
    <w:p>
      <w:pPr>
        <w:ind w:left="1960"/>
        <w:spacing w:after="0"/>
        <w:tabs>
          <w:tab w:leader="none" w:pos="8120" w:val="left"/>
        </w:tabs>
        <w:rPr>
          <w:sz w:val="20"/>
          <w:szCs w:val="20"/>
          <w:color w:val="auto"/>
        </w:rPr>
      </w:pPr>
      <w:r>
        <w:rPr>
          <w:rFonts w:ascii="Arial" w:cs="Arial" w:eastAsia="Arial" w:hAnsi="Arial"/>
          <w:sz w:val="14"/>
          <w:szCs w:val="14"/>
          <w:color w:val="auto"/>
        </w:rPr>
        <w:t>(State or Other Jurisdiction of</w:t>
      </w:r>
      <w:r>
        <w:rPr>
          <w:sz w:val="20"/>
          <w:szCs w:val="20"/>
          <w:color w:val="auto"/>
        </w:rPr>
        <w:tab/>
      </w:r>
      <w:r>
        <w:rPr>
          <w:rFonts w:ascii="Arial" w:cs="Arial" w:eastAsia="Arial" w:hAnsi="Arial"/>
          <w:sz w:val="13"/>
          <w:szCs w:val="13"/>
          <w:color w:val="auto"/>
        </w:rPr>
        <w:t>(I.R.S. Employer</w:t>
      </w:r>
    </w:p>
    <w:p>
      <w:pPr>
        <w:ind w:left="1920"/>
        <w:spacing w:after="0"/>
        <w:tabs>
          <w:tab w:leader="none" w:pos="7940" w:val="left"/>
        </w:tabs>
        <w:rPr>
          <w:sz w:val="20"/>
          <w:szCs w:val="20"/>
          <w:color w:val="auto"/>
        </w:rPr>
      </w:pPr>
      <w:r>
        <w:rPr>
          <w:rFonts w:ascii="Arial" w:cs="Arial" w:eastAsia="Arial" w:hAnsi="Arial"/>
          <w:sz w:val="14"/>
          <w:szCs w:val="14"/>
          <w:color w:val="auto"/>
        </w:rPr>
        <w:t>Incorporation or Organization)</w:t>
      </w:r>
      <w:r>
        <w:rPr>
          <w:sz w:val="20"/>
          <w:szCs w:val="20"/>
          <w:color w:val="auto"/>
        </w:rPr>
        <w:tab/>
      </w:r>
      <w:r>
        <w:rPr>
          <w:rFonts w:ascii="Arial" w:cs="Arial" w:eastAsia="Arial" w:hAnsi="Arial"/>
          <w:sz w:val="13"/>
          <w:szCs w:val="13"/>
          <w:color w:val="auto"/>
        </w:rPr>
        <w:t>Identification Number)</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7000 Shoreline Court, Suite 250</w:t>
      </w:r>
    </w:p>
    <w:p>
      <w:pPr>
        <w:jc w:val="center"/>
        <w:spacing w:after="0" w:line="226" w:lineRule="auto"/>
        <w:rPr>
          <w:sz w:val="20"/>
          <w:szCs w:val="20"/>
          <w:color w:val="auto"/>
        </w:rPr>
      </w:pPr>
      <w:r>
        <w:rPr>
          <w:rFonts w:ascii="Arial" w:cs="Arial" w:eastAsia="Arial" w:hAnsi="Arial"/>
          <w:sz w:val="14"/>
          <w:szCs w:val="14"/>
          <w:b w:val="1"/>
          <w:bCs w:val="1"/>
          <w:color w:val="auto"/>
        </w:rPr>
        <w:t>South San Francisco, California 94080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(650) 243-6300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24" w:lineRule="exact"/>
        <w:rPr>
          <w:sz w:val="24"/>
          <w:szCs w:val="24"/>
          <w:color w:val="auto"/>
        </w:rPr>
      </w:pPr>
    </w:p>
    <w:p>
      <w:pPr>
        <w:ind w:left="66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41" w:lineRule="exact"/>
        <w:rPr>
          <w:sz w:val="24"/>
          <w:szCs w:val="24"/>
          <w:color w:val="auto"/>
        </w:rPr>
      </w:pPr>
    </w:p>
    <w:tbl>
      <w:tblPr>
        <w:tblLayout w:type="fixed"/>
        <w:tblInd w:w="660" w:type="dxa"/>
        <w:tblCellMar>
          <w:top w:w="0" w:type="dxa"/>
          <w:left w:w="0" w:type="dxa"/>
          <w:bottom w:w="0" w:type="dxa"/>
          <w:right w:w="0" w:type="dxa"/>
        </w:tblCellMar>
      </w:tblPr>
      <w:tr>
        <w:trPr>
          <w:trHeight w:val="135"/>
        </w:trPr>
        <w:tc>
          <w:tcPr>
            <w:tcW w:w="45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7"/>
              </w:rPr>
              <w:t>Title of Each Class</w:t>
            </w:r>
          </w:p>
        </w:tc>
        <w:tc>
          <w:tcPr>
            <w:tcW w:w="5220" w:type="dxa"/>
            <w:vAlign w:val="bottom"/>
          </w:tcPr>
          <w:p>
            <w:pPr>
              <w:jc w:val="center"/>
              <w:spacing w:after="0"/>
              <w:rPr>
                <w:sz w:val="20"/>
                <w:szCs w:val="20"/>
                <w:color w:val="auto"/>
              </w:rPr>
            </w:pPr>
            <w:r>
              <w:rPr>
                <w:rFonts w:ascii="Arial" w:cs="Arial" w:eastAsia="Arial" w:hAnsi="Arial"/>
                <w:sz w:val="11"/>
                <w:szCs w:val="11"/>
                <w:b w:val="1"/>
                <w:bCs w:val="1"/>
                <w:color w:val="auto"/>
                <w:w w:val="87"/>
              </w:rPr>
              <w:t>Name of Each Exchange on Which Registered</w:t>
            </w:r>
          </w:p>
        </w:tc>
      </w:tr>
      <w:tr>
        <w:trPr>
          <w:trHeight w:val="176"/>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$0.001 per share</w:t>
            </w:r>
          </w:p>
        </w:tc>
        <w:tc>
          <w:tcPr>
            <w:tcW w:w="300" w:type="dxa"/>
            <w:vAlign w:val="bottom"/>
          </w:tcPr>
          <w:p>
            <w:pPr>
              <w:spacing w:after="0"/>
              <w:rPr>
                <w:sz w:val="15"/>
                <w:szCs w:val="15"/>
                <w:color w:val="auto"/>
              </w:rPr>
            </w:pPr>
          </w:p>
        </w:tc>
        <w:tc>
          <w:tcPr>
            <w:tcW w:w="52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The NASDAQ Global Stock Market LLC</w:t>
            </w:r>
          </w:p>
        </w:tc>
      </w:tr>
    </w:tbl>
    <w:p>
      <w:pPr>
        <w:spacing w:after="0" w:line="92" w:lineRule="exact"/>
        <w:rPr>
          <w:sz w:val="24"/>
          <w:szCs w:val="24"/>
          <w:color w:val="auto"/>
        </w:rPr>
      </w:pPr>
    </w:p>
    <w:p>
      <w:pPr>
        <w:ind w:left="660" w:right="3300" w:firstLine="3175"/>
        <w:spacing w:after="0" w:line="479" w:lineRule="auto"/>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r>
        <w:rPr>
          <w:rFonts w:ascii="Arial" w:cs="Arial" w:eastAsia="Arial" w:hAnsi="Arial"/>
          <w:sz w:val="13"/>
          <w:szCs w:val="13"/>
          <w:color w:val="auto"/>
        </w:rPr>
        <w:t xml:space="preserve"> Indicate by check mark if the registrant is a well-known seasoned issuer, as defined in Rule 405 of the Securities Act. Yes o No x Indicate by check mark if the registrant is not required to file reports pursuant to Section 13 or 15(d) of the Act. Yes o No x</w:t>
      </w:r>
    </w:p>
    <w:p>
      <w:pPr>
        <w:ind w:right="100" w:firstLine="648"/>
        <w:spacing w:after="0" w:line="25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06" w:lineRule="exact"/>
        <w:rPr>
          <w:sz w:val="24"/>
          <w:szCs w:val="24"/>
          <w:color w:val="auto"/>
        </w:rPr>
      </w:pPr>
    </w:p>
    <w:p>
      <w:pPr>
        <w:ind w:right="260" w:firstLine="648"/>
        <w:spacing w:after="0" w:line="291"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83" w:lineRule="exact"/>
        <w:rPr>
          <w:sz w:val="24"/>
          <w:szCs w:val="24"/>
          <w:color w:val="auto"/>
        </w:rPr>
      </w:pPr>
    </w:p>
    <w:p>
      <w:pPr>
        <w:ind w:firstLine="648"/>
        <w:spacing w:after="0" w:line="25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06" w:lineRule="exact"/>
        <w:rPr>
          <w:sz w:val="24"/>
          <w:szCs w:val="24"/>
          <w:color w:val="auto"/>
        </w:rPr>
      </w:pPr>
    </w:p>
    <w:p>
      <w:pPr>
        <w:ind w:right="560" w:firstLine="64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6" w:lineRule="exact"/>
        <w:rPr>
          <w:sz w:val="24"/>
          <w:szCs w:val="24"/>
          <w:color w:val="auto"/>
        </w:rPr>
      </w:pPr>
    </w:p>
    <w:p>
      <w:pPr>
        <w:spacing w:after="0"/>
        <w:tabs>
          <w:tab w:leader="none" w:pos="3160" w:val="left"/>
          <w:tab w:leader="none" w:pos="5840" w:val="left"/>
          <w:tab w:leader="none" w:pos="972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Accelerated filer x</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3"/>
          <w:szCs w:val="13"/>
          <w:color w:val="auto"/>
        </w:rPr>
        <w:t>Smaller reporting company o</w:t>
      </w:r>
    </w:p>
    <w:p>
      <w:pPr>
        <w:jc w:val="right"/>
        <w:ind w:right="3560"/>
        <w:spacing w:after="0"/>
        <w:rPr>
          <w:sz w:val="20"/>
          <w:szCs w:val="20"/>
          <w:color w:val="auto"/>
        </w:rPr>
      </w:pPr>
      <w:r>
        <w:rPr>
          <w:rFonts w:ascii="Arial" w:cs="Arial" w:eastAsia="Arial" w:hAnsi="Arial"/>
          <w:sz w:val="14"/>
          <w:szCs w:val="14"/>
          <w:color w:val="auto"/>
        </w:rPr>
        <w:t>(Do not check if a smaller reporting company)</w:t>
      </w:r>
    </w:p>
    <w:p>
      <w:pPr>
        <w:spacing w:after="0" w:line="124" w:lineRule="exact"/>
        <w:rPr>
          <w:sz w:val="24"/>
          <w:szCs w:val="24"/>
          <w:color w:val="auto"/>
        </w:rPr>
      </w:pPr>
    </w:p>
    <w:p>
      <w:pPr>
        <w:jc w:val="right"/>
        <w:ind w:right="352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 No x</w:t>
      </w:r>
    </w:p>
    <w:p>
      <w:pPr>
        <w:spacing w:after="0" w:line="136" w:lineRule="exact"/>
        <w:rPr>
          <w:sz w:val="24"/>
          <w:szCs w:val="24"/>
          <w:color w:val="auto"/>
        </w:rPr>
      </w:pPr>
    </w:p>
    <w:p>
      <w:pPr>
        <w:ind w:right="160" w:firstLine="648"/>
        <w:spacing w:after="0" w:line="253" w:lineRule="auto"/>
        <w:rPr>
          <w:sz w:val="20"/>
          <w:szCs w:val="20"/>
          <w:color w:val="auto"/>
        </w:rPr>
      </w:pPr>
      <w:r>
        <w:rPr>
          <w:rFonts w:ascii="Arial" w:cs="Arial" w:eastAsia="Arial" w:hAnsi="Arial"/>
          <w:sz w:val="14"/>
          <w:szCs w:val="14"/>
          <w:color w:val="auto"/>
        </w:rPr>
        <w:t>As of June 30, 2014, the aggregate market value of voting and non-voting common stock held by non-affiliates of the registrant was approximately $122.4 million, based on the closing price of the common stock as reported on the NASDAQ Global Market for that date.</w:t>
      </w:r>
    </w:p>
    <w:p>
      <w:pPr>
        <w:spacing w:after="0" w:line="106" w:lineRule="exact"/>
        <w:rPr>
          <w:sz w:val="24"/>
          <w:szCs w:val="24"/>
          <w:color w:val="auto"/>
        </w:rPr>
      </w:pPr>
    </w:p>
    <w:p>
      <w:pPr>
        <w:ind w:left="660"/>
        <w:spacing w:after="0"/>
        <w:rPr>
          <w:sz w:val="20"/>
          <w:szCs w:val="20"/>
          <w:color w:val="auto"/>
        </w:rPr>
      </w:pPr>
      <w:r>
        <w:rPr>
          <w:rFonts w:ascii="Arial" w:cs="Arial" w:eastAsia="Arial" w:hAnsi="Arial"/>
          <w:sz w:val="14"/>
          <w:szCs w:val="14"/>
          <w:color w:val="auto"/>
        </w:rPr>
        <w:t>The number of shares of the registrant’s Common Stock outstanding as of March 2, 2015 was 22,551,242.</w:t>
      </w:r>
    </w:p>
    <w:p>
      <w:pPr>
        <w:spacing w:after="0" w:line="132"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40" w:lineRule="exact"/>
        <w:rPr>
          <w:sz w:val="24"/>
          <w:szCs w:val="24"/>
          <w:color w:val="auto"/>
        </w:rPr>
      </w:pPr>
    </w:p>
    <w:p>
      <w:pPr>
        <w:jc w:val="both"/>
        <w:ind w:right="280" w:firstLine="648"/>
        <w:spacing w:after="0" w:line="238" w:lineRule="auto"/>
        <w:rPr>
          <w:sz w:val="20"/>
          <w:szCs w:val="20"/>
          <w:color w:val="auto"/>
        </w:rPr>
      </w:pPr>
      <w:r>
        <w:rPr>
          <w:rFonts w:ascii="Arial" w:cs="Arial" w:eastAsia="Arial" w:hAnsi="Arial"/>
          <w:sz w:val="14"/>
          <w:szCs w:val="14"/>
          <w:color w:val="auto"/>
        </w:rPr>
        <w:t>Item 10 (as to directors and Section 16(a) Beneficial Ownership Reporting Compliance), 11, 12, 13 and 14 of Part III incorporate by reference information from the registrant’s proxy statement to be filed with the Securities and Exchange Commission in connection with the solicitation of proxies for the registrant’s 2015 Annual Meeting of Stockholders to be held on May 18,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4"/>
          <w:szCs w:val="24"/>
          <w:color w:val="auto"/>
        </w:rPr>
      </w:pPr>
    </w:p>
    <w:p>
      <w:pPr>
        <w:ind w:right="100" w:firstLine="648"/>
        <w:spacing w:after="0" w:line="257" w:lineRule="auto"/>
        <w:rPr>
          <w:sz w:val="20"/>
          <w:szCs w:val="20"/>
          <w:color w:val="auto"/>
        </w:rPr>
      </w:pPr>
      <w:r>
        <w:rPr>
          <w:rFonts w:ascii="Arial" w:cs="Arial" w:eastAsia="Arial" w:hAnsi="Arial"/>
          <w:sz w:val="18"/>
          <w:szCs w:val="18"/>
          <w:color w:val="auto"/>
        </w:rPr>
        <w:t>Veracyte, Inc. (“we”, “our” or the “Company”) is filing this Amendment No. 1 to its Annual Report on Form 10-K for the year ended December 31, 2014 filed with the Securities and Exchange Commission on March 24, 2015 (the “Original Filing”). This Amendment is being filed solely to revise the Company’s filing status on the cover page hereof, to revise the disclosure in Part II, Item 9A. Controls and Procedures — Evaluation of Disclosure Controls and Procedures, and to include new certifications of the Chief Executive Officer and Chief Financial Officer, respectively, pursuant to Section 302 of the Sarbanes-Oxley Act of 2002.</w:t>
      </w:r>
    </w:p>
    <w:p>
      <w:pPr>
        <w:spacing w:after="0" w:line="188" w:lineRule="exact"/>
        <w:rPr>
          <w:sz w:val="24"/>
          <w:szCs w:val="24"/>
          <w:color w:val="auto"/>
        </w:rPr>
      </w:pPr>
    </w:p>
    <w:p>
      <w:pPr>
        <w:ind w:left="660"/>
        <w:spacing w:after="0"/>
        <w:rPr>
          <w:sz w:val="20"/>
          <w:szCs w:val="20"/>
          <w:color w:val="auto"/>
        </w:rPr>
      </w:pPr>
      <w:r>
        <w:rPr>
          <w:rFonts w:ascii="Arial" w:cs="Arial" w:eastAsia="Arial" w:hAnsi="Arial"/>
          <w:sz w:val="16"/>
          <w:szCs w:val="16"/>
          <w:color w:val="auto"/>
        </w:rPr>
        <w:t>Except as described above, this Amendment No. 1 does not otherwise amend or update any exhibit to or disclosure set forth in the Original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33"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233"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160" w:type="dxa"/>
            <w:vAlign w:val="bottom"/>
            <w:gridSpan w:val="4"/>
          </w:tcPr>
          <w:p>
            <w:pPr>
              <w:jc w:val="center"/>
              <w:ind w:right="4320"/>
              <w:spacing w:after="0"/>
              <w:rPr>
                <w:sz w:val="20"/>
                <w:szCs w:val="20"/>
                <w:color w:val="auto"/>
              </w:rPr>
            </w:pPr>
            <w:r>
              <w:rPr>
                <w:rFonts w:ascii="Arial" w:cs="Arial" w:eastAsia="Arial" w:hAnsi="Arial"/>
                <w:sz w:val="18"/>
                <w:szCs w:val="18"/>
                <w:b w:val="1"/>
                <w:bCs w:val="1"/>
                <w:color w:val="auto"/>
                <w:w w:val="98"/>
              </w:rPr>
              <w:t>TABLE OF CONTENTS</w:t>
            </w:r>
          </w:p>
        </w:tc>
      </w:tr>
      <w:tr>
        <w:trPr>
          <w:trHeight w:val="365"/>
        </w:trPr>
        <w:tc>
          <w:tcPr>
            <w:tcW w:w="4300" w:type="dxa"/>
            <w:vAlign w:val="bottom"/>
            <w:gridSpan w:val="9"/>
          </w:tcPr>
          <w:p>
            <w:pPr>
              <w:spacing w:after="0"/>
              <w:rPr>
                <w:sz w:val="20"/>
                <w:szCs w:val="20"/>
                <w:color w:val="auto"/>
              </w:rPr>
            </w:pPr>
            <w:r>
              <w:rPr>
                <w:rFonts w:ascii="Arial" w:cs="Arial" w:eastAsia="Arial" w:hAnsi="Arial"/>
                <w:sz w:val="14"/>
                <w:szCs w:val="14"/>
                <w:b w:val="1"/>
                <w:bCs w:val="1"/>
                <w:color w:val="auto"/>
              </w:rPr>
              <w:t>Item No.</w:t>
            </w:r>
          </w:p>
        </w:tc>
        <w:tc>
          <w:tcPr>
            <w:tcW w:w="5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Page No.</w:t>
            </w:r>
          </w:p>
        </w:tc>
      </w:tr>
      <w:tr>
        <w:trPr>
          <w:trHeight w:val="169"/>
        </w:trPr>
        <w:tc>
          <w:tcPr>
            <w:tcW w:w="20" w:type="dxa"/>
            <w:vAlign w:val="bottom"/>
          </w:tcPr>
          <w:p>
            <w:pPr>
              <w:spacing w:after="0"/>
              <w:rPr>
                <w:sz w:val="14"/>
                <w:szCs w:val="14"/>
                <w:color w:val="auto"/>
              </w:rPr>
            </w:pPr>
          </w:p>
        </w:tc>
        <w:tc>
          <w:tcPr>
            <w:tcW w:w="4280" w:type="dxa"/>
            <w:vAlign w:val="bottom"/>
            <w:tcBorders>
              <w:top w:val="single" w:sz="8" w:color="auto"/>
            </w:tcBorders>
            <w:gridSpan w:val="8"/>
          </w:tcPr>
          <w:p>
            <w:pPr>
              <w:spacing w:after="0" w:line="170"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II</w:t>
              </w:r>
            </w:hyperlink>
          </w:p>
        </w:tc>
        <w:tc>
          <w:tcPr>
            <w:tcW w:w="58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160" w:type="dxa"/>
            <w:vAlign w:val="bottom"/>
            <w:gridSpan w:val="4"/>
          </w:tcPr>
          <w:p>
            <w:pPr>
              <w:spacing w:after="0" w:line="20" w:lineRule="exact"/>
              <w:rPr>
                <w:sz w:val="1"/>
                <w:szCs w:val="1"/>
                <w:color w:val="auto"/>
              </w:rPr>
            </w:pPr>
          </w:p>
        </w:tc>
      </w:tr>
      <w:tr>
        <w:trPr>
          <w:trHeight w:val="196"/>
        </w:trPr>
        <w:tc>
          <w:tcPr>
            <w:tcW w:w="4300" w:type="dxa"/>
            <w:vAlign w:val="bottom"/>
            <w:gridSpan w:val="9"/>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Item 9A. Controls and Procedures</w:t>
              </w:r>
            </w:hyperlink>
          </w:p>
        </w:tc>
        <w:tc>
          <w:tcPr>
            <w:tcW w:w="71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1</w:t>
            </w:r>
          </w:p>
        </w:tc>
      </w:tr>
      <w:tr>
        <w:trPr>
          <w:trHeight w:val="196"/>
        </w:trPr>
        <w:tc>
          <w:tcPr>
            <w:tcW w:w="2460" w:type="dxa"/>
            <w:vAlign w:val="bottom"/>
            <w:tcBorders>
              <w:top w:val="single" w:sz="8" w:color="0000EE"/>
            </w:tcBorders>
            <w:gridSpan w:val="7"/>
          </w:tcPr>
          <w:p>
            <w:pPr>
              <w:spacing w:after="0" w:line="196"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IV</w:t>
              </w:r>
            </w:hyperlink>
          </w:p>
        </w:tc>
        <w:tc>
          <w:tcPr>
            <w:tcW w:w="1840" w:type="dxa"/>
            <w:vAlign w:val="bottom"/>
            <w:gridSpan w:val="2"/>
          </w:tcPr>
          <w:p>
            <w:pPr>
              <w:spacing w:after="0"/>
              <w:rPr>
                <w:sz w:val="17"/>
                <w:szCs w:val="17"/>
                <w:color w:val="auto"/>
              </w:rPr>
            </w:pPr>
          </w:p>
        </w:tc>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160" w:type="dxa"/>
            <w:vAlign w:val="bottom"/>
            <w:gridSpan w:val="4"/>
          </w:tcPr>
          <w:p>
            <w:pPr>
              <w:spacing w:after="0" w:line="20" w:lineRule="exact"/>
              <w:rPr>
                <w:sz w:val="1"/>
                <w:szCs w:val="1"/>
                <w:color w:val="auto"/>
              </w:rPr>
            </w:pPr>
          </w:p>
        </w:tc>
      </w:tr>
      <w:tr>
        <w:trPr>
          <w:trHeight w:val="196"/>
        </w:trPr>
        <w:tc>
          <w:tcPr>
            <w:tcW w:w="35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
              <w:r>
                <w:rPr>
                  <w:rFonts w:ascii="Arial" w:cs="Arial" w:eastAsia="Arial" w:hAnsi="Arial"/>
                  <w:sz w:val="18"/>
                  <w:szCs w:val="18"/>
                  <w:color w:val="0000EE"/>
                  <w:w w:val="90"/>
                </w:rPr>
                <w:t>Item 15. Exhibits, Financial Statement Schedules</w:t>
              </w:r>
            </w:hyperlink>
          </w:p>
        </w:tc>
        <w:tc>
          <w:tcPr>
            <w:tcW w:w="740" w:type="dxa"/>
            <w:vAlign w:val="bottom"/>
          </w:tcPr>
          <w:p>
            <w:pPr>
              <w:spacing w:after="0"/>
              <w:rPr>
                <w:sz w:val="17"/>
                <w:szCs w:val="17"/>
                <w:color w:val="auto"/>
              </w:rPr>
            </w:pPr>
          </w:p>
        </w:tc>
        <w:tc>
          <w:tcPr>
            <w:tcW w:w="71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w:t>
            </w:r>
          </w:p>
        </w:tc>
      </w:tr>
      <w:tr>
        <w:trPr>
          <w:trHeight w:val="196"/>
        </w:trPr>
        <w:tc>
          <w:tcPr>
            <w:tcW w:w="4300" w:type="dxa"/>
            <w:vAlign w:val="bottom"/>
            <w:gridSpan w:val="9"/>
          </w:tcPr>
          <w:p>
            <w:pPr>
              <w:spacing w:after="0" w:line="19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SIGNATURES</w:t>
              </w:r>
            </w:hyperlink>
          </w:p>
        </w:tc>
        <w:tc>
          <w:tcPr>
            <w:tcW w:w="71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5</w:t>
            </w:r>
          </w:p>
        </w:tc>
      </w:tr>
      <w:tr>
        <w:trPr>
          <w:trHeight w:val="20"/>
        </w:trPr>
        <w:tc>
          <w:tcPr>
            <w:tcW w:w="116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7160" w:type="dxa"/>
            <w:vAlign w:val="bottom"/>
            <w:gridSpan w:val="4"/>
          </w:tcPr>
          <w:p>
            <w:pPr>
              <w:spacing w:after="0" w:line="20" w:lineRule="exact"/>
              <w:rPr>
                <w:sz w:val="1"/>
                <w:szCs w:val="1"/>
                <w:color w:val="auto"/>
              </w:rPr>
            </w:pPr>
          </w:p>
        </w:tc>
      </w:tr>
      <w:tr>
        <w:trPr>
          <w:trHeight w:val="196"/>
        </w:trPr>
        <w:tc>
          <w:tcPr>
            <w:tcW w:w="4300" w:type="dxa"/>
            <w:vAlign w:val="bottom"/>
            <w:gridSpan w:val="9"/>
          </w:tcPr>
          <w:p>
            <w:pPr>
              <w:spacing w:after="0" w:line="19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EXHIBIT INDEX</w:t>
              </w:r>
            </w:hyperlink>
          </w:p>
        </w:tc>
        <w:tc>
          <w:tcPr>
            <w:tcW w:w="71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6</w:t>
            </w:r>
          </w:p>
        </w:tc>
      </w:tr>
      <w:tr>
        <w:trPr>
          <w:trHeight w:val="453"/>
        </w:trPr>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160" w:type="dxa"/>
            <w:vAlign w:val="bottom"/>
            <w:gridSpan w:val="4"/>
          </w:tcPr>
          <w:p>
            <w:pPr>
              <w:jc w:val="center"/>
              <w:ind w:right="4340"/>
              <w:spacing w:after="0"/>
              <w:rPr>
                <w:sz w:val="20"/>
                <w:szCs w:val="20"/>
                <w:color w:val="auto"/>
              </w:rPr>
            </w:pPr>
            <w:r>
              <w:rPr>
                <w:rFonts w:ascii="Arial" w:cs="Arial" w:eastAsia="Arial" w:hAnsi="Arial"/>
                <w:sz w:val="18"/>
                <w:szCs w:val="18"/>
                <w:color w:val="auto"/>
              </w:rPr>
              <w:t>i</w:t>
            </w:r>
          </w:p>
        </w:tc>
      </w:tr>
      <w:tr>
        <w:trPr>
          <w:trHeight w:val="132"/>
        </w:trPr>
        <w:tc>
          <w:tcPr>
            <w:tcW w:w="660" w:type="dxa"/>
            <w:vAlign w:val="bottom"/>
            <w:tcBorders>
              <w:bottom w:val="single" w:sz="8" w:color="808080"/>
            </w:tcBorders>
            <w:gridSpan w:val="2"/>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58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430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160" w:type="dxa"/>
            <w:vAlign w:val="bottom"/>
            <w:gridSpan w:val="4"/>
          </w:tcPr>
          <w:p>
            <w:pPr>
              <w:jc w:val="center"/>
              <w:ind w:right="4340"/>
              <w:spacing w:after="0"/>
              <w:rPr>
                <w:sz w:val="20"/>
                <w:szCs w:val="20"/>
                <w:color w:val="auto"/>
              </w:rPr>
            </w:pPr>
            <w:r>
              <w:rPr>
                <w:rFonts w:ascii="Arial" w:cs="Arial" w:eastAsia="Arial" w:hAnsi="Arial"/>
                <w:sz w:val="18"/>
                <w:szCs w:val="18"/>
                <w:b w:val="1"/>
                <w:bCs w:val="1"/>
                <w:color w:val="auto"/>
              </w:rPr>
              <w:t>PART II</w:t>
            </w:r>
          </w:p>
        </w:tc>
      </w:tr>
      <w:tr>
        <w:trPr>
          <w:trHeight w:val="432"/>
        </w:trPr>
        <w:tc>
          <w:tcPr>
            <w:tcW w:w="4300" w:type="dxa"/>
            <w:vAlign w:val="bottom"/>
            <w:gridSpan w:val="9"/>
          </w:tcPr>
          <w:p>
            <w:pPr>
              <w:spacing w:after="0"/>
              <w:rPr>
                <w:sz w:val="20"/>
                <w:szCs w:val="20"/>
                <w:color w:val="auto"/>
              </w:rPr>
            </w:pPr>
            <w:r>
              <w:rPr>
                <w:rFonts w:ascii="Arial" w:cs="Arial" w:eastAsia="Arial" w:hAnsi="Arial"/>
                <w:sz w:val="18"/>
                <w:szCs w:val="18"/>
                <w:b w:val="1"/>
                <w:bCs w:val="1"/>
                <w:color w:val="auto"/>
              </w:rPr>
              <w:t>ITEM 9A.  CONTROLS AND PROCEDURES</w:t>
            </w:r>
          </w:p>
        </w:tc>
        <w:tc>
          <w:tcPr>
            <w:tcW w:w="5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300" w:type="dxa"/>
            <w:vAlign w:val="bottom"/>
            <w:gridSpan w:val="9"/>
          </w:tcPr>
          <w:p>
            <w:pPr>
              <w:spacing w:after="0"/>
              <w:rPr>
                <w:sz w:val="20"/>
                <w:szCs w:val="20"/>
                <w:color w:val="auto"/>
              </w:rPr>
            </w:pPr>
            <w:r>
              <w:rPr>
                <w:rFonts w:ascii="Arial" w:cs="Arial" w:eastAsia="Arial" w:hAnsi="Arial"/>
                <w:sz w:val="18"/>
                <w:szCs w:val="18"/>
                <w:b w:val="1"/>
                <w:bCs w:val="1"/>
                <w:color w:val="auto"/>
                <w:w w:val="99"/>
              </w:rPr>
              <w:t>Evaluation of Disclosure Controls and Procedures</w:t>
            </w:r>
          </w:p>
        </w:tc>
        <w:tc>
          <w:tcPr>
            <w:tcW w:w="5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-1210310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-1210310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(“SEC”)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color w:val="auto"/>
        </w:rPr>
        <w:t xml:space="preserve">Based on their evaluation as of the end of the period covered by this Annual Report on Form 10-K, our Chief Executive Officer and Chief Financial Officer have concluded that, as of such date, our disclosure controls and procedures were effective at the reasonable assurance level. </w:t>
      </w:r>
      <w:r>
        <w:rPr>
          <w:rFonts w:ascii="Arial" w:cs="Arial" w:eastAsia="Arial" w:hAnsi="Arial"/>
          <w:sz w:val="16"/>
          <w:szCs w:val="16"/>
          <w:color w:val="auto"/>
        </w:rPr>
        <w:t>After that evaluation, we</w:t>
      </w:r>
      <w:r>
        <w:rPr>
          <w:rFonts w:ascii="Arial" w:cs="Arial" w:eastAsia="Arial" w:hAnsi="Arial"/>
          <w:sz w:val="17"/>
          <w:szCs w:val="17"/>
          <w:color w:val="auto"/>
        </w:rPr>
        <w:t xml:space="preserve"> </w:t>
      </w:r>
      <w:r>
        <w:rPr>
          <w:rFonts w:ascii="Arial" w:cs="Arial" w:eastAsia="Arial" w:hAnsi="Arial"/>
          <w:sz w:val="16"/>
          <w:szCs w:val="16"/>
          <w:color w:val="auto"/>
        </w:rPr>
        <w:t>subsequently determined that we were an accelerated filer as of December 31, 2014 and that, as a result, our Annual Report on Form 10-K was filed late. Our Chief Executive Officer and Chief Financial Officer have re-evaluated the effectiveness of our disclosure controls and procedures as of the end of the period covered by this report. Based upon that re-evaluation, our Chief Executive Officer and Chief Financial Officer have concluded that our disclosure controls and procedures were not effective to provide reasonable assurance that our Annual Report on Form 10-K would be filed within the period specified in the SEC rules and forms, in particular those relating to our filing status and related deadlines. We have made refinements to the process by which we assess our filing status and the related filing deadlines for our Forms 10-K and 10-Q, and communicate such status and filing deadlines to the persons responsible for preparation of such Forms. Our Chief Executive Officer and Chief Financial Officer have concluded that our disclosure controls and procedures were effective at the reasonable assurance level as of the date of this Annual Report on Form 10-K/A.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defined in Rule 13a-15(f) under the Exchange Act. Because of its inherent limitations, internal control over financial reporting may not prevent or detect misstatements. Projections of any evaluation of the effectiveness of internal control to future periods are subject to the risk that controls may become inadequate because of changes in conditions, or that the degree of compliance with policies or procedures may deteriorate. Under the supervision and with the participation of our management, including our Chief Executive Officer and Chief Financial Officer, we conducted an evaluation of the effectiveness of our internal control over financial reporting as of December 31, 2014 using the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(“1992 Framework”) issued by the Committee of Sponsoring Organizations of the Treadway Commission (“COSO”).</w:t>
      </w:r>
    </w:p>
    <w:p>
      <w:pPr>
        <w:spacing w:after="0" w:line="1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Based on our evaluation using those criteria, our management has concluded that, as of December 31, 2014, our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on our internal control over financial reporting due to an exemption established by the JOBS Act for “emerging growth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 13a-15(f) under the Exchange Act) identified in connection with the evaluation identified above that occurred during the quarter ended December 31, 2014 that have materially affected, or are reasonably likely to materially affect, our internal control over financial reporting.</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ectPr>
          <w:pgSz w:w="11900" w:h="16838" w:orient="portrait"/>
          <w:cols w:equalWidth="0" w:num="1">
            <w:col w:w="11460"/>
          </w:cols>
          <w:pgMar w:left="240" w:top="337" w:right="199" w:bottom="0" w:gutter="0" w:footer="0" w:header="0"/>
        </w:sectPr>
      </w:pPr>
    </w:p>
    <w:bookmarkStart w:id="2" w:name="page3"/>
    <w:bookmarkEnd w:id="2"/>
    <w:p>
      <w:pPr>
        <w:spacing w:after="0" w:line="28"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Documents filed as part of this report</w:t>
      </w:r>
    </w:p>
    <w:p>
      <w:pPr>
        <w:spacing w:after="0" w:line="225"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 is made to the Index to Financial Statements of Veracyte, Inc. included in Item 8 of Part II hereof.</w:t>
      </w:r>
    </w:p>
    <w:p>
      <w:pPr>
        <w:spacing w:after="0" w:line="225"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All schedules have been omitted because they are not required, not applicable, or the required information is included in the financial statements or notes thereto.</w:t>
      </w:r>
    </w:p>
    <w:p>
      <w:pPr>
        <w:spacing w:after="0" w:line="170"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15(b) below. Each management contract or compensating plan or arrangement required to be filed has been identified.</w:t>
      </w:r>
    </w:p>
    <w:p>
      <w:pPr>
        <w:spacing w:after="0" w:line="22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200" w:type="dxa"/>
            <w:vAlign w:val="bottom"/>
            <w:vMerge w:val="restart"/>
          </w:tcPr>
          <w:p>
            <w:pPr>
              <w:ind w:left="47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w:t>
            </w:r>
          </w:p>
        </w:tc>
        <w:tc>
          <w:tcPr>
            <w:tcW w:w="360" w:type="dxa"/>
            <w:vAlign w:val="bottom"/>
          </w:tcPr>
          <w:p>
            <w:pPr>
              <w:spacing w:after="0"/>
              <w:rPr>
                <w:sz w:val="16"/>
                <w:szCs w:val="16"/>
                <w:color w:val="auto"/>
              </w:rPr>
            </w:pPr>
          </w:p>
        </w:tc>
        <w:tc>
          <w:tcPr>
            <w:tcW w:w="10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Agreement and Plan of Merger, dated September 4, 2014, by and among Veracyte, Inc., Full Moon Acquisition, Inc., Allegro Diagnostics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2"/>
              </w:rPr>
              <w:t>Corp., Andrey Zarur, as the Stockholders’ Agent, Kodiak Venture Partners III, L.P., Kodiak III Entrepreneurs Fund, L.P. and Catalyst Health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3"/>
              </w:rPr>
              <w:t>Ventures L.P. (incorporated by reference to Exhibit 2.1 to the Registrant’s Form 10-Q for the quarterly period ended September 30,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filed November 13, 2014).</w:t>
            </w: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3.1</w:t>
            </w:r>
          </w:p>
        </w:tc>
        <w:tc>
          <w:tcPr>
            <w:tcW w:w="10200" w:type="dxa"/>
            <w:vAlign w:val="bottom"/>
          </w:tcPr>
          <w:p>
            <w:pPr>
              <w:spacing w:after="0"/>
              <w:rPr>
                <w:sz w:val="20"/>
                <w:szCs w:val="20"/>
                <w:color w:val="auto"/>
              </w:rPr>
            </w:pPr>
            <w:r>
              <w:rPr>
                <w:rFonts w:ascii="Arial" w:cs="Arial" w:eastAsia="Arial" w:hAnsi="Arial"/>
                <w:sz w:val="18"/>
                <w:szCs w:val="18"/>
                <w:color w:val="auto"/>
                <w:w w:val="96"/>
              </w:rPr>
              <w:t>Restated Certificate of Incorporation of the Registrant (incorporated by reference to Exhibit 3.1 to the Registrant’s Current Report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Form 8-K filed November 8, 2013).</w:t>
            </w: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3.2</w:t>
            </w:r>
          </w:p>
        </w:tc>
        <w:tc>
          <w:tcPr>
            <w:tcW w:w="10200" w:type="dxa"/>
            <w:vAlign w:val="bottom"/>
          </w:tcPr>
          <w:p>
            <w:pPr>
              <w:spacing w:after="0"/>
              <w:rPr>
                <w:sz w:val="20"/>
                <w:szCs w:val="20"/>
                <w:color w:val="auto"/>
              </w:rPr>
            </w:pPr>
            <w:r>
              <w:rPr>
                <w:rFonts w:ascii="Arial" w:cs="Arial" w:eastAsia="Arial" w:hAnsi="Arial"/>
                <w:sz w:val="18"/>
                <w:szCs w:val="18"/>
                <w:color w:val="auto"/>
                <w:w w:val="93"/>
              </w:rPr>
              <w:t>Amended and Restated Bylaws of the Registrant (incorporated by reference to Exhibit 3.2 to the Registrant’s Current Report on Form 8-K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filed November 8, 2013).</w:t>
            </w: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4.1</w:t>
            </w:r>
          </w:p>
        </w:tc>
        <w:tc>
          <w:tcPr>
            <w:tcW w:w="10200" w:type="dxa"/>
            <w:vAlign w:val="bottom"/>
          </w:tcPr>
          <w:p>
            <w:pPr>
              <w:spacing w:after="0"/>
              <w:rPr>
                <w:sz w:val="20"/>
                <w:szCs w:val="20"/>
                <w:color w:val="auto"/>
              </w:rPr>
            </w:pPr>
            <w:r>
              <w:rPr>
                <w:rFonts w:ascii="Arial" w:cs="Arial" w:eastAsia="Arial" w:hAnsi="Arial"/>
                <w:sz w:val="18"/>
                <w:szCs w:val="18"/>
                <w:color w:val="auto"/>
                <w:w w:val="93"/>
              </w:rPr>
              <w:t>Form of Common Stock Certificate (incorporated by reference to Exhibit 4.1 to the Registrant’s Registration Statement on Form S-1 (File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No. 333-191282), as amended, declared effective on October 29, 2013).</w:t>
            </w: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4.2</w:t>
            </w:r>
          </w:p>
        </w:tc>
        <w:tc>
          <w:tcPr>
            <w:tcW w:w="10200" w:type="dxa"/>
            <w:vAlign w:val="bottom"/>
          </w:tcPr>
          <w:p>
            <w:pPr>
              <w:spacing w:after="0"/>
              <w:rPr>
                <w:sz w:val="20"/>
                <w:szCs w:val="20"/>
                <w:color w:val="auto"/>
              </w:rPr>
            </w:pPr>
            <w:r>
              <w:rPr>
                <w:rFonts w:ascii="Arial" w:cs="Arial" w:eastAsia="Arial" w:hAnsi="Arial"/>
                <w:sz w:val="18"/>
                <w:szCs w:val="18"/>
                <w:color w:val="auto"/>
                <w:w w:val="96"/>
              </w:rPr>
              <w:t>Second Amended and Restated Investors Rights Agreement, dated November 6, 2012, between the Registrant and certain investors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6"/>
              </w:rPr>
              <w:t>(incorporated by reference to Exhibit 4.2 to the Registrant’s Registration Statement on Form S-1 (File No. 333-191282), as amended,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declared effective on October 29, 2013).</w:t>
            </w: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4.3</w:t>
            </w:r>
          </w:p>
        </w:tc>
        <w:tc>
          <w:tcPr>
            <w:tcW w:w="10200" w:type="dxa"/>
            <w:vAlign w:val="bottom"/>
          </w:tcPr>
          <w:p>
            <w:pPr>
              <w:spacing w:after="0"/>
              <w:rPr>
                <w:sz w:val="20"/>
                <w:szCs w:val="20"/>
                <w:color w:val="auto"/>
              </w:rPr>
            </w:pPr>
            <w:r>
              <w:rPr>
                <w:rFonts w:ascii="Arial" w:cs="Arial" w:eastAsia="Arial" w:hAnsi="Arial"/>
                <w:sz w:val="18"/>
                <w:szCs w:val="18"/>
                <w:color w:val="auto"/>
                <w:w w:val="95"/>
              </w:rPr>
              <w:t>Amendment to Second Amended and Restated Investors Rights Agreement, dated June 14, 2013, between the Registrant and certain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7"/>
              </w:rPr>
              <w:t>investors (incorporated by reference to Exhibit 4.3 to the Registrant’s Registration Statement on Form S-1 (File No. 333-191282),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amended, declared effective on October 29, 2013).</w:t>
            </w: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10.1#</w:t>
            </w:r>
          </w:p>
        </w:tc>
        <w:tc>
          <w:tcPr>
            <w:tcW w:w="10200" w:type="dxa"/>
            <w:vAlign w:val="bottom"/>
          </w:tcPr>
          <w:p>
            <w:pPr>
              <w:spacing w:after="0"/>
              <w:rPr>
                <w:sz w:val="20"/>
                <w:szCs w:val="20"/>
                <w:color w:val="auto"/>
              </w:rPr>
            </w:pPr>
            <w:r>
              <w:rPr>
                <w:rFonts w:ascii="Arial" w:cs="Arial" w:eastAsia="Arial" w:hAnsi="Arial"/>
                <w:sz w:val="18"/>
                <w:szCs w:val="18"/>
                <w:color w:val="auto"/>
                <w:w w:val="93"/>
              </w:rPr>
              <w:t>Form of Indemnification Agreement between the Registrant and its officers and directors (incorporated by reference to Exhibit 10.1 to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Registrant’s Registration Statement on Form S-1 (File No. 333-191282), as amended, declared effective on October 29, 2013).</w:t>
            </w: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10.2#</w:t>
            </w:r>
          </w:p>
        </w:tc>
        <w:tc>
          <w:tcPr>
            <w:tcW w:w="10200" w:type="dxa"/>
            <w:vAlign w:val="bottom"/>
          </w:tcPr>
          <w:p>
            <w:pPr>
              <w:spacing w:after="0"/>
              <w:rPr>
                <w:sz w:val="20"/>
                <w:szCs w:val="20"/>
                <w:color w:val="auto"/>
              </w:rPr>
            </w:pPr>
            <w:r>
              <w:rPr>
                <w:rFonts w:ascii="Arial" w:cs="Arial" w:eastAsia="Arial" w:hAnsi="Arial"/>
                <w:sz w:val="18"/>
                <w:szCs w:val="18"/>
                <w:color w:val="auto"/>
                <w:w w:val="90"/>
              </w:rPr>
              <w:t>2008 Stock Plan and forms of agreements thereunder (incorporated by reference to Exhibit 10.2 to the Registrant’s Registration Statement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Form S-1 (File No. 333-191282), as amended, declared effective on October 29, 2013).</w:t>
            </w: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10.3#</w:t>
            </w:r>
          </w:p>
        </w:tc>
        <w:tc>
          <w:tcPr>
            <w:tcW w:w="10200" w:type="dxa"/>
            <w:vAlign w:val="bottom"/>
          </w:tcPr>
          <w:p>
            <w:pPr>
              <w:spacing w:after="0"/>
              <w:rPr>
                <w:sz w:val="20"/>
                <w:szCs w:val="20"/>
                <w:color w:val="auto"/>
              </w:rPr>
            </w:pPr>
            <w:r>
              <w:rPr>
                <w:rFonts w:ascii="Arial" w:cs="Arial" w:eastAsia="Arial" w:hAnsi="Arial"/>
                <w:sz w:val="18"/>
                <w:szCs w:val="18"/>
                <w:color w:val="auto"/>
                <w:w w:val="93"/>
              </w:rPr>
              <w:t>2013 Stock Incentive Plan and forms of agreements thereunder (incorporated by reference to Exhibit 10.3 to the Registrant’s Registration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Statement on Form S-1 (File No. 333-191282), as amended, declared effective on October 29, 2013).</w:t>
            </w: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10.4</w:t>
            </w:r>
          </w:p>
        </w:tc>
        <w:tc>
          <w:tcPr>
            <w:tcW w:w="10200" w:type="dxa"/>
            <w:vAlign w:val="bottom"/>
          </w:tcPr>
          <w:p>
            <w:pPr>
              <w:spacing w:after="0"/>
              <w:rPr>
                <w:sz w:val="20"/>
                <w:szCs w:val="20"/>
                <w:color w:val="auto"/>
              </w:rPr>
            </w:pPr>
            <w:r>
              <w:rPr>
                <w:rFonts w:ascii="Arial" w:cs="Arial" w:eastAsia="Arial" w:hAnsi="Arial"/>
                <w:sz w:val="18"/>
                <w:szCs w:val="18"/>
                <w:color w:val="auto"/>
                <w:w w:val="91"/>
              </w:rPr>
              <w:t>Lease Agreement dated as of February 10, 2010 between ARE-San Francisco No 17, LLC and the Registrant (incorporated by reference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2"/>
              </w:rPr>
              <w:t>Exhibit 10.4 to the Registrant’s Registration Statement on Form S-1 (File No. 333-191282), as amended, declared effective on October 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10.5</w:t>
            </w:r>
          </w:p>
        </w:tc>
        <w:tc>
          <w:tcPr>
            <w:tcW w:w="10200" w:type="dxa"/>
            <w:vAlign w:val="bottom"/>
          </w:tcPr>
          <w:p>
            <w:pPr>
              <w:spacing w:after="0"/>
              <w:rPr>
                <w:sz w:val="20"/>
                <w:szCs w:val="20"/>
                <w:color w:val="auto"/>
              </w:rPr>
            </w:pPr>
            <w:r>
              <w:rPr>
                <w:rFonts w:ascii="Arial" w:cs="Arial" w:eastAsia="Arial" w:hAnsi="Arial"/>
                <w:sz w:val="18"/>
                <w:szCs w:val="18"/>
                <w:color w:val="auto"/>
                <w:w w:val="97"/>
              </w:rPr>
              <w:t>First Amendment to Lease Agreement entered into as of July 11, 2012 between ARE-San Francisco No 17, LLC and the Registrant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5"/>
              </w:rPr>
              <w:t>(incorporated by reference to Exhibit 10.5 to the Registrant’s Registration Statement on Form S-1 (File No. 333-191282), as amended,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declared effective on October 29, 2013).</w:t>
            </w:r>
          </w:p>
        </w:tc>
        <w:tc>
          <w:tcPr>
            <w:tcW w:w="0" w:type="dxa"/>
            <w:vAlign w:val="bottom"/>
          </w:tcPr>
          <w:p>
            <w:pPr>
              <w:spacing w:after="0"/>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7980" w:type="dxa"/>
            <w:vAlign w:val="bottom"/>
          </w:tcPr>
          <w:p>
            <w:pPr>
              <w:jc w:val="right"/>
              <w:ind w:right="561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2200" w:type="dxa"/>
            <w:vAlign w:val="bottom"/>
            <w:tcBorders>
              <w:bottom w:val="single" w:sz="8" w:color="808080"/>
            </w:tcBorders>
          </w:tcPr>
          <w:p>
            <w:pPr>
              <w:spacing w:after="0"/>
              <w:rPr>
                <w:sz w:val="11"/>
                <w:szCs w:val="11"/>
                <w:color w:val="auto"/>
              </w:rPr>
            </w:pPr>
          </w:p>
        </w:tc>
        <w:tc>
          <w:tcPr>
            <w:tcW w:w="79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4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tcPr>
          <w:p>
            <w:pPr>
              <w:spacing w:after="0"/>
              <w:rPr>
                <w:sz w:val="20"/>
                <w:szCs w:val="20"/>
                <w:color w:val="auto"/>
              </w:rPr>
            </w:pPr>
            <w:r>
              <w:rPr>
                <w:rFonts w:ascii="Arial" w:cs="Arial" w:eastAsia="Arial" w:hAnsi="Arial"/>
                <w:sz w:val="14"/>
                <w:szCs w:val="14"/>
                <w:b w:val="1"/>
                <w:bCs w:val="1"/>
                <w:color w:val="auto"/>
              </w:rPr>
              <w:t>Exhibit</w:t>
            </w:r>
          </w:p>
        </w:tc>
        <w:tc>
          <w:tcPr>
            <w:tcW w:w="2200" w:type="dxa"/>
            <w:vAlign w:val="bottom"/>
          </w:tcPr>
          <w:p>
            <w:pPr>
              <w:spacing w:after="0"/>
              <w:rPr>
                <w:sz w:val="24"/>
                <w:szCs w:val="24"/>
                <w:color w:val="auto"/>
              </w:rPr>
            </w:pPr>
          </w:p>
        </w:tc>
        <w:tc>
          <w:tcPr>
            <w:tcW w:w="7980" w:type="dxa"/>
            <w:vAlign w:val="bottom"/>
            <w:vMerge w:val="restart"/>
          </w:tcPr>
          <w:p>
            <w:pPr>
              <w:jc w:val="right"/>
              <w:ind w:right="4699"/>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7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-722630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-722630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20" w:right="240" w:hanging="679"/>
        <w:spacing w:after="0" w:line="249" w:lineRule="auto"/>
        <w:tabs>
          <w:tab w:leader="none" w:pos="12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Lease Agreement between Riata Holdings, L.P., as landlord, and the Registrant, as tenant, dated November 28, 2012 (incorporated by reference to Exhibit 10.6 to the Registrant’s Registration Statement on Form S-1 (File No. 333-191282), as amended, declared effective on October 29, 2013).</w:t>
      </w:r>
    </w:p>
    <w:p>
      <w:pPr>
        <w:spacing w:after="0" w:line="3" w:lineRule="exact"/>
        <w:rPr>
          <w:sz w:val="20"/>
          <w:szCs w:val="20"/>
          <w:color w:val="auto"/>
        </w:rPr>
      </w:pPr>
    </w:p>
    <w:p>
      <w:pPr>
        <w:ind w:left="1220" w:right="200" w:hanging="679"/>
        <w:spacing w:after="0" w:line="281" w:lineRule="auto"/>
        <w:tabs>
          <w:tab w:leader="none" w:pos="12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First Amendment to Lease Agreement dated as of January 7, 2014 by and between Riata Holdings, L.P. and the Registrant (incorporated by reference to Exhibit 10.7 to the Registrant’s Annual Report on Form 10-K for the year ended December 31, 2013 filed March 20, 2014).</w:t>
      </w:r>
    </w:p>
    <w:p>
      <w:pPr>
        <w:spacing w:after="0" w:line="1" w:lineRule="exact"/>
        <w:rPr>
          <w:sz w:val="20"/>
          <w:szCs w:val="20"/>
          <w:color w:val="auto"/>
        </w:rPr>
      </w:pPr>
    </w:p>
    <w:p>
      <w:pPr>
        <w:ind w:left="1220" w:right="260" w:hanging="769"/>
        <w:spacing w:after="0" w:line="250" w:lineRule="auto"/>
        <w:tabs>
          <w:tab w:leader="none" w:pos="12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Co-promotion Agreement dated as of January 18, 2012 between Genzyme Corporation and the Registrant (incorporated by reference to Exhibit 10.7 to the Registrant’s Registration Statement on Form S-1 (File No. 333-191282), as amended, declared effective on October 29, 2013).</w:t>
      </w:r>
    </w:p>
    <w:p>
      <w:pPr>
        <w:spacing w:after="0" w:line="1" w:lineRule="exact"/>
        <w:rPr>
          <w:sz w:val="20"/>
          <w:szCs w:val="20"/>
          <w:color w:val="auto"/>
        </w:rPr>
      </w:pPr>
    </w:p>
    <w:p>
      <w:pPr>
        <w:ind w:left="1220" w:right="240" w:hanging="679"/>
        <w:spacing w:after="0" w:line="250" w:lineRule="auto"/>
        <w:tabs>
          <w:tab w:leader="none" w:pos="12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Amendment to Co-promotion Agreement, effective April 9, 2013, between Genzyme Corporation and the Registrant (incorporated by reference to Exhibit 10.8 to the Registrant’s Registration Statement on Form S-1 (File No. 333-191282), as amended, declared effective on October 29, 2013).</w:t>
      </w:r>
    </w:p>
    <w:p>
      <w:pPr>
        <w:spacing w:after="0" w:line="1" w:lineRule="exact"/>
        <w:rPr>
          <w:sz w:val="20"/>
          <w:szCs w:val="20"/>
          <w:color w:val="auto"/>
        </w:rPr>
      </w:pPr>
    </w:p>
    <w:p>
      <w:pPr>
        <w:ind w:left="1220" w:right="260" w:hanging="769"/>
        <w:spacing w:after="0" w:line="250" w:lineRule="auto"/>
        <w:tabs>
          <w:tab w:leader="none" w:pos="12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Loan and Security Agreement dated as of June 26, 2013 between Silicon Valley Bank and the Registrant (incorporated by reference to Exhibit 10.9 to the Registrant’s Registration Statement on Form S-1 (File No. 333-191282), as amended, declared effective on October 29, 2013).</w:t>
      </w:r>
    </w:p>
    <w:p>
      <w:pPr>
        <w:spacing w:after="0" w:line="1" w:lineRule="exact"/>
        <w:rPr>
          <w:sz w:val="20"/>
          <w:szCs w:val="20"/>
          <w:color w:val="auto"/>
        </w:rPr>
      </w:pPr>
    </w:p>
    <w:p>
      <w:pPr>
        <w:ind w:left="1220" w:right="120" w:hanging="852"/>
        <w:spacing w:after="0" w:line="250" w:lineRule="auto"/>
        <w:tabs>
          <w:tab w:leader="none" w:pos="12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Employment Agreement, dated as of February 15, 2008, between Bonnie Anderson and the Registrant (incorporated by reference to Exhibit 10.10 to the Registrant’s Registration Statement on Form S-1 (File No. 333- 191282), as amended, declared effective on October 29, 2013).</w:t>
      </w:r>
    </w:p>
    <w:p>
      <w:pPr>
        <w:spacing w:after="0" w:line="1" w:lineRule="exact"/>
        <w:rPr>
          <w:sz w:val="20"/>
          <w:szCs w:val="20"/>
          <w:color w:val="auto"/>
        </w:rPr>
      </w:pPr>
    </w:p>
    <w:p>
      <w:pPr>
        <w:ind w:left="1220" w:right="340" w:hanging="859"/>
        <w:spacing w:after="0" w:line="250" w:lineRule="auto"/>
        <w:tabs>
          <w:tab w:leader="none" w:pos="12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Amendment to Bonnie Anderson Employment Agreement, dated as of December 22, 2008, between Bonnie Anderson and the Registrant (incorporated by reference to Exhibit 10.11 to the Registrant’s Registration Statement on Form S-1 (File No. 333-191282), as amended, declared effective on October 29, 2013).</w:t>
      </w:r>
    </w:p>
    <w:p>
      <w:pPr>
        <w:spacing w:after="0" w:line="1" w:lineRule="exact"/>
        <w:rPr>
          <w:sz w:val="20"/>
          <w:szCs w:val="20"/>
          <w:color w:val="auto"/>
        </w:rPr>
      </w:pPr>
    </w:p>
    <w:p>
      <w:pPr>
        <w:ind w:left="1220" w:right="420" w:hanging="859"/>
        <w:spacing w:after="0" w:line="323" w:lineRule="auto"/>
        <w:tabs>
          <w:tab w:leader="none" w:pos="12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Amendment No. 2 to Bonnie Anderson Employment Agreement, effective as of March 11, 2009, between Bonnie Anderson and the Registrant (incorporated by reference to Exhibit 10.12 to the Registrant’s Registration Statement on Form S-1 (File No. 333-191282), as</w:t>
      </w:r>
    </w:p>
    <w:p>
      <w:pPr>
        <w:sectPr>
          <w:pgSz w:w="11900" w:h="16866" w:orient="portrait"/>
          <w:cols w:equalWidth="0" w:num="1">
            <w:col w:w="11460"/>
          </w:cols>
          <w:pgMar w:left="240" w:top="125" w:right="19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amended, declared effective on October 29, 2013).</w:t>
            </w:r>
          </w:p>
        </w:tc>
        <w:tc>
          <w:tcPr>
            <w:tcW w:w="0" w:type="dxa"/>
            <w:vAlign w:val="bottom"/>
          </w:tcPr>
          <w:p>
            <w:pPr>
              <w:spacing w:after="0"/>
              <w:rPr>
                <w:sz w:val="1"/>
                <w:szCs w:val="1"/>
                <w:color w:val="auto"/>
              </w:rPr>
            </w:pPr>
          </w:p>
        </w:tc>
      </w:tr>
      <w:tr>
        <w:trPr>
          <w:trHeight w:val="216"/>
        </w:trPr>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w w:val="92"/>
              </w:rPr>
              <w:t>Change of Control and Severance Agreement, effective as of August 24, 2012, between Bonnie Anderson and the Registrant (incorporated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w w:val="91"/>
              </w:rPr>
              <w:t>by reference to Exhibit 10.13 to the Registrant’s Registration Statement on Form S-1 (File No. 333-191282), as amended, declared effective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on October 29, 2013).</w:t>
            </w:r>
          </w:p>
        </w:tc>
        <w:tc>
          <w:tcPr>
            <w:tcW w:w="0" w:type="dxa"/>
            <w:vAlign w:val="bottom"/>
          </w:tcPr>
          <w:p>
            <w:pPr>
              <w:spacing w:after="0"/>
              <w:rPr>
                <w:sz w:val="1"/>
                <w:szCs w:val="1"/>
                <w:color w:val="auto"/>
              </w:rPr>
            </w:pPr>
          </w:p>
        </w:tc>
      </w:tr>
      <w:tr>
        <w:trPr>
          <w:trHeight w:val="216"/>
        </w:trPr>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10.15#</w:t>
            </w: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w w:val="91"/>
              </w:rPr>
              <w:t>Change of Control and Severance Agreement, effective as of August 24, 2012, between Christopher Hall and the Registrant (incorporated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w w:val="91"/>
              </w:rPr>
              <w:t>reference to Exhibit 10.14 to the Registrant’s Registration Statement on Form S-1 (File No. 333-191282), as amended, declared effective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October 29, 2013).</w:t>
            </w:r>
          </w:p>
        </w:tc>
        <w:tc>
          <w:tcPr>
            <w:tcW w:w="0" w:type="dxa"/>
            <w:vAlign w:val="bottom"/>
          </w:tcPr>
          <w:p>
            <w:pPr>
              <w:spacing w:after="0"/>
              <w:rPr>
                <w:sz w:val="1"/>
                <w:szCs w:val="1"/>
                <w:color w:val="auto"/>
              </w:rPr>
            </w:pPr>
          </w:p>
        </w:tc>
      </w:tr>
      <w:tr>
        <w:trPr>
          <w:trHeight w:val="216"/>
        </w:trPr>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w w:val="95"/>
              </w:rPr>
              <w:t>Change of Control and Severance Agreement, effective as of April 8, 2013, between Shelly Guyer and the Registrant (incorporated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w w:val="91"/>
              </w:rPr>
              <w:t>reference to Exhibit 10.15 to the Registrant’s Registration Statement on Form S-1 (File No. 333-191282), as amended, declared effective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October 29, 2013).</w:t>
            </w:r>
          </w:p>
        </w:tc>
        <w:tc>
          <w:tcPr>
            <w:tcW w:w="0" w:type="dxa"/>
            <w:vAlign w:val="bottom"/>
          </w:tcPr>
          <w:p>
            <w:pPr>
              <w:spacing w:after="0"/>
              <w:rPr>
                <w:sz w:val="1"/>
                <w:szCs w:val="1"/>
                <w:color w:val="auto"/>
              </w:rPr>
            </w:pPr>
          </w:p>
        </w:tc>
      </w:tr>
      <w:tr>
        <w:trPr>
          <w:trHeight w:val="216"/>
        </w:trPr>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10.17</w:t>
            </w: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16"/>
        </w:trPr>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10.18#</w:t>
            </w: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w w:val="96"/>
              </w:rPr>
              <w:t>Offer Letter dated as of April 8, 2013 with Shelly D. Guyer (incorporated by reference to Exhibit 10.17 to the Registrant’s Registration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Statement on Form S-1 (File No. 333-191282), as amended, declared effective on October 29, 2013).</w:t>
            </w:r>
          </w:p>
        </w:tc>
        <w:tc>
          <w:tcPr>
            <w:tcW w:w="0" w:type="dxa"/>
            <w:vAlign w:val="bottom"/>
          </w:tcPr>
          <w:p>
            <w:pPr>
              <w:spacing w:after="0"/>
              <w:rPr>
                <w:sz w:val="1"/>
                <w:szCs w:val="1"/>
                <w:color w:val="auto"/>
              </w:rPr>
            </w:pPr>
          </w:p>
        </w:tc>
      </w:tr>
      <w:tr>
        <w:trPr>
          <w:trHeight w:val="216"/>
        </w:trPr>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10.19#</w:t>
            </w: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Offer Letter dated as of January 28, 2010 with Christopher M. Hall (incorporated by reference to Exhibit 10.18 to the Registrant’s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Registration Statement on Form S-1 (File No. 333-191282), as amended, declared effective on October 29,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10.20†</w:t>
            </w:r>
          </w:p>
        </w:tc>
        <w:tc>
          <w:tcPr>
            <w:tcW w:w="10240" w:type="dxa"/>
            <w:vAlign w:val="bottom"/>
            <w:gridSpan w:val="3"/>
          </w:tcPr>
          <w:p>
            <w:pPr>
              <w:spacing w:after="0"/>
              <w:rPr>
                <w:sz w:val="20"/>
                <w:szCs w:val="20"/>
                <w:color w:val="auto"/>
              </w:rPr>
            </w:pPr>
            <w:r>
              <w:rPr>
                <w:rFonts w:ascii="Arial" w:cs="Arial" w:eastAsia="Arial" w:hAnsi="Arial"/>
                <w:sz w:val="18"/>
                <w:szCs w:val="18"/>
                <w:color w:val="auto"/>
                <w:w w:val="93"/>
              </w:rPr>
              <w:t>Pathology Services Agreement dated as of November 12, 2010 between Brazos Valley Pathology, P.A. D/B/A Reitpath and the Registrant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w w:val="94"/>
              </w:rPr>
              <w:t>(incorporated by reference to Exhibit 10.19 to the Registrant’s Registration Statement on Form S-1 (File No. 333-191282), as amended,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declared effective on October 29, 2013).</w:t>
            </w:r>
          </w:p>
        </w:tc>
        <w:tc>
          <w:tcPr>
            <w:tcW w:w="0" w:type="dxa"/>
            <w:vAlign w:val="bottom"/>
          </w:tcPr>
          <w:p>
            <w:pPr>
              <w:spacing w:after="0"/>
              <w:rPr>
                <w:sz w:val="1"/>
                <w:szCs w:val="1"/>
                <w:color w:val="auto"/>
              </w:rPr>
            </w:pPr>
          </w:p>
        </w:tc>
      </w:tr>
      <w:tr>
        <w:trPr>
          <w:trHeight w:val="216"/>
        </w:trPr>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10.21</w:t>
            </w: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w w:val="92"/>
              </w:rPr>
              <w:t>Approval of the Registrant to the Assignment of the Pathology Services Agreement with Brazos Valley Pathology to Thyroid Cytopathology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w w:val="93"/>
              </w:rPr>
              <w:t>Partners, P.A. as of May 18, 2011 (incorporated by reference to Exhibit 10.20 to the Registrant’s Registration Statement on Form S-1 (File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No. 333-191282), as amended, declared effective on October 29, 2013).</w:t>
            </w:r>
          </w:p>
        </w:tc>
        <w:tc>
          <w:tcPr>
            <w:tcW w:w="0" w:type="dxa"/>
            <w:vAlign w:val="bottom"/>
          </w:tcPr>
          <w:p>
            <w:pPr>
              <w:spacing w:after="0"/>
              <w:rPr>
                <w:sz w:val="1"/>
                <w:szCs w:val="1"/>
                <w:color w:val="auto"/>
              </w:rPr>
            </w:pPr>
          </w:p>
        </w:tc>
      </w:tr>
      <w:tr>
        <w:trPr>
          <w:trHeight w:val="216"/>
        </w:trPr>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w w:val="92"/>
              </w:rPr>
              <w:t>First Amendment to Pathology Services Agreement dated as of December 19, 2012 between Thyroid Cytopathology Partners, P.A. and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w w:val="94"/>
              </w:rPr>
              <w:t>Registrant (incorporated by reference to Exhibit 10.21 to the Registrant’s Registration Statement on Form S-1 (File No. 333-191282),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amended, declared effective on October 29, 2013).</w:t>
            </w:r>
          </w:p>
        </w:tc>
        <w:tc>
          <w:tcPr>
            <w:tcW w:w="0" w:type="dxa"/>
            <w:vAlign w:val="bottom"/>
          </w:tcPr>
          <w:p>
            <w:pPr>
              <w:spacing w:after="0"/>
              <w:rPr>
                <w:sz w:val="1"/>
                <w:szCs w:val="1"/>
                <w:color w:val="auto"/>
              </w:rPr>
            </w:pPr>
          </w:p>
        </w:tc>
      </w:tr>
      <w:tr>
        <w:trPr>
          <w:trHeight w:val="216"/>
        </w:trPr>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10.23</w:t>
            </w: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Second Amendment to Pathology Services Agreement dated as of January 1, 2014 by and between the Registrant and Thyroid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w w:val="91"/>
              </w:rPr>
              <w:t>Cytopathology Partners, P.A. (incorporated by reference to Exhibit 10.23 to the Registrant’s Annual Report on Form 10-K for the 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December 31, 2013 filed March 20, 2014).</w:t>
            </w:r>
          </w:p>
        </w:tc>
        <w:tc>
          <w:tcPr>
            <w:tcW w:w="0" w:type="dxa"/>
            <w:vAlign w:val="bottom"/>
          </w:tcPr>
          <w:p>
            <w:pPr>
              <w:spacing w:after="0"/>
              <w:rPr>
                <w:sz w:val="1"/>
                <w:szCs w:val="1"/>
                <w:color w:val="auto"/>
              </w:rPr>
            </w:pPr>
          </w:p>
        </w:tc>
      </w:tr>
      <w:tr>
        <w:trPr>
          <w:trHeight w:val="216"/>
        </w:trPr>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10.24</w:t>
            </w: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w w:val="96"/>
              </w:rPr>
              <w:t>Consent and First Amendment to Loan and Security Agreement dated as of December 18, 2014 between Silicon Valley Bank and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Registrant (incorporated by reference to Exhibit 10.1 to the Registrant’s Current Report on Form 8-K filed December 18, 2014).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0" w:type="dxa"/>
            <w:vAlign w:val="bottom"/>
            <w:gridSpan w:val="2"/>
          </w:tcPr>
          <w:p>
            <w:pPr>
              <w:ind w:left="44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gridSpan w:val="2"/>
          </w:tcPr>
          <w:p>
            <w:pPr>
              <w:spacing w:after="0"/>
              <w:rPr>
                <w:sz w:val="11"/>
                <w:szCs w:val="11"/>
                <w:color w:val="auto"/>
              </w:rPr>
            </w:pPr>
          </w:p>
        </w:tc>
        <w:tc>
          <w:tcPr>
            <w:tcW w:w="10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146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0" w:type="dxa"/>
            <w:vAlign w:val="bottom"/>
          </w:tcPr>
          <w:p>
            <w:pPr>
              <w:spacing w:after="0"/>
              <w:rPr>
                <w:sz w:val="1"/>
                <w:szCs w:val="1"/>
                <w:color w:val="auto"/>
              </w:rPr>
            </w:pPr>
          </w:p>
        </w:tc>
      </w:tr>
      <w:tr>
        <w:trPr>
          <w:trHeight w:val="362"/>
        </w:trPr>
        <w:tc>
          <w:tcPr>
            <w:tcW w:w="1220" w:type="dxa"/>
            <w:vAlign w:val="bottom"/>
            <w:tcBorders>
              <w:top w:val="single" w:sz="8" w:color="0000EE"/>
            </w:tcBorders>
            <w:gridSpan w:val="3"/>
          </w:tcPr>
          <w:p>
            <w:pPr>
              <w:spacing w:after="0"/>
              <w:rPr>
                <w:sz w:val="20"/>
                <w:szCs w:val="20"/>
                <w:color w:val="auto"/>
              </w:rPr>
            </w:pPr>
            <w:r>
              <w:rPr>
                <w:rFonts w:ascii="Arial" w:cs="Arial" w:eastAsia="Arial" w:hAnsi="Arial"/>
                <w:sz w:val="14"/>
                <w:szCs w:val="14"/>
                <w:b w:val="1"/>
                <w:bCs w:val="1"/>
                <w:color w:val="auto"/>
              </w:rPr>
              <w:t>Exhibit</w:t>
            </w:r>
          </w:p>
        </w:tc>
        <w:tc>
          <w:tcPr>
            <w:tcW w:w="60" w:type="dxa"/>
            <w:vAlign w:val="bottom"/>
            <w:tcBorders>
              <w:top w:val="single" w:sz="8" w:color="0000EE"/>
            </w:tcBorders>
          </w:tcPr>
          <w:p>
            <w:pPr>
              <w:spacing w:after="0"/>
              <w:rPr>
                <w:sz w:val="24"/>
                <w:szCs w:val="24"/>
                <w:color w:val="auto"/>
              </w:rPr>
            </w:pPr>
          </w:p>
        </w:tc>
        <w:tc>
          <w:tcPr>
            <w:tcW w:w="10180" w:type="dxa"/>
            <w:vAlign w:val="bottom"/>
            <w:gridSpan w:val="2"/>
            <w:vMerge w:val="restart"/>
          </w:tcPr>
          <w:p>
            <w:pPr>
              <w:ind w:left="46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10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10.25†</w:t>
            </w:r>
          </w:p>
        </w:tc>
        <w:tc>
          <w:tcPr>
            <w:tcW w:w="200" w:type="dxa"/>
            <w:vAlign w:val="bottom"/>
          </w:tcPr>
          <w:p>
            <w:pPr>
              <w:spacing w:after="0"/>
              <w:rPr>
                <w:sz w:val="16"/>
                <w:szCs w:val="16"/>
                <w:color w:val="auto"/>
              </w:rPr>
            </w:pPr>
          </w:p>
        </w:tc>
        <w:tc>
          <w:tcPr>
            <w:tcW w:w="102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4"/>
              </w:rPr>
              <w:t>Amended and Restated U.S. Co-Promotion Agreement between Veracyte, Inc. and Genzyme Corporation (incorporated by reference to</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Exhibit 10.1 to the Registrant’s Form 10-Q for the quarterly period ended September 30, 2014 filed November 13,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10.26^††</w:t>
            </w:r>
          </w:p>
        </w:tc>
        <w:tc>
          <w:tcPr>
            <w:tcW w:w="10240" w:type="dxa"/>
            <w:vAlign w:val="bottom"/>
            <w:gridSpan w:val="3"/>
          </w:tcPr>
          <w:p>
            <w:pPr>
              <w:spacing w:after="0"/>
              <w:rPr>
                <w:sz w:val="20"/>
                <w:szCs w:val="20"/>
                <w:color w:val="auto"/>
              </w:rPr>
            </w:pPr>
            <w:r>
              <w:rPr>
                <w:rFonts w:ascii="Arial" w:cs="Arial" w:eastAsia="Arial" w:hAnsi="Arial"/>
                <w:sz w:val="18"/>
                <w:szCs w:val="18"/>
                <w:color w:val="auto"/>
              </w:rPr>
              <w:t>Ex-U.S. Co-Promotion Agreement between Veracyte, Inc. and Genzyme Corporation.</w:t>
            </w: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23.1^</w:t>
            </w:r>
          </w:p>
        </w:tc>
        <w:tc>
          <w:tcPr>
            <w:tcW w:w="10240" w:type="dxa"/>
            <w:vAlign w:val="bottom"/>
            <w:gridSpan w:val="3"/>
          </w:tcPr>
          <w:p>
            <w:pPr>
              <w:spacing w:after="0"/>
              <w:rPr>
                <w:sz w:val="20"/>
                <w:szCs w:val="20"/>
                <w:color w:val="auto"/>
              </w:rPr>
            </w:pPr>
            <w:r>
              <w:rPr>
                <w:rFonts w:ascii="Arial" w:cs="Arial" w:eastAsia="Arial" w:hAnsi="Arial"/>
                <w:sz w:val="18"/>
                <w:szCs w:val="18"/>
                <w:color w:val="auto"/>
              </w:rPr>
              <w:t>Consent of Ernst &amp; Young LLP, Independent Registered Public Accounting Firm.</w:t>
            </w: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23.2^</w:t>
            </w:r>
          </w:p>
        </w:tc>
        <w:tc>
          <w:tcPr>
            <w:tcW w:w="10240" w:type="dxa"/>
            <w:vAlign w:val="bottom"/>
            <w:gridSpan w:val="3"/>
          </w:tcPr>
          <w:p>
            <w:pPr>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24.1^</w:t>
            </w:r>
          </w:p>
        </w:tc>
        <w:tc>
          <w:tcPr>
            <w:tcW w:w="10240" w:type="dxa"/>
            <w:vAlign w:val="bottom"/>
            <w:gridSpan w:val="3"/>
          </w:tcPr>
          <w:p>
            <w:pPr>
              <w:spacing w:after="0"/>
              <w:rPr>
                <w:sz w:val="20"/>
                <w:szCs w:val="20"/>
                <w:color w:val="auto"/>
              </w:rPr>
            </w:pPr>
            <w:r>
              <w:rPr>
                <w:rFonts w:ascii="Arial" w:cs="Arial" w:eastAsia="Arial" w:hAnsi="Arial"/>
                <w:sz w:val="18"/>
                <w:szCs w:val="18"/>
                <w:color w:val="auto"/>
              </w:rPr>
              <w:t>Power of Attorney (see the signature page of this Annual Report on Form 10-K).</w:t>
            </w: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31.1</w:t>
            </w:r>
          </w:p>
        </w:tc>
        <w:tc>
          <w:tcPr>
            <w:tcW w:w="10240" w:type="dxa"/>
            <w:vAlign w:val="bottom"/>
            <w:gridSpan w:val="3"/>
          </w:tcPr>
          <w:p>
            <w:pPr>
              <w:spacing w:after="0"/>
              <w:rPr>
                <w:sz w:val="20"/>
                <w:szCs w:val="20"/>
                <w:color w:val="auto"/>
              </w:rPr>
            </w:pPr>
            <w:r>
              <w:rPr>
                <w:rFonts w:ascii="Arial" w:cs="Arial" w:eastAsia="Arial" w:hAnsi="Arial"/>
                <w:sz w:val="18"/>
                <w:szCs w:val="18"/>
                <w:color w:val="auto"/>
              </w:rPr>
              <w:t>Principal Executive Officer’s Certifications Pursuant to Section 302 of the Sarbanes-Oxley Act of 2002.</w:t>
            </w: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31.2</w:t>
            </w:r>
          </w:p>
        </w:tc>
        <w:tc>
          <w:tcPr>
            <w:tcW w:w="10240" w:type="dxa"/>
            <w:vAlign w:val="bottom"/>
            <w:gridSpan w:val="3"/>
          </w:tcPr>
          <w:p>
            <w:pPr>
              <w:spacing w:after="0"/>
              <w:rPr>
                <w:sz w:val="20"/>
                <w:szCs w:val="20"/>
                <w:color w:val="auto"/>
              </w:rPr>
            </w:pPr>
            <w:r>
              <w:rPr>
                <w:rFonts w:ascii="Arial" w:cs="Arial" w:eastAsia="Arial" w:hAnsi="Arial"/>
                <w:sz w:val="18"/>
                <w:szCs w:val="18"/>
                <w:color w:val="auto"/>
              </w:rPr>
              <w:t>Principal Financial Officer’s Certifications Pursuant to Section 302 of the Sarbanes-Oxley Act of 2002.</w:t>
            </w: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32.1^**</w:t>
            </w:r>
          </w:p>
        </w:tc>
        <w:tc>
          <w:tcPr>
            <w:tcW w:w="10240" w:type="dxa"/>
            <w:vAlign w:val="bottom"/>
            <w:gridSpan w:val="3"/>
          </w:tcPr>
          <w:p>
            <w:pPr>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32.2^**</w:t>
            </w:r>
          </w:p>
        </w:tc>
        <w:tc>
          <w:tcPr>
            <w:tcW w:w="10240" w:type="dxa"/>
            <w:vAlign w:val="bottom"/>
            <w:gridSpan w:val="3"/>
          </w:tcPr>
          <w:p>
            <w:pPr>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101.INS^</w:t>
            </w:r>
          </w:p>
        </w:tc>
        <w:tc>
          <w:tcPr>
            <w:tcW w:w="1024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101.SCH^</w:t>
            </w:r>
          </w:p>
        </w:tc>
        <w:tc>
          <w:tcPr>
            <w:tcW w:w="10240" w:type="dxa"/>
            <w:vAlign w:val="bottom"/>
            <w:gridSpan w:val="3"/>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101.CAL^</w:t>
            </w:r>
          </w:p>
        </w:tc>
        <w:tc>
          <w:tcPr>
            <w:tcW w:w="1024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101.DEF^</w:t>
            </w:r>
          </w:p>
        </w:tc>
        <w:tc>
          <w:tcPr>
            <w:tcW w:w="1024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101.LAB^</w:t>
            </w:r>
          </w:p>
        </w:tc>
        <w:tc>
          <w:tcPr>
            <w:tcW w:w="1024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101.PRE^</w:t>
            </w:r>
          </w:p>
        </w:tc>
        <w:tc>
          <w:tcPr>
            <w:tcW w:w="1024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-2917190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-2917190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Confidential treatment has been requested with respect to certain portions of this Exhibit.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management contract or compensatory plan or arrangement.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(furnished, with respect to Exhibits 32.1 and 32.2) with the Original Filing.</w:t>
      </w:r>
    </w:p>
    <w:p>
      <w:pPr>
        <w:spacing w:after="0" w:line="225" w:lineRule="exact"/>
        <w:rPr>
          <w:sz w:val="20"/>
          <w:szCs w:val="20"/>
          <w:color w:val="auto"/>
        </w:rPr>
      </w:pPr>
    </w:p>
    <w:p>
      <w:pPr>
        <w:ind w:left="660" w:right="200" w:hanging="652"/>
        <w:spacing w:after="0" w:line="259" w:lineRule="auto"/>
        <w:tabs>
          <w:tab w:leader="none" w:pos="651"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10-K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Copies of the above exhibits not contained herein are available to any stockholder, upon payment of a reasonable per page fee, upon written request to: Chief Financial Officer, Veracyte, Inc., 7000 Shoreline Court, Suite 250, South San Francisco, California 94080.</w:t>
      </w:r>
    </w:p>
    <w:p>
      <w:pPr>
        <w:spacing w:after="0" w:line="170" w:lineRule="exact"/>
        <w:rPr>
          <w:sz w:val="20"/>
          <w:szCs w:val="20"/>
          <w:color w:val="auto"/>
        </w:rPr>
      </w:pPr>
    </w:p>
    <w:p>
      <w:pPr>
        <w:ind w:left="660" w:right="7840" w:hanging="652"/>
        <w:spacing w:after="0" w:line="563" w:lineRule="auto"/>
        <w:tabs>
          <w:tab w:leader="none" w:pos="671" w:val="left"/>
        </w:tabs>
        <w:numPr>
          <w:ilvl w:val="0"/>
          <w:numId w:val="8"/>
        </w:numPr>
        <w:rPr>
          <w:rFonts w:ascii="Arial" w:cs="Arial" w:eastAsia="Arial" w:hAnsi="Arial"/>
          <w:sz w:val="16"/>
          <w:szCs w:val="16"/>
          <w:color w:val="auto"/>
        </w:rPr>
      </w:pPr>
      <w:r>
        <w:rPr>
          <w:rFonts w:ascii="Arial" w:cs="Arial" w:eastAsia="Arial" w:hAnsi="Arial"/>
          <w:sz w:val="16"/>
          <w:szCs w:val="16"/>
          <w:color w:val="auto"/>
        </w:rPr>
        <w:t>Financial Statement Schedules Reference is made to Item 15(a) 2 above.</w:t>
      </w:r>
    </w:p>
    <w:p>
      <w:pPr>
        <w:sectPr>
          <w:pgSz w:w="11900" w:h="16838" w:orient="portrait"/>
          <w:cols w:equalWidth="0" w:num="1">
            <w:col w:w="11460"/>
          </w:cols>
          <w:pgMar w:left="240" w:top="125" w:right="199" w:bottom="0" w:gutter="0" w:footer="0" w:header="0"/>
        </w:sectPr>
      </w:pP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40" w:type="dxa"/>
            <w:vAlign w:val="bottom"/>
            <w:gridSpan w:val="2"/>
          </w:tcPr>
          <w:p>
            <w:pPr>
              <w:ind w:left="4440"/>
              <w:spacing w:after="0"/>
              <w:rPr>
                <w:sz w:val="20"/>
                <w:szCs w:val="20"/>
                <w:color w:val="auto"/>
              </w:rPr>
            </w:pPr>
            <w:r>
              <w:rPr>
                <w:rFonts w:ascii="Arial" w:cs="Arial" w:eastAsia="Arial" w:hAnsi="Arial"/>
                <w:sz w:val="18"/>
                <w:szCs w:val="18"/>
                <w:color w:val="auto"/>
              </w:rPr>
              <w:t>VERACYTE, INC.</w:t>
            </w:r>
          </w:p>
        </w:tc>
        <w:tc>
          <w:tcPr>
            <w:tcW w:w="3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gridSpan w:val="2"/>
          </w:tcPr>
          <w:p>
            <w:pPr>
              <w:ind w:left="4440"/>
              <w:spacing w:after="0"/>
              <w:rPr>
                <w:sz w:val="20"/>
                <w:szCs w:val="20"/>
                <w:color w:val="auto"/>
              </w:rPr>
            </w:pPr>
            <w:r>
              <w:rPr>
                <w:rFonts w:ascii="Arial" w:cs="Arial" w:eastAsia="Arial" w:hAnsi="Arial"/>
                <w:sz w:val="18"/>
                <w:szCs w:val="18"/>
                <w:color w:val="auto"/>
              </w:rPr>
              <w:t>By:</w:t>
            </w:r>
          </w:p>
        </w:tc>
        <w:tc>
          <w:tcPr>
            <w:tcW w:w="3700" w:type="dxa"/>
            <w:vAlign w:val="bottom"/>
          </w:tcPr>
          <w:p>
            <w:pPr>
              <w:jc w:val="center"/>
              <w:ind w:right="1470"/>
              <w:spacing w:after="0"/>
              <w:rPr>
                <w:sz w:val="20"/>
                <w:szCs w:val="20"/>
                <w:color w:val="auto"/>
              </w:rPr>
            </w:pPr>
            <w:r>
              <w:rPr>
                <w:rFonts w:ascii="Arial" w:cs="Arial" w:eastAsia="Arial" w:hAnsi="Arial"/>
                <w:sz w:val="18"/>
                <w:szCs w:val="18"/>
                <w:color w:val="auto"/>
                <w:w w:val="91"/>
              </w:rPr>
              <w:t>/s/ Shelly D. Guyer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3700" w:type="dxa"/>
            <w:vAlign w:val="bottom"/>
            <w:tcBorders>
              <w:top w:val="single" w:sz="8" w:color="auto"/>
            </w:tcBorders>
          </w:tcPr>
          <w:p>
            <w:pPr>
              <w:jc w:val="center"/>
              <w:ind w:right="1470"/>
              <w:spacing w:after="0" w:line="195" w:lineRule="exact"/>
              <w:rPr>
                <w:sz w:val="20"/>
                <w:szCs w:val="20"/>
                <w:color w:val="auto"/>
              </w:rPr>
            </w:pPr>
            <w:r>
              <w:rPr>
                <w:rFonts w:ascii="Arial" w:cs="Arial" w:eastAsia="Arial" w:hAnsi="Arial"/>
                <w:sz w:val="18"/>
                <w:szCs w:val="18"/>
                <w:color w:val="auto"/>
                <w:w w:val="93"/>
              </w:rPr>
              <w:t>Shelly D. Guyer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700" w:type="dxa"/>
            <w:vAlign w:val="bottom"/>
          </w:tcPr>
          <w:p>
            <w:pPr>
              <w:jc w:val="center"/>
              <w:ind w:right="1470"/>
              <w:spacing w:after="0"/>
              <w:rPr>
                <w:sz w:val="20"/>
                <w:szCs w:val="20"/>
                <w:color w:val="auto"/>
              </w:rPr>
            </w:pPr>
            <w:r>
              <w:rPr>
                <w:rFonts w:ascii="Arial" w:cs="Arial" w:eastAsia="Arial" w:hAnsi="Arial"/>
                <w:sz w:val="18"/>
                <w:szCs w:val="18"/>
                <w:i w:val="1"/>
                <w:iCs w:val="1"/>
                <w:color w:val="auto"/>
                <w:w w:val="95"/>
              </w:rPr>
              <w:t>Chief Financial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20" w:type="dxa"/>
            <w:vAlign w:val="bottom"/>
            <w:gridSpan w:val="6"/>
          </w:tcPr>
          <w:p>
            <w:pPr>
              <w:spacing w:after="0"/>
              <w:rPr>
                <w:sz w:val="20"/>
                <w:szCs w:val="20"/>
                <w:color w:val="auto"/>
              </w:rPr>
            </w:pPr>
            <w:r>
              <w:rPr>
                <w:rFonts w:ascii="Arial" w:cs="Arial" w:eastAsia="Arial" w:hAnsi="Arial"/>
                <w:sz w:val="18"/>
                <w:szCs w:val="18"/>
                <w:color w:val="auto"/>
              </w:rPr>
              <w:t>Date: September 25, 2015</w:t>
            </w:r>
          </w:p>
        </w:tc>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40" w:type="dxa"/>
            <w:vAlign w:val="bottom"/>
            <w:gridSpan w:val="2"/>
          </w:tcPr>
          <w:p>
            <w:pPr>
              <w:ind w:left="4440"/>
              <w:spacing w:after="0"/>
              <w:rPr>
                <w:sz w:val="20"/>
                <w:szCs w:val="20"/>
                <w:color w:val="auto"/>
              </w:rPr>
            </w:pPr>
            <w:r>
              <w:rPr>
                <w:rFonts w:ascii="Arial" w:cs="Arial" w:eastAsia="Arial" w:hAnsi="Arial"/>
                <w:sz w:val="18"/>
                <w:szCs w:val="18"/>
                <w:color w:val="auto"/>
              </w:rPr>
              <w:t>5</w:t>
            </w:r>
          </w:p>
        </w:tc>
        <w:tc>
          <w:tcPr>
            <w:tcW w:w="1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gridSpan w:val="2"/>
          </w:tcPr>
          <w:p>
            <w:pPr>
              <w:spacing w:after="0"/>
              <w:rPr>
                <w:sz w:val="11"/>
                <w:szCs w:val="11"/>
                <w:color w:val="auto"/>
              </w:rPr>
            </w:pPr>
          </w:p>
        </w:tc>
        <w:tc>
          <w:tcPr>
            <w:tcW w:w="6440" w:type="dxa"/>
            <w:vAlign w:val="bottom"/>
            <w:tcBorders>
              <w:bottom w:val="single" w:sz="8" w:color="808080"/>
            </w:tcBorders>
            <w:gridSpan w:val="2"/>
          </w:tcPr>
          <w:p>
            <w:pPr>
              <w:spacing w:after="0"/>
              <w:rPr>
                <w:sz w:val="11"/>
                <w:szCs w:val="11"/>
                <w:color w:val="auto"/>
              </w:rPr>
            </w:pPr>
          </w:p>
        </w:tc>
        <w:tc>
          <w:tcPr>
            <w:tcW w:w="3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72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440" w:type="dxa"/>
            <w:vAlign w:val="bottom"/>
            <w:gridSpan w:val="2"/>
          </w:tcPr>
          <w:p>
            <w:pPr>
              <w:ind w:left="3740"/>
              <w:spacing w:after="0"/>
              <w:rPr>
                <w:sz w:val="20"/>
                <w:szCs w:val="20"/>
                <w:color w:val="auto"/>
              </w:rPr>
            </w:pPr>
            <w:r>
              <w:rPr>
                <w:rFonts w:ascii="Arial" w:cs="Arial" w:eastAsia="Arial" w:hAnsi="Arial"/>
                <w:sz w:val="18"/>
                <w:szCs w:val="18"/>
                <w:b w:val="1"/>
                <w:bCs w:val="1"/>
                <w:color w:val="auto"/>
              </w:rPr>
              <w:t>EXHIBIT INDEX</w:t>
            </w:r>
          </w:p>
        </w:tc>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24"/>
                <w:szCs w:val="24"/>
                <w:color w:val="auto"/>
              </w:rPr>
            </w:pPr>
          </w:p>
        </w:tc>
        <w:tc>
          <w:tcPr>
            <w:tcW w:w="6440" w:type="dxa"/>
            <w:vAlign w:val="bottom"/>
            <w:gridSpan w:val="2"/>
            <w:vMerge w:val="restart"/>
          </w:tcPr>
          <w:p>
            <w:pPr>
              <w:ind w:left="4680"/>
              <w:spacing w:after="0"/>
              <w:rPr>
                <w:sz w:val="20"/>
                <w:szCs w:val="20"/>
                <w:color w:val="auto"/>
              </w:rPr>
            </w:pPr>
            <w:r>
              <w:rPr>
                <w:rFonts w:ascii="Arial" w:cs="Arial" w:eastAsia="Arial" w:hAnsi="Arial"/>
                <w:sz w:val="14"/>
                <w:szCs w:val="14"/>
                <w:b w:val="1"/>
                <w:bCs w:val="1"/>
                <w:color w:val="auto"/>
              </w:rPr>
              <w:t>Description</w:t>
            </w:r>
          </w:p>
        </w:tc>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6440" w:type="dxa"/>
            <w:vAlign w:val="bottom"/>
            <w:gridSpan w:val="2"/>
            <w:vMerge w:val="continue"/>
          </w:tcPr>
          <w:p>
            <w:pPr>
              <w:spacing w:after="0"/>
              <w:rPr>
                <w:sz w:val="14"/>
                <w:szCs w:val="14"/>
                <w:color w:val="auto"/>
              </w:rPr>
            </w:pPr>
          </w:p>
        </w:tc>
        <w:tc>
          <w:tcPr>
            <w:tcW w:w="3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w:t>
            </w:r>
          </w:p>
        </w:tc>
        <w:tc>
          <w:tcPr>
            <w:tcW w:w="260" w:type="dxa"/>
            <w:vAlign w:val="bottom"/>
          </w:tcPr>
          <w:p>
            <w:pPr>
              <w:spacing w:after="0"/>
              <w:rPr>
                <w:sz w:val="16"/>
                <w:szCs w:val="16"/>
                <w:color w:val="auto"/>
              </w:rPr>
            </w:pPr>
          </w:p>
        </w:tc>
        <w:tc>
          <w:tcPr>
            <w:tcW w:w="1020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w w:val="94"/>
              </w:rPr>
              <w:t>Agreement and Plan of Merger, dated September 4, 2014, by and among Veracyte, Inc., Full Moon Acquisition, Inc., Allegro Diagnostics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0" w:type="dxa"/>
            <w:vAlign w:val="bottom"/>
            <w:gridSpan w:val="4"/>
          </w:tcPr>
          <w:p>
            <w:pPr>
              <w:spacing w:after="0"/>
              <w:rPr>
                <w:sz w:val="20"/>
                <w:szCs w:val="20"/>
                <w:color w:val="auto"/>
              </w:rPr>
            </w:pPr>
            <w:r>
              <w:rPr>
                <w:rFonts w:ascii="Arial" w:cs="Arial" w:eastAsia="Arial" w:hAnsi="Arial"/>
                <w:sz w:val="18"/>
                <w:szCs w:val="18"/>
                <w:color w:val="auto"/>
                <w:w w:val="92"/>
              </w:rPr>
              <w:t>Corp., Andrey Zarur, as the Stockholders’ Agent, Kodiak Venture Partners III, L.P., Kodiak III Entrepreneurs Fund, L.P. and Catalyst Health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0" w:type="dxa"/>
            <w:vAlign w:val="bottom"/>
            <w:gridSpan w:val="4"/>
          </w:tcPr>
          <w:p>
            <w:pPr>
              <w:spacing w:after="0"/>
              <w:rPr>
                <w:sz w:val="20"/>
                <w:szCs w:val="20"/>
                <w:color w:val="auto"/>
              </w:rPr>
            </w:pPr>
            <w:r>
              <w:rPr>
                <w:rFonts w:ascii="Arial" w:cs="Arial" w:eastAsia="Arial" w:hAnsi="Arial"/>
                <w:sz w:val="18"/>
                <w:szCs w:val="18"/>
                <w:color w:val="auto"/>
                <w:w w:val="93"/>
              </w:rPr>
              <w:t>Ventures L.P. (incorporated by reference to Exhibit 2.1 to the Registrant’s Form 10-Q for the quarterly period ended September 30, 2014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filed November 13, 2014).</w:t>
            </w: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3.1</w:t>
            </w:r>
          </w:p>
        </w:tc>
        <w:tc>
          <w:tcPr>
            <w:tcW w:w="10200" w:type="dxa"/>
            <w:vAlign w:val="bottom"/>
            <w:gridSpan w:val="4"/>
          </w:tcPr>
          <w:p>
            <w:pPr>
              <w:spacing w:after="0"/>
              <w:rPr>
                <w:sz w:val="20"/>
                <w:szCs w:val="20"/>
                <w:color w:val="auto"/>
              </w:rPr>
            </w:pPr>
            <w:r>
              <w:rPr>
                <w:rFonts w:ascii="Arial" w:cs="Arial" w:eastAsia="Arial" w:hAnsi="Arial"/>
                <w:sz w:val="18"/>
                <w:szCs w:val="18"/>
                <w:color w:val="auto"/>
                <w:w w:val="96"/>
              </w:rPr>
              <w:t>Restated Certificate of Incorporation of the Registrant (incorporated by reference to Exhibit 3.1 to the Registrant’s Current Report 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Form 8-K filed November 8, 2013).</w:t>
            </w: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3.2</w:t>
            </w:r>
          </w:p>
        </w:tc>
        <w:tc>
          <w:tcPr>
            <w:tcW w:w="10200" w:type="dxa"/>
            <w:vAlign w:val="bottom"/>
            <w:gridSpan w:val="4"/>
          </w:tcPr>
          <w:p>
            <w:pPr>
              <w:spacing w:after="0"/>
              <w:rPr>
                <w:sz w:val="20"/>
                <w:szCs w:val="20"/>
                <w:color w:val="auto"/>
              </w:rPr>
            </w:pPr>
            <w:r>
              <w:rPr>
                <w:rFonts w:ascii="Arial" w:cs="Arial" w:eastAsia="Arial" w:hAnsi="Arial"/>
                <w:sz w:val="18"/>
                <w:szCs w:val="18"/>
                <w:color w:val="auto"/>
                <w:w w:val="93"/>
              </w:rPr>
              <w:t>Amended and Restated Bylaws of the Registrant (incorporated by reference to Exhibit 3.2 to the Registrant’s Current Report on Form 8-K</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filed November 8, 2013).</w:t>
            </w: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4.1</w:t>
            </w:r>
          </w:p>
        </w:tc>
        <w:tc>
          <w:tcPr>
            <w:tcW w:w="10200" w:type="dxa"/>
            <w:vAlign w:val="bottom"/>
            <w:gridSpan w:val="4"/>
          </w:tcPr>
          <w:p>
            <w:pPr>
              <w:spacing w:after="0"/>
              <w:rPr>
                <w:sz w:val="20"/>
                <w:szCs w:val="20"/>
                <w:color w:val="auto"/>
              </w:rPr>
            </w:pPr>
            <w:r>
              <w:rPr>
                <w:rFonts w:ascii="Arial" w:cs="Arial" w:eastAsia="Arial" w:hAnsi="Arial"/>
                <w:sz w:val="18"/>
                <w:szCs w:val="18"/>
                <w:color w:val="auto"/>
                <w:w w:val="93"/>
              </w:rPr>
              <w:t>Form of Common Stock Certificate (incorporated by reference to Exhibit 4.1 to the Registrant’s Registration Statement on Form S-1 (File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No. 333-191282), as amended, declared effective on October 29, 2013).</w:t>
            </w: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4.2</w:t>
            </w:r>
          </w:p>
        </w:tc>
        <w:tc>
          <w:tcPr>
            <w:tcW w:w="10200" w:type="dxa"/>
            <w:vAlign w:val="bottom"/>
            <w:gridSpan w:val="4"/>
          </w:tcPr>
          <w:p>
            <w:pPr>
              <w:spacing w:after="0"/>
              <w:rPr>
                <w:sz w:val="20"/>
                <w:szCs w:val="20"/>
                <w:color w:val="auto"/>
              </w:rPr>
            </w:pPr>
            <w:r>
              <w:rPr>
                <w:rFonts w:ascii="Arial" w:cs="Arial" w:eastAsia="Arial" w:hAnsi="Arial"/>
                <w:sz w:val="18"/>
                <w:szCs w:val="18"/>
                <w:color w:val="auto"/>
                <w:w w:val="96"/>
              </w:rPr>
              <w:t>Second Amended and Restated Investors Rights Agreement, dated November 6, 2012, between the Registrant and certain investors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0" w:type="dxa"/>
            <w:vAlign w:val="bottom"/>
            <w:gridSpan w:val="4"/>
          </w:tcPr>
          <w:p>
            <w:pPr>
              <w:spacing w:after="0"/>
              <w:rPr>
                <w:sz w:val="20"/>
                <w:szCs w:val="20"/>
                <w:color w:val="auto"/>
              </w:rPr>
            </w:pPr>
            <w:r>
              <w:rPr>
                <w:rFonts w:ascii="Arial" w:cs="Arial" w:eastAsia="Arial" w:hAnsi="Arial"/>
                <w:sz w:val="18"/>
                <w:szCs w:val="18"/>
                <w:color w:val="auto"/>
                <w:w w:val="96"/>
              </w:rPr>
              <w:t>(incorporated by reference to Exhibit 4.2 to the Registrant’s Registration Statement on Form S-1 (File No. 333-191282), as amended,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declared effective on October 29, 2013).</w:t>
            </w: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4.3</w:t>
            </w:r>
          </w:p>
        </w:tc>
        <w:tc>
          <w:tcPr>
            <w:tcW w:w="10200" w:type="dxa"/>
            <w:vAlign w:val="bottom"/>
            <w:gridSpan w:val="4"/>
          </w:tcPr>
          <w:p>
            <w:pPr>
              <w:spacing w:after="0"/>
              <w:rPr>
                <w:sz w:val="20"/>
                <w:szCs w:val="20"/>
                <w:color w:val="auto"/>
              </w:rPr>
            </w:pPr>
            <w:r>
              <w:rPr>
                <w:rFonts w:ascii="Arial" w:cs="Arial" w:eastAsia="Arial" w:hAnsi="Arial"/>
                <w:sz w:val="18"/>
                <w:szCs w:val="18"/>
                <w:color w:val="auto"/>
                <w:w w:val="95"/>
              </w:rPr>
              <w:t>Amendment to Second Amended and Restated Investors Rights Agreement, dated June 14, 2013, between the Registrant and certain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0" w:type="dxa"/>
            <w:vAlign w:val="bottom"/>
            <w:gridSpan w:val="4"/>
          </w:tcPr>
          <w:p>
            <w:pPr>
              <w:spacing w:after="0"/>
              <w:rPr>
                <w:sz w:val="20"/>
                <w:szCs w:val="20"/>
                <w:color w:val="auto"/>
              </w:rPr>
            </w:pPr>
            <w:r>
              <w:rPr>
                <w:rFonts w:ascii="Arial" w:cs="Arial" w:eastAsia="Arial" w:hAnsi="Arial"/>
                <w:sz w:val="18"/>
                <w:szCs w:val="18"/>
                <w:color w:val="auto"/>
                <w:w w:val="97"/>
              </w:rPr>
              <w:t>investors (incorporated by reference to Exhibit 4.3 to the Registrant’s Registration Statement on Form S-1 (File No. 333-191282), as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amended, declared effective on October 29, 2013).</w:t>
            </w: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10.1#</w:t>
            </w:r>
          </w:p>
        </w:tc>
        <w:tc>
          <w:tcPr>
            <w:tcW w:w="10200" w:type="dxa"/>
            <w:vAlign w:val="bottom"/>
            <w:gridSpan w:val="4"/>
          </w:tcPr>
          <w:p>
            <w:pPr>
              <w:spacing w:after="0"/>
              <w:rPr>
                <w:sz w:val="20"/>
                <w:szCs w:val="20"/>
                <w:color w:val="auto"/>
              </w:rPr>
            </w:pPr>
            <w:r>
              <w:rPr>
                <w:rFonts w:ascii="Arial" w:cs="Arial" w:eastAsia="Arial" w:hAnsi="Arial"/>
                <w:sz w:val="18"/>
                <w:szCs w:val="18"/>
                <w:color w:val="auto"/>
                <w:w w:val="93"/>
              </w:rPr>
              <w:t>Form of Indemnification Agreement between the Registrant and its officers and directors (incorporated by reference to Exhibit 10.1 to the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0" w:type="dxa"/>
            <w:vAlign w:val="bottom"/>
            <w:gridSpan w:val="4"/>
          </w:tcPr>
          <w:p>
            <w:pPr>
              <w:spacing w:after="0"/>
              <w:rPr>
                <w:sz w:val="20"/>
                <w:szCs w:val="20"/>
                <w:color w:val="auto"/>
              </w:rPr>
            </w:pPr>
            <w:r>
              <w:rPr>
                <w:rFonts w:ascii="Arial" w:cs="Arial" w:eastAsia="Arial" w:hAnsi="Arial"/>
                <w:sz w:val="18"/>
                <w:szCs w:val="18"/>
                <w:color w:val="auto"/>
              </w:rPr>
              <w:t>Registrant’s Registration Statement on Form S-1 (File No. 333-191282), as amended, declared effective on October 29, 2013).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10.2#</w:t>
            </w:r>
          </w:p>
        </w:tc>
        <w:tc>
          <w:tcPr>
            <w:tcW w:w="10200" w:type="dxa"/>
            <w:vAlign w:val="bottom"/>
            <w:gridSpan w:val="4"/>
          </w:tcPr>
          <w:p>
            <w:pPr>
              <w:spacing w:after="0"/>
              <w:rPr>
                <w:sz w:val="20"/>
                <w:szCs w:val="20"/>
                <w:color w:val="auto"/>
              </w:rPr>
            </w:pPr>
            <w:r>
              <w:rPr>
                <w:rFonts w:ascii="Arial" w:cs="Arial" w:eastAsia="Arial" w:hAnsi="Arial"/>
                <w:sz w:val="18"/>
                <w:szCs w:val="18"/>
                <w:color w:val="auto"/>
                <w:w w:val="90"/>
              </w:rPr>
              <w:t>2008 Stock Plan and forms of agreements thereunder (incorporated by reference to Exhibit 10.2 to the Registrant’s Registration Statement 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w w:val="93"/>
              </w:rPr>
              <w:t>Form S-1 (File No. 333-191282), as amended, declared effective on October 29, 2013).</w:t>
            </w: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10.3#</w:t>
            </w:r>
          </w:p>
        </w:tc>
        <w:tc>
          <w:tcPr>
            <w:tcW w:w="10200" w:type="dxa"/>
            <w:vAlign w:val="bottom"/>
            <w:gridSpan w:val="4"/>
          </w:tcPr>
          <w:p>
            <w:pPr>
              <w:spacing w:after="0"/>
              <w:rPr>
                <w:sz w:val="20"/>
                <w:szCs w:val="20"/>
                <w:color w:val="auto"/>
              </w:rPr>
            </w:pPr>
            <w:r>
              <w:rPr>
                <w:rFonts w:ascii="Arial" w:cs="Arial" w:eastAsia="Arial" w:hAnsi="Arial"/>
                <w:sz w:val="18"/>
                <w:szCs w:val="18"/>
                <w:color w:val="auto"/>
                <w:w w:val="93"/>
              </w:rPr>
              <w:t>2013 Stock Incentive Plan and forms of agreements thereunder (incorporated by reference to Exhibit 10.3 to the Registrant’s Registration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0" w:type="dxa"/>
            <w:vAlign w:val="bottom"/>
            <w:gridSpan w:val="4"/>
          </w:tcPr>
          <w:p>
            <w:pPr>
              <w:spacing w:after="0"/>
              <w:rPr>
                <w:sz w:val="20"/>
                <w:szCs w:val="20"/>
                <w:color w:val="auto"/>
              </w:rPr>
            </w:pPr>
            <w:r>
              <w:rPr>
                <w:rFonts w:ascii="Arial" w:cs="Arial" w:eastAsia="Arial" w:hAnsi="Arial"/>
                <w:sz w:val="18"/>
                <w:szCs w:val="18"/>
                <w:color w:val="auto"/>
              </w:rPr>
              <w:t>Statement on Form S-1 (File No. 333-191282), as amended, declared effective on October 29, 2013).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10.4</w:t>
            </w:r>
          </w:p>
        </w:tc>
        <w:tc>
          <w:tcPr>
            <w:tcW w:w="10200" w:type="dxa"/>
            <w:vAlign w:val="bottom"/>
            <w:gridSpan w:val="4"/>
          </w:tcPr>
          <w:p>
            <w:pPr>
              <w:spacing w:after="0"/>
              <w:rPr>
                <w:sz w:val="20"/>
                <w:szCs w:val="20"/>
                <w:color w:val="auto"/>
              </w:rPr>
            </w:pPr>
            <w:r>
              <w:rPr>
                <w:rFonts w:ascii="Arial" w:cs="Arial" w:eastAsia="Arial" w:hAnsi="Arial"/>
                <w:sz w:val="18"/>
                <w:szCs w:val="18"/>
                <w:color w:val="auto"/>
                <w:w w:val="91"/>
              </w:rPr>
              <w:t>Lease Agreement dated as of February 10, 2010 between ARE-San Francisco No 17, LLC and the Registrant (incorporated by reference to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0" w:type="dxa"/>
            <w:vAlign w:val="bottom"/>
            <w:gridSpan w:val="4"/>
          </w:tcPr>
          <w:p>
            <w:pPr>
              <w:spacing w:after="0"/>
              <w:rPr>
                <w:sz w:val="20"/>
                <w:szCs w:val="20"/>
                <w:color w:val="auto"/>
              </w:rPr>
            </w:pPr>
            <w:r>
              <w:rPr>
                <w:rFonts w:ascii="Arial" w:cs="Arial" w:eastAsia="Arial" w:hAnsi="Arial"/>
                <w:sz w:val="18"/>
                <w:szCs w:val="18"/>
                <w:color w:val="auto"/>
                <w:w w:val="92"/>
              </w:rPr>
              <w:t>Exhibit 10.4 to the Registrant’s Registration Statement on Form S-1 (File No. 333-191282), as amended, declared effective on October 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2013).</w:t>
            </w:r>
          </w:p>
        </w:tc>
        <w:tc>
          <w:tcPr>
            <w:tcW w:w="1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10.5</w:t>
            </w:r>
          </w:p>
        </w:tc>
        <w:tc>
          <w:tcPr>
            <w:tcW w:w="10200" w:type="dxa"/>
            <w:vAlign w:val="bottom"/>
            <w:gridSpan w:val="4"/>
          </w:tcPr>
          <w:p>
            <w:pPr>
              <w:spacing w:after="0"/>
              <w:rPr>
                <w:sz w:val="20"/>
                <w:szCs w:val="20"/>
                <w:color w:val="auto"/>
              </w:rPr>
            </w:pPr>
            <w:r>
              <w:rPr>
                <w:rFonts w:ascii="Arial" w:cs="Arial" w:eastAsia="Arial" w:hAnsi="Arial"/>
                <w:sz w:val="18"/>
                <w:szCs w:val="18"/>
                <w:color w:val="auto"/>
                <w:w w:val="97"/>
              </w:rPr>
              <w:t>First Amendment to Lease Agreement entered into as of July 11, 2012 between ARE-San Francisco No 17, LLC and the Registrant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0" w:type="dxa"/>
            <w:vAlign w:val="bottom"/>
            <w:gridSpan w:val="4"/>
          </w:tcPr>
          <w:p>
            <w:pPr>
              <w:spacing w:after="0"/>
              <w:rPr>
                <w:sz w:val="20"/>
                <w:szCs w:val="20"/>
                <w:color w:val="auto"/>
              </w:rPr>
            </w:pPr>
            <w:r>
              <w:rPr>
                <w:rFonts w:ascii="Arial" w:cs="Arial" w:eastAsia="Arial" w:hAnsi="Arial"/>
                <w:sz w:val="18"/>
                <w:szCs w:val="18"/>
                <w:color w:val="auto"/>
                <w:w w:val="95"/>
              </w:rPr>
              <w:t>(incorporated by reference to Exhibit 10.5 to the Registrant’s Registration Statement on Form S-1 (File No. 333-191282), as amended,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declared effective on October 29, 2013).</w:t>
            </w: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10.6</w:t>
            </w:r>
          </w:p>
        </w:tc>
        <w:tc>
          <w:tcPr>
            <w:tcW w:w="10200" w:type="dxa"/>
            <w:vAlign w:val="bottom"/>
            <w:gridSpan w:val="4"/>
          </w:tcPr>
          <w:p>
            <w:pPr>
              <w:spacing w:after="0"/>
              <w:rPr>
                <w:sz w:val="20"/>
                <w:szCs w:val="20"/>
                <w:color w:val="auto"/>
              </w:rPr>
            </w:pPr>
            <w:r>
              <w:rPr>
                <w:rFonts w:ascii="Arial" w:cs="Arial" w:eastAsia="Arial" w:hAnsi="Arial"/>
                <w:sz w:val="18"/>
                <w:szCs w:val="18"/>
                <w:color w:val="auto"/>
                <w:w w:val="94"/>
              </w:rPr>
              <w:t>Lease Agreement between Riata Holdings, L.P., as landlord, and the Registrant, as tenant, dated November 28, 2012 (incorporated by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0" w:type="dxa"/>
            <w:vAlign w:val="bottom"/>
            <w:gridSpan w:val="4"/>
          </w:tcPr>
          <w:p>
            <w:pPr>
              <w:spacing w:after="0"/>
              <w:rPr>
                <w:sz w:val="20"/>
                <w:szCs w:val="20"/>
                <w:color w:val="auto"/>
              </w:rPr>
            </w:pPr>
            <w:r>
              <w:rPr>
                <w:rFonts w:ascii="Arial" w:cs="Arial" w:eastAsia="Arial" w:hAnsi="Arial"/>
                <w:sz w:val="18"/>
                <w:szCs w:val="18"/>
                <w:color w:val="auto"/>
                <w:w w:val="92"/>
              </w:rPr>
              <w:t>reference to Exhibit 10.6 to the Registrant’s Registration Statement on Form S-1 (File No. 333-191282), as amended, declared effective 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October 29, 2013).</w:t>
            </w: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10.7</w:t>
            </w:r>
          </w:p>
        </w:tc>
        <w:tc>
          <w:tcPr>
            <w:tcW w:w="10200" w:type="dxa"/>
            <w:vAlign w:val="bottom"/>
            <w:gridSpan w:val="4"/>
          </w:tcPr>
          <w:p>
            <w:pPr>
              <w:spacing w:after="0"/>
              <w:rPr>
                <w:sz w:val="20"/>
                <w:szCs w:val="20"/>
                <w:color w:val="auto"/>
              </w:rPr>
            </w:pPr>
            <w:r>
              <w:rPr>
                <w:rFonts w:ascii="Arial" w:cs="Arial" w:eastAsia="Arial" w:hAnsi="Arial"/>
                <w:sz w:val="18"/>
                <w:szCs w:val="18"/>
                <w:color w:val="auto"/>
                <w:w w:val="91"/>
              </w:rPr>
              <w:t>First Amendment to Lease Agreement dated as of January 7, 2014 by and between Riata Holdings, L.P. and the Registrant (incorporated by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0" w:type="dxa"/>
            <w:vAlign w:val="bottom"/>
            <w:gridSpan w:val="4"/>
          </w:tcPr>
          <w:p>
            <w:pPr>
              <w:spacing w:after="0"/>
              <w:rPr>
                <w:sz w:val="20"/>
                <w:szCs w:val="20"/>
                <w:color w:val="auto"/>
              </w:rPr>
            </w:pPr>
            <w:r>
              <w:rPr>
                <w:rFonts w:ascii="Arial" w:cs="Arial" w:eastAsia="Arial" w:hAnsi="Arial"/>
                <w:sz w:val="18"/>
                <w:szCs w:val="18"/>
                <w:color w:val="auto"/>
                <w:w w:val="94"/>
              </w:rPr>
              <w:t>reference to Exhibit 10.7 to the Registrant’s Annual Report on Form 10-K for the year ended December 31, 2013 filed March 20, 2014).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10200" w:type="dxa"/>
            <w:vAlign w:val="bottom"/>
            <w:gridSpan w:val="4"/>
          </w:tcPr>
          <w:p>
            <w:pPr>
              <w:spacing w:after="0"/>
              <w:rPr>
                <w:sz w:val="20"/>
                <w:szCs w:val="20"/>
                <w:color w:val="auto"/>
              </w:rPr>
            </w:pPr>
            <w:r>
              <w:rPr>
                <w:rFonts w:ascii="Arial" w:cs="Arial" w:eastAsia="Arial" w:hAnsi="Arial"/>
                <w:sz w:val="18"/>
                <w:szCs w:val="18"/>
                <w:color w:val="auto"/>
                <w:w w:val="94"/>
              </w:rPr>
              <w:t>Co-promotion Agreement dated as of January 18, 2012 between Genzyme Corporation and the Registrant (incorporated by reference to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0" w:type="dxa"/>
            <w:vAlign w:val="bottom"/>
            <w:gridSpan w:val="4"/>
          </w:tcPr>
          <w:p>
            <w:pPr>
              <w:spacing w:after="0"/>
              <w:rPr>
                <w:sz w:val="20"/>
                <w:szCs w:val="20"/>
                <w:color w:val="auto"/>
              </w:rPr>
            </w:pPr>
            <w:r>
              <w:rPr>
                <w:rFonts w:ascii="Arial" w:cs="Arial" w:eastAsia="Arial" w:hAnsi="Arial"/>
                <w:sz w:val="18"/>
                <w:szCs w:val="18"/>
                <w:color w:val="auto"/>
                <w:w w:val="92"/>
              </w:rPr>
              <w:t>Exhibit 10.7 to the Registrant’s Registration Statement on Form S-1 (File No. 333-191282), as amended, declared effective on October 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2013).</w:t>
            </w:r>
          </w:p>
        </w:tc>
        <w:tc>
          <w:tcPr>
            <w:tcW w:w="1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10.9</w:t>
            </w:r>
          </w:p>
        </w:tc>
        <w:tc>
          <w:tcPr>
            <w:tcW w:w="10200" w:type="dxa"/>
            <w:vAlign w:val="bottom"/>
            <w:gridSpan w:val="4"/>
          </w:tcPr>
          <w:p>
            <w:pPr>
              <w:spacing w:after="0"/>
              <w:rPr>
                <w:sz w:val="20"/>
                <w:szCs w:val="20"/>
                <w:color w:val="auto"/>
              </w:rPr>
            </w:pPr>
            <w:r>
              <w:rPr>
                <w:rFonts w:ascii="Arial" w:cs="Arial" w:eastAsia="Arial" w:hAnsi="Arial"/>
                <w:sz w:val="18"/>
                <w:szCs w:val="18"/>
                <w:color w:val="auto"/>
                <w:w w:val="96"/>
              </w:rPr>
              <w:t>Amendment to Co-promotion Agreement, effective April 9, 2013, between Genzyme Corporation and the Registrant (incorporated by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0" w:type="dxa"/>
            <w:vAlign w:val="bottom"/>
            <w:gridSpan w:val="4"/>
          </w:tcPr>
          <w:p>
            <w:pPr>
              <w:spacing w:after="0"/>
              <w:rPr>
                <w:sz w:val="20"/>
                <w:szCs w:val="20"/>
                <w:color w:val="auto"/>
              </w:rPr>
            </w:pPr>
            <w:r>
              <w:rPr>
                <w:rFonts w:ascii="Arial" w:cs="Arial" w:eastAsia="Arial" w:hAnsi="Arial"/>
                <w:sz w:val="18"/>
                <w:szCs w:val="18"/>
                <w:color w:val="auto"/>
                <w:w w:val="92"/>
              </w:rPr>
              <w:t>reference to Exhibit 10.8 to the Registrant’s Registration Statement on Form S-1 (File No. 333-191282), as amended, declared effective 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October 29, 2013).</w:t>
            </w: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10.10</w:t>
            </w:r>
          </w:p>
        </w:tc>
        <w:tc>
          <w:tcPr>
            <w:tcW w:w="10200" w:type="dxa"/>
            <w:vAlign w:val="bottom"/>
            <w:gridSpan w:val="4"/>
          </w:tcPr>
          <w:p>
            <w:pPr>
              <w:spacing w:after="0"/>
              <w:rPr>
                <w:sz w:val="20"/>
                <w:szCs w:val="20"/>
                <w:color w:val="auto"/>
              </w:rPr>
            </w:pPr>
            <w:r>
              <w:rPr>
                <w:rFonts w:ascii="Arial" w:cs="Arial" w:eastAsia="Arial" w:hAnsi="Arial"/>
                <w:sz w:val="18"/>
                <w:szCs w:val="18"/>
                <w:color w:val="auto"/>
                <w:w w:val="95"/>
              </w:rPr>
              <w:t>Loan and Security Agreement dated as of June 26, 2013 between Silicon Valley Bank and the Registrant (incorporated by reference to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0" w:type="dxa"/>
            <w:vAlign w:val="bottom"/>
            <w:gridSpan w:val="4"/>
          </w:tcPr>
          <w:p>
            <w:pPr>
              <w:spacing w:after="0"/>
              <w:rPr>
                <w:sz w:val="20"/>
                <w:szCs w:val="20"/>
                <w:color w:val="auto"/>
              </w:rPr>
            </w:pPr>
            <w:r>
              <w:rPr>
                <w:rFonts w:ascii="Arial" w:cs="Arial" w:eastAsia="Arial" w:hAnsi="Arial"/>
                <w:sz w:val="18"/>
                <w:szCs w:val="18"/>
                <w:color w:val="auto"/>
                <w:w w:val="92"/>
              </w:rPr>
              <w:t>Exhibit 10.9 to the Registrant’s Registration Statement on Form S-1 (File No. 333-191282), as amended, declared effective on October 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2013).</w:t>
            </w:r>
          </w:p>
        </w:tc>
        <w:tc>
          <w:tcPr>
            <w:tcW w:w="1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10.11#</w:t>
            </w:r>
          </w:p>
        </w:tc>
        <w:tc>
          <w:tcPr>
            <w:tcW w:w="10200" w:type="dxa"/>
            <w:vAlign w:val="bottom"/>
            <w:gridSpan w:val="4"/>
          </w:tcPr>
          <w:p>
            <w:pPr>
              <w:spacing w:after="0"/>
              <w:rPr>
                <w:sz w:val="20"/>
                <w:szCs w:val="20"/>
                <w:color w:val="auto"/>
              </w:rPr>
            </w:pPr>
            <w:r>
              <w:rPr>
                <w:rFonts w:ascii="Arial" w:cs="Arial" w:eastAsia="Arial" w:hAnsi="Arial"/>
                <w:sz w:val="18"/>
                <w:szCs w:val="18"/>
                <w:color w:val="auto"/>
                <w:w w:val="96"/>
              </w:rPr>
              <w:t>Employment Agreement, dated as of February 15, 2008, between Bonnie Anderson and the Registrant (incorporated by reference to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0" w:type="dxa"/>
            <w:vAlign w:val="bottom"/>
            <w:gridSpan w:val="4"/>
          </w:tcPr>
          <w:p>
            <w:pPr>
              <w:spacing w:after="0"/>
              <w:rPr>
                <w:sz w:val="20"/>
                <w:szCs w:val="20"/>
                <w:color w:val="auto"/>
              </w:rPr>
            </w:pPr>
            <w:r>
              <w:rPr>
                <w:rFonts w:ascii="Arial" w:cs="Arial" w:eastAsia="Arial" w:hAnsi="Arial"/>
                <w:sz w:val="18"/>
                <w:szCs w:val="18"/>
                <w:color w:val="auto"/>
                <w:w w:val="91"/>
              </w:rPr>
              <w:t>Exhibit 10.10 to the Registrant’s Registration Statement on Form S-1 (File No. 333- 191282), as amended, declared effective on October 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2013).</w:t>
            </w:r>
          </w:p>
        </w:tc>
        <w:tc>
          <w:tcPr>
            <w:tcW w:w="15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40" w:type="dxa"/>
            <w:vAlign w:val="bottom"/>
            <w:gridSpan w:val="2"/>
          </w:tcPr>
          <w:p>
            <w:pPr>
              <w:ind w:left="4440"/>
              <w:spacing w:after="0"/>
              <w:rPr>
                <w:sz w:val="20"/>
                <w:szCs w:val="20"/>
                <w:color w:val="auto"/>
              </w:rPr>
            </w:pPr>
            <w:r>
              <w:rPr>
                <w:rFonts w:ascii="Arial" w:cs="Arial" w:eastAsia="Arial" w:hAnsi="Arial"/>
                <w:sz w:val="18"/>
                <w:szCs w:val="18"/>
                <w:color w:val="auto"/>
              </w:rPr>
              <w:t>6</w:t>
            </w:r>
          </w:p>
        </w:tc>
        <w:tc>
          <w:tcPr>
            <w:tcW w:w="1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880" w:type="dxa"/>
            <w:vAlign w:val="bottom"/>
            <w:tcBorders>
              <w:bottom w:val="single" w:sz="8" w:color="808080"/>
            </w:tcBorders>
          </w:tcPr>
          <w:p>
            <w:pPr>
              <w:spacing w:after="0"/>
              <w:rPr>
                <w:sz w:val="11"/>
                <w:szCs w:val="11"/>
                <w:color w:val="auto"/>
              </w:rPr>
            </w:pPr>
          </w:p>
        </w:tc>
        <w:tc>
          <w:tcPr>
            <w:tcW w:w="1560" w:type="dxa"/>
            <w:vAlign w:val="bottom"/>
            <w:tcBorders>
              <w:bottom w:val="single" w:sz="8" w:color="808080"/>
            </w:tcBorders>
          </w:tcPr>
          <w:p>
            <w:pPr>
              <w:spacing w:after="0"/>
              <w:rPr>
                <w:sz w:val="11"/>
                <w:szCs w:val="11"/>
                <w:color w:val="auto"/>
              </w:rPr>
            </w:pPr>
          </w:p>
        </w:tc>
        <w:tc>
          <w:tcPr>
            <w:tcW w:w="3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-7541895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-7541895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368"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160" w:type="dxa"/>
            <w:vAlign w:val="bottom"/>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171"/>
        </w:trPr>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16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10.12#</w:t>
            </w:r>
          </w:p>
        </w:tc>
        <w:tc>
          <w:tcPr>
            <w:tcW w:w="30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Amendment to Bonnie Anderson Employment Agreement, dated as of December 22, 2008, between Bonnie Anderson and the Registrant</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4"/>
              </w:rPr>
              <w:t>(incorporated by reference to Exhibit 10.11 to the Registrant’s Registration Statement on Form S-1 (File No. 333-191282), as amended,</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declared effective on October 29, 2013).</w:t>
            </w:r>
          </w:p>
        </w:tc>
      </w:tr>
      <w:tr>
        <w:trPr>
          <w:trHeight w:val="216"/>
        </w:trPr>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10.13#</w:t>
            </w:r>
          </w:p>
        </w:tc>
        <w:tc>
          <w:tcPr>
            <w:tcW w:w="10160" w:type="dxa"/>
            <w:vAlign w:val="bottom"/>
          </w:tcPr>
          <w:p>
            <w:pPr>
              <w:spacing w:after="0"/>
              <w:rPr>
                <w:sz w:val="20"/>
                <w:szCs w:val="20"/>
                <w:color w:val="auto"/>
              </w:rPr>
            </w:pPr>
            <w:r>
              <w:rPr>
                <w:rFonts w:ascii="Arial" w:cs="Arial" w:eastAsia="Arial" w:hAnsi="Arial"/>
                <w:sz w:val="18"/>
                <w:szCs w:val="18"/>
                <w:color w:val="auto"/>
                <w:w w:val="97"/>
              </w:rPr>
              <w:t>Amendment No. 2 to Bonnie Anderson Employment Agreement, effective as of March 11, 2009, between Bonnie Anderson and the</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3"/>
              </w:rPr>
              <w:t>Registrant (incorporated by reference to Exhibit 10.12 to the Registrant’s Registration Statement on Form S-1 (File No. 333-191282), as</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amended, declared effective on October 29, 2013).</w:t>
            </w:r>
          </w:p>
        </w:tc>
      </w:tr>
      <w:tr>
        <w:trPr>
          <w:trHeight w:val="216"/>
        </w:trPr>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10.14#</w:t>
            </w:r>
          </w:p>
        </w:tc>
        <w:tc>
          <w:tcPr>
            <w:tcW w:w="10160" w:type="dxa"/>
            <w:vAlign w:val="bottom"/>
          </w:tcPr>
          <w:p>
            <w:pPr>
              <w:spacing w:after="0"/>
              <w:rPr>
                <w:sz w:val="20"/>
                <w:szCs w:val="20"/>
                <w:color w:val="auto"/>
              </w:rPr>
            </w:pPr>
            <w:r>
              <w:rPr>
                <w:rFonts w:ascii="Arial" w:cs="Arial" w:eastAsia="Arial" w:hAnsi="Arial"/>
                <w:sz w:val="18"/>
                <w:szCs w:val="18"/>
                <w:color w:val="auto"/>
                <w:w w:val="91"/>
              </w:rPr>
              <w:t>Change of Control and Severance Agreement, effective as of August 24, 2012, between Bonnie Anderson and the Registrant (incorporated</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by reference to Exhibit 10.13 to the Registrant’s Registration Statement on Form S-1 (File No. 333-191282), as amended, declared effective</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on October 29, 2013).</w:t>
            </w:r>
          </w:p>
        </w:tc>
      </w:tr>
      <w:tr>
        <w:trPr>
          <w:trHeight w:val="216"/>
        </w:trPr>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10.15#</w:t>
            </w:r>
          </w:p>
        </w:tc>
        <w:tc>
          <w:tcPr>
            <w:tcW w:w="10160" w:type="dxa"/>
            <w:vAlign w:val="bottom"/>
          </w:tcPr>
          <w:p>
            <w:pPr>
              <w:spacing w:after="0"/>
              <w:rPr>
                <w:sz w:val="20"/>
                <w:szCs w:val="20"/>
                <w:color w:val="auto"/>
              </w:rPr>
            </w:pPr>
            <w:r>
              <w:rPr>
                <w:rFonts w:ascii="Arial" w:cs="Arial" w:eastAsia="Arial" w:hAnsi="Arial"/>
                <w:sz w:val="18"/>
                <w:szCs w:val="18"/>
                <w:color w:val="auto"/>
                <w:w w:val="90"/>
              </w:rPr>
              <w:t>Change of Control and Severance Agreement, effective as of August 24, 2012, between Christopher Hall and the Registrant (incorporated by</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reference to Exhibit 10.14 to the Registrant’s Registration Statement on Form S-1 (File No. 333-191282), as amended, declared effective on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October 29, 2013).</w:t>
            </w:r>
          </w:p>
        </w:tc>
      </w:tr>
      <w:tr>
        <w:trPr>
          <w:trHeight w:val="216"/>
        </w:trPr>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10.16#</w:t>
            </w:r>
          </w:p>
        </w:tc>
        <w:tc>
          <w:tcPr>
            <w:tcW w:w="10160" w:type="dxa"/>
            <w:vAlign w:val="bottom"/>
          </w:tcPr>
          <w:p>
            <w:pPr>
              <w:spacing w:after="0"/>
              <w:rPr>
                <w:sz w:val="20"/>
                <w:szCs w:val="20"/>
                <w:color w:val="auto"/>
              </w:rPr>
            </w:pPr>
            <w:r>
              <w:rPr>
                <w:rFonts w:ascii="Arial" w:cs="Arial" w:eastAsia="Arial" w:hAnsi="Arial"/>
                <w:sz w:val="18"/>
                <w:szCs w:val="18"/>
                <w:color w:val="auto"/>
                <w:w w:val="95"/>
              </w:rPr>
              <w:t>Change of Control and Severance Agreement, effective as of April 8, 2013, between Shelly Guyer and the Registrant (incorporated by</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reference to Exhibit 10.15 to the Registrant’s Registration Statement on Form S-1 (File No. 333-191282), as amended, declared effective on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October 29, 2013).</w:t>
            </w:r>
          </w:p>
        </w:tc>
      </w:tr>
      <w:tr>
        <w:trPr>
          <w:trHeight w:val="216"/>
        </w:trPr>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10.17</w:t>
            </w:r>
          </w:p>
        </w:tc>
        <w:tc>
          <w:tcPr>
            <w:tcW w:w="10160" w:type="dxa"/>
            <w:vAlign w:val="bottom"/>
          </w:tcPr>
          <w:p>
            <w:pPr>
              <w:spacing w:after="0"/>
              <w:rPr>
                <w:sz w:val="20"/>
                <w:szCs w:val="20"/>
                <w:color w:val="auto"/>
              </w:rPr>
            </w:pPr>
            <w:r>
              <w:rPr>
                <w:rFonts w:ascii="Arial" w:cs="Arial" w:eastAsia="Arial" w:hAnsi="Arial"/>
                <w:sz w:val="18"/>
                <w:szCs w:val="18"/>
                <w:color w:val="auto"/>
              </w:rPr>
              <w:t>Reserved.</w:t>
            </w:r>
          </w:p>
        </w:tc>
      </w:tr>
      <w:tr>
        <w:trPr>
          <w:trHeight w:val="216"/>
        </w:trPr>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10.18#</w:t>
            </w:r>
          </w:p>
        </w:tc>
        <w:tc>
          <w:tcPr>
            <w:tcW w:w="10160" w:type="dxa"/>
            <w:vAlign w:val="bottom"/>
          </w:tcPr>
          <w:p>
            <w:pPr>
              <w:spacing w:after="0"/>
              <w:rPr>
                <w:sz w:val="20"/>
                <w:szCs w:val="20"/>
                <w:color w:val="auto"/>
              </w:rPr>
            </w:pPr>
            <w:r>
              <w:rPr>
                <w:rFonts w:ascii="Arial" w:cs="Arial" w:eastAsia="Arial" w:hAnsi="Arial"/>
                <w:sz w:val="18"/>
                <w:szCs w:val="18"/>
                <w:color w:val="auto"/>
                <w:w w:val="96"/>
              </w:rPr>
              <w:t>Offer Letter dated as of April 8, 2013 with Shelly D. Guyer (incorporated by reference to Exhibit 10.17 to the Registrant’s Registration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Statement on Form S-1 (File No. 333-191282), as amended, declared effective on October 29, 2013).</w:t>
            </w:r>
          </w:p>
        </w:tc>
      </w:tr>
      <w:tr>
        <w:trPr>
          <w:trHeight w:val="216"/>
        </w:trPr>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10.19#</w:t>
            </w:r>
          </w:p>
        </w:tc>
        <w:tc>
          <w:tcPr>
            <w:tcW w:w="10160" w:type="dxa"/>
            <w:vAlign w:val="bottom"/>
          </w:tcPr>
          <w:p>
            <w:pPr>
              <w:spacing w:after="0"/>
              <w:rPr>
                <w:sz w:val="20"/>
                <w:szCs w:val="20"/>
                <w:color w:val="auto"/>
              </w:rPr>
            </w:pPr>
            <w:r>
              <w:rPr>
                <w:rFonts w:ascii="Arial" w:cs="Arial" w:eastAsia="Arial" w:hAnsi="Arial"/>
                <w:sz w:val="18"/>
                <w:szCs w:val="18"/>
                <w:color w:val="auto"/>
                <w:w w:val="99"/>
              </w:rPr>
              <w:t>Offer Letter dated as of January 28, 2010 with Christopher M. Hall (incorporated by reference to Exhibit 10.18 to the Registrant’s</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Registration Statement on Form S-1 (File No. 333-191282), as amended, declared effective on October 29, 2013.</w:t>
            </w:r>
          </w:p>
        </w:tc>
      </w:tr>
      <w:tr>
        <w:trPr>
          <w:trHeight w:val="216"/>
        </w:trPr>
        <w:tc>
          <w:tcPr>
            <w:tcW w:w="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10.20†</w:t>
            </w:r>
          </w:p>
        </w:tc>
        <w:tc>
          <w:tcPr>
            <w:tcW w:w="10160" w:type="dxa"/>
            <w:vAlign w:val="bottom"/>
          </w:tcPr>
          <w:p>
            <w:pPr>
              <w:spacing w:after="0"/>
              <w:rPr>
                <w:sz w:val="20"/>
                <w:szCs w:val="20"/>
                <w:color w:val="auto"/>
              </w:rPr>
            </w:pPr>
            <w:r>
              <w:rPr>
                <w:rFonts w:ascii="Arial" w:cs="Arial" w:eastAsia="Arial" w:hAnsi="Arial"/>
                <w:sz w:val="18"/>
                <w:szCs w:val="18"/>
                <w:color w:val="auto"/>
                <w:w w:val="92"/>
              </w:rPr>
              <w:t>Pathology Services Agreement dated as of November 12, 2010 between Brazos Valley Pathology, P.A. D/B/A Reitpath and the Registrant</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4"/>
              </w:rPr>
              <w:t>(incorporated by reference to Exhibit 10.19 to the Registrant’s Registration Statement on Form S-1 (File No. 333-191282), as amended,</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declared effective on October 29, 2013).</w:t>
            </w:r>
          </w:p>
        </w:tc>
      </w:tr>
      <w:tr>
        <w:trPr>
          <w:trHeight w:val="216"/>
        </w:trPr>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10.21</w:t>
            </w:r>
          </w:p>
        </w:tc>
        <w:tc>
          <w:tcPr>
            <w:tcW w:w="10160" w:type="dxa"/>
            <w:vAlign w:val="bottom"/>
          </w:tcPr>
          <w:p>
            <w:pPr>
              <w:spacing w:after="0"/>
              <w:rPr>
                <w:sz w:val="20"/>
                <w:szCs w:val="20"/>
                <w:color w:val="auto"/>
              </w:rPr>
            </w:pPr>
            <w:r>
              <w:rPr>
                <w:rFonts w:ascii="Arial" w:cs="Arial" w:eastAsia="Arial" w:hAnsi="Arial"/>
                <w:sz w:val="18"/>
                <w:szCs w:val="18"/>
                <w:color w:val="auto"/>
                <w:w w:val="92"/>
              </w:rPr>
              <w:t>Approval of the Registrant to the Assignment of the Pathology Services Agreement with Brazos Valley Pathology to Thyroid Cytopathology</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Partners, P.A. as of May 18, 2011 (incorporated by reference to Exhibit 10.20 to the Registrant’s Registration Statement on Form S-1 (File</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No. 333-191282), as amended, declared effective on October 29, 2013).</w:t>
            </w:r>
          </w:p>
        </w:tc>
      </w:tr>
      <w:tr>
        <w:trPr>
          <w:trHeight w:val="216"/>
        </w:trPr>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10.22</w:t>
            </w:r>
          </w:p>
        </w:tc>
        <w:tc>
          <w:tcPr>
            <w:tcW w:w="10160" w:type="dxa"/>
            <w:vAlign w:val="bottom"/>
          </w:tcPr>
          <w:p>
            <w:pPr>
              <w:spacing w:after="0"/>
              <w:rPr>
                <w:sz w:val="20"/>
                <w:szCs w:val="20"/>
                <w:color w:val="auto"/>
              </w:rPr>
            </w:pPr>
            <w:r>
              <w:rPr>
                <w:rFonts w:ascii="Arial" w:cs="Arial" w:eastAsia="Arial" w:hAnsi="Arial"/>
                <w:sz w:val="18"/>
                <w:szCs w:val="18"/>
                <w:color w:val="auto"/>
                <w:w w:val="91"/>
              </w:rPr>
              <w:t>First Amendment to Pathology Services Agreement dated as of December 19, 2012 between Thyroid Cytopathology Partners, P.A. and the</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3"/>
              </w:rPr>
              <w:t>Registrant (incorporated by reference to Exhibit 10.21 to the Registrant’s Registration Statement on Form S-1 (File No. 333-191282), as</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amended, declared effective on October 29, 2013).</w:t>
            </w:r>
          </w:p>
        </w:tc>
      </w:tr>
      <w:tr>
        <w:trPr>
          <w:trHeight w:val="216"/>
        </w:trPr>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10.23</w:t>
            </w:r>
          </w:p>
        </w:tc>
        <w:tc>
          <w:tcPr>
            <w:tcW w:w="10160" w:type="dxa"/>
            <w:vAlign w:val="bottom"/>
          </w:tcPr>
          <w:p>
            <w:pPr>
              <w:spacing w:after="0"/>
              <w:rPr>
                <w:sz w:val="20"/>
                <w:szCs w:val="20"/>
                <w:color w:val="auto"/>
              </w:rPr>
            </w:pPr>
            <w:r>
              <w:rPr>
                <w:rFonts w:ascii="Arial" w:cs="Arial" w:eastAsia="Arial" w:hAnsi="Arial"/>
                <w:sz w:val="18"/>
                <w:szCs w:val="18"/>
                <w:color w:val="auto"/>
              </w:rPr>
              <w:t>Second Amendment to Pathology Services Agreement dated as of January 1, 2014 by and between the Registrant and Thyroid</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Cytopathology Partners, P.A. (incorporated by reference to Exhibit 10.23 to the Registrant’s Annual Report on Form 10-K for the year ended</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December 31, 2013 filed March 20, 2014).</w:t>
            </w:r>
          </w:p>
        </w:tc>
      </w:tr>
      <w:tr>
        <w:trPr>
          <w:trHeight w:val="216"/>
        </w:trPr>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10.24</w:t>
            </w:r>
          </w:p>
        </w:tc>
        <w:tc>
          <w:tcPr>
            <w:tcW w:w="10160" w:type="dxa"/>
            <w:vAlign w:val="bottom"/>
          </w:tcPr>
          <w:p>
            <w:pPr>
              <w:spacing w:after="0"/>
              <w:rPr>
                <w:sz w:val="20"/>
                <w:szCs w:val="20"/>
                <w:color w:val="auto"/>
              </w:rPr>
            </w:pPr>
            <w:r>
              <w:rPr>
                <w:rFonts w:ascii="Arial" w:cs="Arial" w:eastAsia="Arial" w:hAnsi="Arial"/>
                <w:sz w:val="18"/>
                <w:szCs w:val="18"/>
                <w:color w:val="auto"/>
                <w:w w:val="95"/>
              </w:rPr>
              <w:t>Consent and First Amendment to Loan and Security Agreement dated as of December 18, 2014 between Silicon Valley Bank and the</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Registrant (incorporated by reference to Exhibit 10.1 to the Registrant’s Current Report on Form 8-K filed December 18, 2014).</w:t>
            </w:r>
          </w:p>
        </w:tc>
      </w:tr>
      <w:tr>
        <w:trPr>
          <w:trHeight w:val="216"/>
        </w:trPr>
        <w:tc>
          <w:tcPr>
            <w:tcW w:w="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10.25†</w:t>
            </w:r>
          </w:p>
        </w:tc>
        <w:tc>
          <w:tcPr>
            <w:tcW w:w="10160" w:type="dxa"/>
            <w:vAlign w:val="bottom"/>
          </w:tcPr>
          <w:p>
            <w:pPr>
              <w:spacing w:after="0"/>
              <w:rPr>
                <w:sz w:val="20"/>
                <w:szCs w:val="20"/>
                <w:color w:val="auto"/>
              </w:rPr>
            </w:pPr>
            <w:r>
              <w:rPr>
                <w:rFonts w:ascii="Arial" w:cs="Arial" w:eastAsia="Arial" w:hAnsi="Arial"/>
                <w:sz w:val="18"/>
                <w:szCs w:val="18"/>
                <w:color w:val="auto"/>
                <w:w w:val="94"/>
              </w:rPr>
              <w:t>Amended and Restated U.S. Co-Promotion Agreement between Veracyte, Inc. and Genzyme Corporation (incorporated by reference to</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Exhibit 10.1 to the Registrant’s Form 10-Q for the quarterly period ended September 30, 2014 filed November 13, 2014).</w:t>
            </w:r>
          </w:p>
        </w:tc>
      </w:tr>
      <w:tr>
        <w:trPr>
          <w:trHeight w:val="216"/>
        </w:trPr>
        <w:tc>
          <w:tcPr>
            <w:tcW w:w="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10.26^††</w:t>
            </w:r>
          </w:p>
        </w:tc>
        <w:tc>
          <w:tcPr>
            <w:tcW w:w="10160" w:type="dxa"/>
            <w:vAlign w:val="bottom"/>
          </w:tcPr>
          <w:p>
            <w:pPr>
              <w:spacing w:after="0"/>
              <w:rPr>
                <w:sz w:val="20"/>
                <w:szCs w:val="20"/>
                <w:color w:val="auto"/>
              </w:rPr>
            </w:pPr>
            <w:r>
              <w:rPr>
                <w:rFonts w:ascii="Arial" w:cs="Arial" w:eastAsia="Arial" w:hAnsi="Arial"/>
                <w:sz w:val="18"/>
                <w:szCs w:val="18"/>
                <w:color w:val="auto"/>
              </w:rPr>
              <w:t>Ex-U.S. Co-Promotion Agreement between Veracyte, Inc. and Genzyme Corporation.</w:t>
            </w:r>
          </w:p>
        </w:tc>
      </w:tr>
      <w:tr>
        <w:trPr>
          <w:trHeight w:val="216"/>
        </w:trPr>
        <w:tc>
          <w:tcPr>
            <w:tcW w:w="96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216"/>
        </w:trPr>
        <w:tc>
          <w:tcPr>
            <w:tcW w:w="96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216"/>
        </w:trPr>
        <w:tc>
          <w:tcPr>
            <w:tcW w:w="96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Power of Attorney (see the signature page of this Annual Report on Form 10-K).</w:t>
            </w:r>
          </w:p>
        </w:tc>
      </w:tr>
      <w:tr>
        <w:trPr>
          <w:trHeight w:val="216"/>
        </w:trPr>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31.1</w:t>
            </w:r>
          </w:p>
        </w:tc>
        <w:tc>
          <w:tcPr>
            <w:tcW w:w="10160" w:type="dxa"/>
            <w:vAlign w:val="bottom"/>
          </w:tcPr>
          <w:p>
            <w:pPr>
              <w:spacing w:after="0"/>
              <w:rPr>
                <w:sz w:val="20"/>
                <w:szCs w:val="20"/>
                <w:color w:val="auto"/>
              </w:rPr>
            </w:pPr>
            <w:r>
              <w:rPr>
                <w:rFonts w:ascii="Arial" w:cs="Arial" w:eastAsia="Arial" w:hAnsi="Arial"/>
                <w:sz w:val="18"/>
                <w:szCs w:val="18"/>
                <w:color w:val="auto"/>
              </w:rPr>
              <w:t>Principal Executive Officer’s Certifications Pursuant to Section 302 of the Sarbanes-Oxley Act of 2002.</w:t>
            </w:r>
          </w:p>
        </w:tc>
      </w:tr>
      <w:tr>
        <w:trPr>
          <w:trHeight w:val="216"/>
        </w:trPr>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31.2</w:t>
            </w:r>
          </w:p>
        </w:tc>
        <w:tc>
          <w:tcPr>
            <w:tcW w:w="10160" w:type="dxa"/>
            <w:vAlign w:val="bottom"/>
          </w:tcPr>
          <w:p>
            <w:pPr>
              <w:spacing w:after="0"/>
              <w:rPr>
                <w:sz w:val="20"/>
                <w:szCs w:val="20"/>
                <w:color w:val="auto"/>
              </w:rPr>
            </w:pPr>
            <w:r>
              <w:rPr>
                <w:rFonts w:ascii="Arial" w:cs="Arial" w:eastAsia="Arial" w:hAnsi="Arial"/>
                <w:sz w:val="18"/>
                <w:szCs w:val="18"/>
                <w:color w:val="auto"/>
              </w:rPr>
              <w:t>Principal Financial Officer’s Certifications Pursuant to Section 302 of the Sarbanes-Oxley Act of 2002.</w:t>
            </w:r>
          </w:p>
        </w:tc>
      </w:tr>
      <w:tr>
        <w:trPr>
          <w:trHeight w:val="216"/>
        </w:trPr>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32.1^**</w:t>
            </w:r>
          </w:p>
        </w:tc>
        <w:tc>
          <w:tcPr>
            <w:tcW w:w="10160" w:type="dxa"/>
            <w:vAlign w:val="bottom"/>
          </w:tcPr>
          <w:p>
            <w:pPr>
              <w:spacing w:after="0"/>
              <w:rPr>
                <w:sz w:val="20"/>
                <w:szCs w:val="20"/>
                <w:color w:val="auto"/>
              </w:rPr>
            </w:pPr>
            <w:r>
              <w:rPr>
                <w:rFonts w:ascii="Arial" w:cs="Arial" w:eastAsia="Arial" w:hAnsi="Arial"/>
                <w:sz w:val="18"/>
                <w:szCs w:val="18"/>
                <w:color w:val="auto"/>
              </w:rPr>
              <w:t>Certification Pursuant to 18 U.S.C. § 1350 (Section 906 of Sarbanes-Oxley Act of 2002).</w:t>
            </w:r>
          </w:p>
        </w:tc>
      </w:tr>
      <w:tr>
        <w:trPr>
          <w:trHeight w:val="216"/>
        </w:trPr>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32.2^**</w:t>
            </w:r>
          </w:p>
        </w:tc>
        <w:tc>
          <w:tcPr>
            <w:tcW w:w="10160" w:type="dxa"/>
            <w:vAlign w:val="bottom"/>
          </w:tcPr>
          <w:p>
            <w:pPr>
              <w:spacing w:after="0"/>
              <w:rPr>
                <w:sz w:val="20"/>
                <w:szCs w:val="20"/>
                <w:color w:val="auto"/>
              </w:rPr>
            </w:pPr>
            <w:r>
              <w:rPr>
                <w:rFonts w:ascii="Arial" w:cs="Arial" w:eastAsia="Arial" w:hAnsi="Arial"/>
                <w:sz w:val="18"/>
                <w:szCs w:val="18"/>
                <w:color w:val="auto"/>
              </w:rPr>
              <w:t>Certification Pursuant to 18 U.S.C. § 1350 (Section 906 of Sarbanes-Oxley Act of 2002).</w:t>
            </w:r>
          </w:p>
        </w:tc>
      </w:tr>
      <w:tr>
        <w:trPr>
          <w:trHeight w:val="216"/>
        </w:trPr>
        <w:tc>
          <w:tcPr>
            <w:tcW w:w="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101.INS^</w:t>
            </w:r>
          </w:p>
        </w:tc>
        <w:tc>
          <w:tcPr>
            <w:tcW w:w="1016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101.SCH^</w:t>
            </w:r>
          </w:p>
        </w:tc>
        <w:tc>
          <w:tcPr>
            <w:tcW w:w="10160" w:type="dxa"/>
            <w:vAlign w:val="bottom"/>
          </w:tcPr>
          <w:p>
            <w:pPr>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101.CAL^</w:t>
            </w:r>
          </w:p>
        </w:tc>
        <w:tc>
          <w:tcPr>
            <w:tcW w:w="10160" w:type="dxa"/>
            <w:vAlign w:val="bottom"/>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101.DEF^</w:t>
            </w:r>
          </w:p>
        </w:tc>
        <w:tc>
          <w:tcPr>
            <w:tcW w:w="1016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101.LAB^</w:t>
            </w:r>
          </w:p>
        </w:tc>
        <w:tc>
          <w:tcPr>
            <w:tcW w:w="10160" w:type="dxa"/>
            <w:vAlign w:val="bottom"/>
          </w:tcPr>
          <w:p>
            <w:pPr>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2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101.PRE^</w:t>
            </w:r>
          </w:p>
        </w:tc>
        <w:tc>
          <w:tcPr>
            <w:tcW w:w="1016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Confidential treatment has been requested with respect to certain portions of this Exhibit.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management contract or compensatory plan or arrangement.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(furnished, with respect to Exhibits 32.1 and 32.2) with the Original Filing.</w:t>
      </w:r>
    </w:p>
    <w:p>
      <w:pPr>
        <w:spacing w:after="0" w:line="225" w:lineRule="exact"/>
        <w:rPr>
          <w:sz w:val="20"/>
          <w:szCs w:val="20"/>
          <w:color w:val="auto"/>
        </w:rPr>
      </w:pPr>
    </w:p>
    <w:p>
      <w:pPr>
        <w:ind w:left="660" w:right="160" w:hanging="652"/>
        <w:spacing w:after="0" w:line="259" w:lineRule="auto"/>
        <w:tabs>
          <w:tab w:leader="none" w:pos="6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10-K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sectPr>
          <w:pgSz w:w="11900" w:h="16838" w:orient="portrait"/>
          <w:cols w:equalWidth="0" w:num="1">
            <w:col w:w="11420"/>
          </w:cols>
          <w:pgMar w:left="240" w:top="104"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Bonnie Anderson, certify that:</w:t>
      </w:r>
    </w:p>
    <w:p>
      <w:pPr>
        <w:spacing w:after="0" w:line="225"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Amendment No. 1 to Annual Report on Form 10-K/A of Veracyte, Inc.;</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60" w:firstLine="656"/>
        <w:spacing w:after="0" w:line="264" w:lineRule="auto"/>
        <w:tabs>
          <w:tab w:leader="none" w:pos="12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60" w:firstLine="645"/>
        <w:spacing w:after="0" w:line="286" w:lineRule="auto"/>
        <w:tabs>
          <w:tab w:leader="none" w:pos="1948"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20" w:firstLine="645"/>
        <w:spacing w:after="0" w:line="264" w:lineRule="auto"/>
        <w:tabs>
          <w:tab w:leader="none" w:pos="195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firstLine="645"/>
        <w:spacing w:after="0" w:line="342" w:lineRule="auto"/>
        <w:tabs>
          <w:tab w:leader="none" w:pos="1961"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120" w:firstLine="645"/>
        <w:spacing w:after="0" w:line="264" w:lineRule="auto"/>
        <w:tabs>
          <w:tab w:leader="none" w:pos="195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540" w:firstLine="656"/>
        <w:spacing w:after="0" w:line="342" w:lineRule="auto"/>
        <w:tabs>
          <w:tab w:leader="none" w:pos="129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260" w:firstLine="645"/>
        <w:spacing w:after="0" w:line="308" w:lineRule="auto"/>
        <w:tabs>
          <w:tab w:leader="none" w:pos="1948"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60" w:firstLine="645"/>
        <w:spacing w:after="0" w:line="277" w:lineRule="auto"/>
        <w:tabs>
          <w:tab w:leader="none" w:pos="195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25, 2015</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Bonnie H. Anderson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Shelly Guyer, certify that:</w:t>
      </w:r>
    </w:p>
    <w:p>
      <w:pPr>
        <w:spacing w:after="0" w:line="225"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Amendment No. 1 to Annual Report on Form 10-K/A of Veracyte, Inc.;</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60" w:firstLine="656"/>
        <w:spacing w:after="0" w:line="264" w:lineRule="auto"/>
        <w:tabs>
          <w:tab w:leader="none" w:pos="12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60" w:firstLine="645"/>
        <w:spacing w:after="0" w:line="286" w:lineRule="auto"/>
        <w:tabs>
          <w:tab w:leader="none" w:pos="1948"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20" w:firstLine="645"/>
        <w:spacing w:after="0" w:line="264" w:lineRule="auto"/>
        <w:tabs>
          <w:tab w:leader="none" w:pos="195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firstLine="645"/>
        <w:spacing w:after="0" w:line="342" w:lineRule="auto"/>
        <w:tabs>
          <w:tab w:leader="none" w:pos="1961"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120" w:firstLine="645"/>
        <w:spacing w:after="0" w:line="264" w:lineRule="auto"/>
        <w:tabs>
          <w:tab w:leader="none" w:pos="195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540" w:firstLine="656"/>
        <w:spacing w:after="0" w:line="342" w:lineRule="auto"/>
        <w:tabs>
          <w:tab w:leader="none" w:pos="129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260" w:firstLine="645"/>
        <w:spacing w:after="0" w:line="308" w:lineRule="auto"/>
        <w:tabs>
          <w:tab w:leader="none" w:pos="1948"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60" w:firstLine="645"/>
        <w:spacing w:after="0" w:line="277" w:lineRule="auto"/>
        <w:tabs>
          <w:tab w:leader="none" w:pos="195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25,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Shelly D. Guyer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Letter"/>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2"/>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1)"/>
      <w:numFmt w:val="lowerLetter"/>
      <w:start w:val="2"/>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lowerLetter"/>
      <w:start w:val="3"/>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2019-12-29T14:53:41Z</dcterms:created>
  <dcterms:modified xsi:type="dcterms:W3CDTF">2019-12-29T14:53:41Z</dcterms:modified>
</cp:coreProperties>
</file>