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70"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Date of Report (Date of earliest event reported): December 12, 2016</w:t>
      </w:r>
    </w:p>
    <w:p>
      <w:pPr>
        <w:spacing w:after="0" w:line="255" w:lineRule="exact"/>
        <w:rPr>
          <w:sz w:val="24"/>
          <w:szCs w:val="24"/>
          <w:color w:val="auto"/>
        </w:rPr>
      </w:pPr>
    </w:p>
    <w:p>
      <w:pPr>
        <w:jc w:val="center"/>
        <w:ind w:right="-519"/>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ind w:left="3680"/>
        <w:spacing w:after="0"/>
        <w:rPr>
          <w:sz w:val="20"/>
          <w:szCs w:val="20"/>
          <w:color w:val="auto"/>
        </w:rPr>
      </w:pPr>
      <w:r>
        <w:rPr>
          <w:rFonts w:ascii="Arial" w:cs="Arial" w:eastAsia="Arial" w:hAnsi="Arial"/>
          <w:sz w:val="19"/>
          <w:szCs w:val="19"/>
          <w:color w:val="auto"/>
        </w:rPr>
        <w:t>(Exact name of registrant as specified in its charter)</w:t>
      </w:r>
    </w:p>
    <w:p>
      <w:pPr>
        <w:sectPr>
          <w:pgSz w:w="11900" w:h="16838" w:orient="portrait"/>
          <w:cols w:equalWidth="0" w:num="1">
            <w:col w:w="10740"/>
          </w:cols>
          <w:pgMar w:left="320" w:top="1409" w:right="839" w:bottom="1440" w:gutter="0" w:footer="0" w:header="0"/>
        </w:sectPr>
      </w:pPr>
    </w:p>
    <w:p>
      <w:pPr>
        <w:spacing w:after="0" w:line="364" w:lineRule="exact"/>
        <w:rPr>
          <w:sz w:val="24"/>
          <w:szCs w:val="24"/>
          <w:color w:val="auto"/>
        </w:rPr>
      </w:pPr>
    </w:p>
    <w:p>
      <w:pPr>
        <w:ind w:left="11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001-36156</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90" w:lineRule="exact"/>
        <w:rPr>
          <w:sz w:val="24"/>
          <w:szCs w:val="24"/>
          <w:color w:val="auto"/>
        </w:rPr>
      </w:pPr>
    </w:p>
    <w:p>
      <w:pPr>
        <w:sectPr>
          <w:pgSz w:w="11900" w:h="16838" w:orient="portrait"/>
          <w:cols w:equalWidth="0" w:num="3">
            <w:col w:w="4240" w:space="720"/>
            <w:col w:w="2860" w:space="720"/>
            <w:col w:w="2200"/>
          </w:cols>
          <w:pgMar w:left="320" w:top="1409" w:right="839" w:bottom="1440" w:gutter="0" w:footer="0" w:header="0"/>
          <w:type w:val="continuous"/>
        </w:sectPr>
      </w:pPr>
    </w:p>
    <w:p>
      <w:pPr>
        <w:jc w:val="center"/>
        <w:ind w:right="40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Arial" w:cs="Arial" w:eastAsia="Arial" w:hAnsi="Arial"/>
          <w:sz w:val="17"/>
          <w:szCs w:val="17"/>
          <w:color w:val="auto"/>
        </w:rPr>
        <w:t>(IRS Employer Identification</w:t>
      </w:r>
    </w:p>
    <w:p>
      <w:pPr>
        <w:spacing w:after="0" w:line="35"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3680" w:space="720"/>
            <w:col w:w="2800" w:space="720"/>
            <w:col w:w="2820"/>
          </w:cols>
          <w:pgMar w:left="320" w:top="1409" w:right="839" w:bottom="1440" w:gutter="0" w:footer="0" w:header="0"/>
          <w:type w:val="continuous"/>
        </w:sectPr>
      </w:pPr>
    </w:p>
    <w:p>
      <w:pPr>
        <w:spacing w:after="0" w:line="196"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94080</w:t>
      </w:r>
    </w:p>
    <w:p>
      <w:pPr>
        <w:spacing w:after="0" w:line="90" w:lineRule="exact"/>
        <w:rPr>
          <w:sz w:val="24"/>
          <w:szCs w:val="24"/>
          <w:color w:val="auto"/>
        </w:rPr>
      </w:pPr>
    </w:p>
    <w:p>
      <w:pPr>
        <w:sectPr>
          <w:pgSz w:w="11900" w:h="16838" w:orient="portrait"/>
          <w:cols w:equalWidth="0" w:num="2">
            <w:col w:w="7520" w:space="720"/>
            <w:col w:w="2500"/>
          </w:cols>
          <w:pgMar w:left="320" w:top="1409" w:right="839" w:bottom="1440" w:gutter="0" w:footer="0" w:header="0"/>
          <w:type w:val="continuous"/>
        </w:sectPr>
      </w:pPr>
    </w:p>
    <w:p>
      <w:pPr>
        <w:ind w:left="1560"/>
        <w:spacing w:after="0"/>
        <w:tabs>
          <w:tab w:leader="none" w:pos="806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0740"/>
          </w:cols>
          <w:pgMar w:left="320" w:top="1409" w:right="839" w:bottom="1440" w:gutter="0" w:footer="0" w:header="0"/>
          <w:type w:val="continuous"/>
        </w:sectPr>
      </w:pPr>
    </w:p>
    <w:p>
      <w:pPr>
        <w:spacing w:after="0" w:line="248"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ind w:left="460" w:hanging="329"/>
        <w:spacing w:after="0" w:line="181" w:lineRule="auto"/>
        <w:tabs>
          <w:tab w:leader="none" w:pos="460" w:val="left"/>
        </w:tabs>
        <w:numPr>
          <w:ilvl w:val="0"/>
          <w:numId w:val="1"/>
        </w:numPr>
        <w:rPr>
          <w:rFonts w:ascii="Arial" w:cs="Arial" w:eastAsia="Arial" w:hAnsi="Arial"/>
          <w:sz w:val="59"/>
          <w:szCs w:val="59"/>
          <w:color w:val="auto"/>
          <w:vertAlign w:val="superscript"/>
        </w:rPr>
      </w:pPr>
      <w:r>
        <w:rPr>
          <w:rFonts w:ascii="Arial" w:cs="Arial" w:eastAsia="Arial" w:hAnsi="Arial"/>
          <w:sz w:val="17"/>
          <w:szCs w:val="17"/>
          <w:color w:val="auto"/>
        </w:rPr>
        <w:t>Written communications pursuant to Rule 425 under the Securities Act (17 CFR 230.425)</w:t>
      </w:r>
    </w:p>
    <w:p>
      <w:pPr>
        <w:spacing w:after="0" w:line="325" w:lineRule="exact"/>
        <w:rPr>
          <w:rFonts w:ascii="Arial" w:cs="Arial" w:eastAsia="Arial" w:hAnsi="Arial"/>
          <w:sz w:val="59"/>
          <w:szCs w:val="59"/>
          <w:color w:val="auto"/>
          <w:vertAlign w:val="superscript"/>
        </w:rPr>
      </w:pPr>
    </w:p>
    <w:p>
      <w:pPr>
        <w:ind w:left="460" w:hanging="329"/>
        <w:spacing w:after="0" w:line="183" w:lineRule="auto"/>
        <w:tabs>
          <w:tab w:leader="none" w:pos="46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Soliciting material pursuant to Rule 14a-12 under the Exchange Act (17 CFR 240.14a-12)</w:t>
      </w:r>
    </w:p>
    <w:p>
      <w:pPr>
        <w:spacing w:after="0" w:line="325" w:lineRule="exact"/>
        <w:rPr>
          <w:rFonts w:ascii="Arial" w:cs="Arial" w:eastAsia="Arial" w:hAnsi="Arial"/>
          <w:sz w:val="23"/>
          <w:szCs w:val="23"/>
          <w:color w:val="auto"/>
          <w:vertAlign w:val="superscript"/>
        </w:rPr>
      </w:pPr>
    </w:p>
    <w:p>
      <w:pPr>
        <w:ind w:left="460" w:hanging="329"/>
        <w:spacing w:after="0" w:line="183" w:lineRule="auto"/>
        <w:tabs>
          <w:tab w:leader="none" w:pos="46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Pre-commencement communications pursuant to Rule 14d-2(b) under the Exchange Act (17 CFR 240.14d-2(b))</w:t>
      </w:r>
    </w:p>
    <w:p>
      <w:pPr>
        <w:spacing w:after="0" w:line="325" w:lineRule="exact"/>
        <w:rPr>
          <w:rFonts w:ascii="Arial" w:cs="Arial" w:eastAsia="Arial" w:hAnsi="Arial"/>
          <w:sz w:val="23"/>
          <w:szCs w:val="23"/>
          <w:color w:val="auto"/>
          <w:vertAlign w:val="superscript"/>
        </w:rPr>
      </w:pPr>
    </w:p>
    <w:p>
      <w:pPr>
        <w:ind w:left="460" w:hanging="329"/>
        <w:spacing w:after="0" w:line="183" w:lineRule="auto"/>
        <w:tabs>
          <w:tab w:leader="none" w:pos="46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221615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384810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40"/>
          </w:cols>
          <w:pgMar w:left="320" w:top="1409" w:right="839" w:bottom="1440" w:gutter="0" w:footer="0" w:header="0"/>
          <w:type w:val="continuous"/>
        </w:sectPr>
      </w:pPr>
    </w:p>
    <w:bookmarkStart w:id="1" w:name="page2"/>
    <w:bookmarkEnd w:id="1"/>
    <w:p>
      <w:pPr>
        <w:ind w:right="480"/>
        <w:spacing w:after="0" w:line="39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13, 2016, Veracyte, Inc. (the "Company") announced that Kevin K. Gordon, former chief operating officer of Quintiles Transnational Holdings Inc. (NYSE: Q), has been elected to the Company’s board of directors, effective December 12, 2016. Mr. Gordon will also serve as a member of the Audit Committee of the Board of Directors. Mr. Gordon is a Class III director and his term will expire at the 2019 Annual Meeting of Stockholders. Brian G. Atwood, who has served as director and chairman since the Company’s founding, has elected to step down from the board, effective December 12, 2016. Effective December 12, 2016, Bonnie H. Anderson, the Company’s president and chief executive officer, has assumed the additional role of chairman of the board and John L. Bishop will become the lead independent director.</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Kevin K. Gordon, age 54, served as executive vice president and chief operating officer of Quintiles Transnational Holdings Inc., from October 2015 until its merger with IMS Health in October 2016. From July 2010 to October 2015, Mr. Gordon served as executive vice president and chief financial officer of Quintiles. From March 2007 to January 2010, he served as executive vice president and chief financial officer of Teleflex Incorporated. From January 1997 to March 2007, he held various senior corporate development positions at Teleflex Incorporated. From March 1992 to January 1997, he held various senior finance positions at Package Machinery Company. From August 1984 to March 1992, he held various finance positions at KPMG. Mr. Gordon holds a B.S. in Accounting from the University of Connecticut.</w:t>
      </w:r>
    </w:p>
    <w:p>
      <w:pPr>
        <w:spacing w:after="0" w:line="19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a non-employee director of the Company, Mr. Gordon will be entitled to the same cash and equity compensation paid by the Company to each of its non-employee directors, as described in the Company's proxy statement for its 2016 Annual Meeting of Stockholders filed on May 6, 2016. The Company has not entered into any transactions with Mr. Gordon that would require disclosure pursuant to Item 404(a) of Regulation S-K under the Securities Exchange Act of 1934.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Bishop will receive an additional annual retainer of $20,000 to serve as lead independent director, which amount will be prorated for 2016.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issued by the Company announcing these changes is attached hereto as Exhibit 99.1 and is incorporated by reference herein.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40"/>
        <w:spacing w:after="0"/>
        <w:tabs>
          <w:tab w:leader="none" w:pos="59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December 13, 2016.</w:t>
      </w:r>
    </w:p>
    <w:p>
      <w:pPr>
        <w:sectPr>
          <w:pgSz w:w="11900" w:h="16838" w:orient="portrait"/>
          <w:cols w:equalWidth="0" w:num="1">
            <w:col w:w="11420"/>
          </w:cols>
          <w:pgMar w:left="240" w:top="85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64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December 13, 2016</w:t>
      </w:r>
    </w:p>
    <w:p>
      <w:pPr>
        <w:spacing w:after="0" w:line="33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6040" w:type="dxa"/>
            <w:vAlign w:val="bottom"/>
          </w:tcPr>
          <w:p>
            <w:pPr>
              <w:ind w:left="40"/>
              <w:spacing w:after="0"/>
              <w:rPr>
                <w:sz w:val="20"/>
                <w:szCs w:val="20"/>
                <w:color w:val="auto"/>
              </w:rPr>
            </w:pPr>
            <w:r>
              <w:rPr>
                <w:rFonts w:ascii="Arial" w:cs="Arial" w:eastAsia="Arial" w:hAnsi="Arial"/>
                <w:sz w:val="18"/>
                <w:szCs w:val="18"/>
                <w:color w:val="auto"/>
              </w:rPr>
              <w:t>/s/ Julie A. Brooks</w:t>
            </w:r>
          </w:p>
        </w:tc>
      </w:tr>
      <w:tr>
        <w:trPr>
          <w:trHeight w:val="27"/>
        </w:trPr>
        <w:tc>
          <w:tcPr>
            <w:tcW w:w="7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6040" w:type="dxa"/>
            <w:vAlign w:val="bottom"/>
          </w:tcPr>
          <w:p>
            <w:pPr>
              <w:ind w:left="40"/>
              <w:spacing w:after="0"/>
              <w:rPr>
                <w:sz w:val="20"/>
                <w:szCs w:val="20"/>
                <w:color w:val="auto"/>
              </w:rPr>
            </w:pPr>
            <w:r>
              <w:rPr>
                <w:rFonts w:ascii="Arial" w:cs="Arial" w:eastAsia="Arial" w:hAnsi="Arial"/>
                <w:sz w:val="18"/>
                <w:szCs w:val="18"/>
                <w:color w:val="auto"/>
              </w:rPr>
              <w:t>Julie A. Brooks</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6040" w:type="dxa"/>
            <w:vAlign w:val="bottom"/>
          </w:tcPr>
          <w:p>
            <w:pPr>
              <w:ind w:left="40"/>
              <w:spacing w:after="0"/>
              <w:rPr>
                <w:sz w:val="20"/>
                <w:szCs w:val="20"/>
                <w:color w:val="auto"/>
              </w:rPr>
            </w:pPr>
            <w:r>
              <w:rPr>
                <w:rFonts w:ascii="Arial" w:cs="Arial" w:eastAsia="Arial" w:hAnsi="Arial"/>
                <w:sz w:val="18"/>
                <w:szCs w:val="18"/>
                <w:i w:val="1"/>
                <w:iCs w:val="1"/>
                <w:color w:val="auto"/>
              </w:rPr>
              <w:t>Executive Vice President, General Counsel and Secretary</w:t>
            </w: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169545</wp:posOffset>
            </wp:positionV>
            <wp:extent cx="1286510" cy="694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651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Appointment of Kevin K. Gordon and Other Changes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Its Board of Directors</w:t>
      </w:r>
    </w:p>
    <w:p>
      <w:pPr>
        <w:spacing w:after="0" w:line="200" w:lineRule="exact"/>
        <w:rPr>
          <w:sz w:val="20"/>
          <w:szCs w:val="20"/>
          <w:color w:val="auto"/>
        </w:rPr>
      </w:pPr>
    </w:p>
    <w:p>
      <w:pPr>
        <w:spacing w:after="0" w:line="22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SOUTH SAN FRANCISCO, Calif., December 13, 2016 --- Veracyte, Inc. (NASDAQ: VCYT), a genomic diagnostics company that reduces unnecessary surgeries and healthcare costs by resolving diagnostic uncertainty, today announced that Kevin K. Gordon, former chief operating officer of Quintiles Transnational Holdings Inc. (NYSE: Q), has been appointed to the company’s board of directors. Veracyte also announced that Brian Atwood, who has served as director and chairman since the company’s founding, has elected to step down from the board. Concurrently, Bonnie Anderson, Veracyte’s president and chief executive officer, has assumed the additional role of chairman of the board and John L. Bishop will become the lead independent director. All changes are effective as of December 12, 2016.</w:t>
      </w:r>
    </w:p>
    <w:p>
      <w:pPr>
        <w:spacing w:after="0" w:line="19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are honored to welcome Kevin to our board of directors,” said Ms. Anderson. “His knowledge, insight and years of healthcare industry experience with large publicly held companies, combined with his strong financial background, will be invaluable as we scale the company and focus on achieving profitable growth.”</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Mr. Gordon served as executive vice president and COO of Quintiles, a leading global bio-pharmaceutical services provider, from October 2015 until its merger with IMS Health in October 2016. He served as the company’s executive vice president and chief financial officer from 2010 to 2015. The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500 company recorded revenue of $4.3 billion in 2015 and was named to </w:t>
      </w:r>
      <w:r>
        <w:rPr>
          <w:rFonts w:ascii="Arial" w:cs="Arial" w:eastAsia="Arial" w:hAnsi="Arial"/>
          <w:sz w:val="17"/>
          <w:szCs w:val="17"/>
          <w:i w:val="1"/>
          <w:iCs w:val="1"/>
          <w:color w:val="auto"/>
        </w:rPr>
        <w:t>Fortune</w:t>
      </w:r>
      <w:r>
        <w:rPr>
          <w:rFonts w:ascii="Arial" w:cs="Arial" w:eastAsia="Arial" w:hAnsi="Arial"/>
          <w:sz w:val="17"/>
          <w:szCs w:val="17"/>
          <w:color w:val="auto"/>
        </w:rPr>
        <w:t>’s list of the “World’s Most Admired Companies.” Prior to that, Mr. Gordon spent 13 years in senior leadership positions at Teleflex Incorporated (NYSE: TFX), a diversified global company with over $2 billion in annual revenue, serving most recently as CFO. He previously held senior management positions at KPMG.</w:t>
      </w:r>
    </w:p>
    <w:p>
      <w:pPr>
        <w:spacing w:after="0" w:line="17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“Veracyte is fundamentally improving patient care with its novel focus on resolving diagnostic uncertainty and reducing unnecessary surgeries,” said Mr. Gordon. “I am delighted to join the Veracyte board and look forward to helping the company achieve its growth and profitability goals.”</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Ms. Anderson continued, “On behalf of the company and board of directors, I would like to thank Brian for his extraordinary dedication and guidance in building Veracyte into the formidable diagnostics company that it is today. Because of his invaluable leadership, Veracyte is well-positioned to create long-term, sustained value for our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xml:space="preserve"> Thyroid FNA Analysis centers on the proprietary Afirma Gene Expression Classifier (GEC) and is becoming a new standard of care in thyroid nodule assessment. The Afirma test is recommended in leading practice guidelines and is covered for 185 million lives in the United States, including through Medicare and many commercial insurance plans. Veracyte is expanding its molecular cytology franchise to other clinical areas, beginning with difficult-to-diagnose lung diseases. In 2015, the company launched the Percepta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Bronchial Genomic Classifier, a test to evaluate patients with lung nodules that are suspicious for cancer, which has already received draft Medicare coverage. In October 2016, Veracyte launched its second pulmonology product, the Envisia™ Genomic Classifier, to improve diagnosis of interstitial lung diseases, including idiopathic pulmonary fibrosis. For more information, please visit www.veracyte.com.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ectPr>
          <w:pgSz w:w="11900" w:h="16838" w:orient="portrait"/>
          <w:cols w:equalWidth="0" w:num="1">
            <w:col w:w="11420"/>
          </w:cols>
          <w:pgMar w:left="240" w:top="611" w:right="239" w:bottom="1440" w:gutter="0" w:footer="0" w:header="0"/>
        </w:sectPr>
      </w:pPr>
    </w:p>
    <w:bookmarkStart w:id="4" w:name="page5"/>
    <w:bookmarkEnd w:id="4"/>
    <w:p>
      <w:pPr>
        <w:spacing w:after="0" w:line="250"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our ability to successfully scale the company and our belief that we are well positioned for profitable growth.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the applicability of clinical results to actual outcomes; laws and regulations applicable to our business, including potential regulation by the Food and Drug Administration or other regulatory bodies; the size of the market opportunity for our products; our ability to successfully achieve adoption of and reimbursement for our products; the amount by which use of our products are able to reduce invasive procedures and misdiagnosis, and reduce healthcare costs; the occurrence and outcomes of clinical studies; the timing and publication of clinical study results; and other risks set forth in the company's filings with</w:t>
      </w:r>
    </w:p>
    <w:p>
      <w:pPr>
        <w:spacing w:after="0" w:line="6"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color w:val="auto"/>
        </w:rPr>
        <w:t>the Securities and Exchange Commission, including the risks set forth in the company's Quarterly Report on Form 10-Q for the quarter ended September 30, 2016. These forward-looking statements speak only as of the date hereof and Veracyte specifically disclaims any obligation to update these forward-looking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sectPr>
      <w:pgSz w:w="11900" w:h="16838" w:orient="portrait"/>
      <w:cols w:equalWidth="0" w:num="1">
        <w:col w:w="11400"/>
      </w:cols>
      <w:pgMar w:left="240" w:top="59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ú"/>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2019-12-08T13:07:49Z</dcterms:created>
  <dcterms:modified xsi:type="dcterms:W3CDTF">2019-12-08T13:07:49Z</dcterms:modified>
</cp:coreProperties>
</file>