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30, 2013.</w:t>
      </w:r>
    </w:p>
    <w:p>
      <w:pPr>
        <w:spacing w:after="0" w:line="55" w:lineRule="exact"/>
        <w:rPr>
          <w:sz w:val="24"/>
          <w:szCs w:val="24"/>
          <w:color w:val="auto"/>
        </w:rPr>
      </w:pPr>
    </w:p>
    <w:p>
      <w:pPr>
        <w:ind w:left="99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UNITED STATES SECURITIES AND EXCHANGE</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125095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VERACYTE,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85"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3300" w:type="dxa"/>
            <w:vAlign w:val="bottom"/>
          </w:tcPr>
          <w:p>
            <w:pPr>
              <w:jc w:val="center"/>
              <w:ind w:right="1528"/>
              <w:spacing w:after="0"/>
              <w:rPr>
                <w:sz w:val="20"/>
                <w:szCs w:val="20"/>
                <w:color w:val="auto"/>
              </w:rPr>
            </w:pPr>
            <w:r>
              <w:rPr>
                <w:rFonts w:ascii="Arial" w:cs="Arial" w:eastAsia="Arial" w:hAnsi="Arial"/>
                <w:sz w:val="14"/>
                <w:szCs w:val="14"/>
                <w:b w:val="1"/>
                <w:bCs w:val="1"/>
                <w:color w:val="auto"/>
                <w:w w:val="94"/>
              </w:rPr>
              <w:t>Delaware</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6"/>
              </w:rPr>
              <w:t>8071</w:t>
            </w:r>
          </w:p>
        </w:tc>
        <w:tc>
          <w:tcPr>
            <w:tcW w:w="2980" w:type="dxa"/>
            <w:vAlign w:val="bottom"/>
          </w:tcPr>
          <w:p>
            <w:pPr>
              <w:jc w:val="center"/>
              <w:ind w:left="1808"/>
              <w:spacing w:after="0"/>
              <w:rPr>
                <w:sz w:val="20"/>
                <w:szCs w:val="20"/>
                <w:color w:val="auto"/>
              </w:rPr>
            </w:pPr>
            <w:r>
              <w:rPr>
                <w:rFonts w:ascii="Arial" w:cs="Arial" w:eastAsia="Arial" w:hAnsi="Arial"/>
                <w:sz w:val="14"/>
                <w:szCs w:val="14"/>
                <w:b w:val="1"/>
                <w:bCs w:val="1"/>
                <w:color w:val="auto"/>
                <w:w w:val="93"/>
              </w:rPr>
              <w:t>20-5455398</w:t>
            </w:r>
          </w:p>
        </w:tc>
      </w:tr>
      <w:tr>
        <w:trPr>
          <w:trHeight w:val="149"/>
        </w:trPr>
        <w:tc>
          <w:tcPr>
            <w:tcW w:w="3300" w:type="dxa"/>
            <w:vAlign w:val="bottom"/>
          </w:tcPr>
          <w:p>
            <w:pPr>
              <w:jc w:val="center"/>
              <w:ind w:right="1508"/>
              <w:spacing w:after="0" w:line="149" w:lineRule="exact"/>
              <w:rPr>
                <w:sz w:val="20"/>
                <w:szCs w:val="20"/>
                <w:color w:val="auto"/>
              </w:rPr>
            </w:pPr>
            <w:r>
              <w:rPr>
                <w:rFonts w:ascii="Arial" w:cs="Arial" w:eastAsia="Arial" w:hAnsi="Arial"/>
                <w:sz w:val="14"/>
                <w:szCs w:val="14"/>
                <w:color w:val="auto"/>
                <w:w w:val="95"/>
              </w:rPr>
              <w:t>(State or other jurisdiction of</w:t>
            </w:r>
          </w:p>
        </w:tc>
        <w:tc>
          <w:tcPr>
            <w:tcW w:w="2880" w:type="dxa"/>
            <w:vAlign w:val="bottom"/>
          </w:tcPr>
          <w:p>
            <w:pPr>
              <w:jc w:val="center"/>
              <w:spacing w:after="0" w:line="149" w:lineRule="exact"/>
              <w:rPr>
                <w:sz w:val="20"/>
                <w:szCs w:val="20"/>
                <w:color w:val="auto"/>
              </w:rPr>
            </w:pPr>
            <w:r>
              <w:rPr>
                <w:rFonts w:ascii="Arial" w:cs="Arial" w:eastAsia="Arial" w:hAnsi="Arial"/>
                <w:sz w:val="14"/>
                <w:szCs w:val="14"/>
                <w:color w:val="auto"/>
                <w:w w:val="95"/>
              </w:rPr>
              <w:t>(Primary Standard Industrial</w:t>
            </w:r>
          </w:p>
        </w:tc>
        <w:tc>
          <w:tcPr>
            <w:tcW w:w="2980" w:type="dxa"/>
            <w:vAlign w:val="bottom"/>
          </w:tcPr>
          <w:p>
            <w:pPr>
              <w:jc w:val="center"/>
              <w:ind w:left="180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3300" w:type="dxa"/>
            <w:vAlign w:val="bottom"/>
          </w:tcPr>
          <w:p>
            <w:pPr>
              <w:jc w:val="center"/>
              <w:ind w:right="1508"/>
              <w:spacing w:after="0"/>
              <w:rPr>
                <w:sz w:val="20"/>
                <w:szCs w:val="20"/>
                <w:color w:val="auto"/>
              </w:rPr>
            </w:pPr>
            <w:r>
              <w:rPr>
                <w:rFonts w:ascii="Arial" w:cs="Arial" w:eastAsia="Arial" w:hAnsi="Arial"/>
                <w:sz w:val="14"/>
                <w:szCs w:val="14"/>
                <w:color w:val="auto"/>
                <w:w w:val="94"/>
              </w:rPr>
              <w:t>incorporation or organization)</w:t>
            </w:r>
          </w:p>
        </w:tc>
        <w:tc>
          <w:tcPr>
            <w:tcW w:w="2880" w:type="dxa"/>
            <w:vAlign w:val="bottom"/>
          </w:tcPr>
          <w:p>
            <w:pPr>
              <w:jc w:val="center"/>
              <w:spacing w:after="0"/>
              <w:rPr>
                <w:sz w:val="20"/>
                <w:szCs w:val="20"/>
                <w:color w:val="auto"/>
              </w:rPr>
            </w:pPr>
            <w:r>
              <w:rPr>
                <w:rFonts w:ascii="Arial" w:cs="Arial" w:eastAsia="Arial" w:hAnsi="Arial"/>
                <w:sz w:val="14"/>
                <w:szCs w:val="14"/>
                <w:color w:val="auto"/>
                <w:w w:val="95"/>
              </w:rPr>
              <w:t>Classification Code Number)</w:t>
            </w:r>
          </w:p>
        </w:tc>
        <w:tc>
          <w:tcPr>
            <w:tcW w:w="2980" w:type="dxa"/>
            <w:vAlign w:val="bottom"/>
          </w:tcPr>
          <w:p>
            <w:pPr>
              <w:jc w:val="center"/>
              <w:ind w:left="1828"/>
              <w:spacing w:after="0"/>
              <w:rPr>
                <w:sz w:val="20"/>
                <w:szCs w:val="20"/>
                <w:color w:val="auto"/>
              </w:rPr>
            </w:pPr>
            <w:r>
              <w:rPr>
                <w:rFonts w:ascii="Arial" w:cs="Arial" w:eastAsia="Arial" w:hAnsi="Arial"/>
                <w:sz w:val="14"/>
                <w:szCs w:val="14"/>
                <w:color w:val="auto"/>
                <w:w w:val="99"/>
              </w:rPr>
              <w:t>Identification No.)</w:t>
            </w:r>
          </w:p>
        </w:tc>
      </w:tr>
      <w:tr>
        <w:trPr>
          <w:trHeight w:val="174"/>
        </w:trPr>
        <w:tc>
          <w:tcPr>
            <w:tcW w:w="3300" w:type="dxa"/>
            <w:vAlign w:val="bottom"/>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2980" w:type="dxa"/>
            <w:vAlign w:val="bottom"/>
          </w:tcPr>
          <w:p>
            <w:pPr>
              <w:spacing w:after="0"/>
              <w:rPr>
                <w:sz w:val="15"/>
                <w:szCs w:val="15"/>
                <w:color w:val="auto"/>
              </w:rPr>
            </w:pPr>
          </w:p>
        </w:tc>
      </w:tr>
      <w:tr>
        <w:trPr>
          <w:trHeight w:val="295"/>
        </w:trPr>
        <w:tc>
          <w:tcPr>
            <w:tcW w:w="330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2"/>
              </w:rPr>
              <w:t>7000 Shoreline Court, Suite 250</w:t>
            </w:r>
          </w:p>
        </w:tc>
        <w:tc>
          <w:tcPr>
            <w:tcW w:w="2980" w:type="dxa"/>
            <w:vAlign w:val="bottom"/>
          </w:tcPr>
          <w:p>
            <w:pPr>
              <w:spacing w:after="0"/>
              <w:rPr>
                <w:sz w:val="24"/>
                <w:szCs w:val="24"/>
                <w:color w:val="auto"/>
              </w:rPr>
            </w:pPr>
          </w:p>
        </w:tc>
      </w:tr>
      <w:tr>
        <w:trPr>
          <w:trHeight w:val="149"/>
        </w:trPr>
        <w:tc>
          <w:tcPr>
            <w:tcW w:w="3300" w:type="dxa"/>
            <w:vAlign w:val="bottom"/>
          </w:tcPr>
          <w:p>
            <w:pPr>
              <w:spacing w:after="0"/>
              <w:rPr>
                <w:sz w:val="12"/>
                <w:szCs w:val="12"/>
                <w:color w:val="auto"/>
              </w:rPr>
            </w:pPr>
          </w:p>
        </w:tc>
        <w:tc>
          <w:tcPr>
            <w:tcW w:w="2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South San Francisco, California 94080</w:t>
            </w:r>
          </w:p>
        </w:tc>
        <w:tc>
          <w:tcPr>
            <w:tcW w:w="2980" w:type="dxa"/>
            <w:vAlign w:val="bottom"/>
          </w:tcPr>
          <w:p>
            <w:pPr>
              <w:spacing w:after="0"/>
              <w:rPr>
                <w:sz w:val="12"/>
                <w:szCs w:val="12"/>
                <w:color w:val="auto"/>
              </w:rPr>
            </w:pPr>
          </w:p>
        </w:tc>
      </w:tr>
      <w:tr>
        <w:trPr>
          <w:trHeight w:val="165"/>
        </w:trPr>
        <w:tc>
          <w:tcPr>
            <w:tcW w:w="330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3"/>
              </w:rPr>
              <w:t>(650) 243-6300</w:t>
            </w:r>
          </w:p>
        </w:tc>
        <w:tc>
          <w:tcPr>
            <w:tcW w:w="2980" w:type="dxa"/>
            <w:vAlign w:val="bottom"/>
          </w:tcPr>
          <w:p>
            <w:pPr>
              <w:spacing w:after="0"/>
              <w:rPr>
                <w:sz w:val="14"/>
                <w:szCs w:val="14"/>
                <w:color w:val="auto"/>
              </w:rPr>
            </w:pPr>
          </w:p>
        </w:tc>
      </w:tr>
    </w:tbl>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125095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Bonnie H. Anderson</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7000 Shoreline Court, Suite 250</w:t>
      </w:r>
    </w:p>
    <w:p>
      <w:pPr>
        <w:jc w:val="center"/>
        <w:spacing w:after="0" w:line="221" w:lineRule="auto"/>
        <w:rPr>
          <w:sz w:val="20"/>
          <w:szCs w:val="20"/>
          <w:color w:val="auto"/>
        </w:rPr>
      </w:pPr>
      <w:r>
        <w:rPr>
          <w:rFonts w:ascii="Arial" w:cs="Arial" w:eastAsia="Arial" w:hAnsi="Arial"/>
          <w:sz w:val="14"/>
          <w:szCs w:val="14"/>
          <w:b w:val="1"/>
          <w:bCs w:val="1"/>
          <w:color w:val="auto"/>
        </w:rPr>
        <w:t>South San Francisco, California 94080</w:t>
      </w:r>
    </w:p>
    <w:p>
      <w:pPr>
        <w:jc w:val="center"/>
        <w:spacing w:after="0" w:line="222" w:lineRule="auto"/>
        <w:rPr>
          <w:sz w:val="20"/>
          <w:szCs w:val="20"/>
          <w:color w:val="auto"/>
        </w:rPr>
      </w:pPr>
      <w:r>
        <w:rPr>
          <w:rFonts w:ascii="Arial" w:cs="Arial" w:eastAsia="Arial" w:hAnsi="Arial"/>
          <w:sz w:val="14"/>
          <w:szCs w:val="14"/>
          <w:b w:val="1"/>
          <w:bCs w:val="1"/>
          <w:color w:val="auto"/>
        </w:rPr>
        <w:t>(650) 243-6300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125095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0" w:lineRule="exact"/>
        <w:rPr>
          <w:sz w:val="24"/>
          <w:szCs w:val="24"/>
          <w:color w:val="auto"/>
        </w:rPr>
      </w:pPr>
    </w:p>
    <w:tbl>
      <w:tblPr>
        <w:tblLayout w:type="fixed"/>
        <w:tblInd w:w="72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396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Copies to:</w:t>
            </w:r>
          </w:p>
        </w:tc>
        <w:tc>
          <w:tcPr>
            <w:tcW w:w="2820" w:type="dxa"/>
            <w:vAlign w:val="bottom"/>
          </w:tcPr>
          <w:p>
            <w:pPr>
              <w:spacing w:after="0"/>
              <w:rPr>
                <w:sz w:val="16"/>
                <w:szCs w:val="16"/>
                <w:color w:val="auto"/>
              </w:rPr>
            </w:pPr>
          </w:p>
        </w:tc>
      </w:tr>
      <w:tr>
        <w:trPr>
          <w:trHeight w:val="232"/>
        </w:trPr>
        <w:tc>
          <w:tcPr>
            <w:tcW w:w="3060" w:type="dxa"/>
            <w:vAlign w:val="bottom"/>
          </w:tcPr>
          <w:p>
            <w:pPr>
              <w:jc w:val="center"/>
              <w:ind w:right="748"/>
              <w:spacing w:after="0"/>
              <w:rPr>
                <w:sz w:val="20"/>
                <w:szCs w:val="20"/>
                <w:color w:val="auto"/>
              </w:rPr>
            </w:pPr>
            <w:r>
              <w:rPr>
                <w:rFonts w:ascii="Arial" w:cs="Arial" w:eastAsia="Arial" w:hAnsi="Arial"/>
                <w:sz w:val="14"/>
                <w:szCs w:val="14"/>
                <w:b w:val="1"/>
                <w:bCs w:val="1"/>
                <w:color w:val="auto"/>
                <w:w w:val="92"/>
              </w:rPr>
              <w:t>Stanton D. Wong</w:t>
            </w: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94"/>
              </w:rPr>
              <w:t>Shelly D. Guyer</w:t>
            </w:r>
          </w:p>
        </w:tc>
        <w:tc>
          <w:tcPr>
            <w:tcW w:w="2820" w:type="dxa"/>
            <w:vAlign w:val="bottom"/>
          </w:tcPr>
          <w:p>
            <w:pPr>
              <w:jc w:val="center"/>
              <w:ind w:left="808"/>
              <w:spacing w:after="0"/>
              <w:rPr>
                <w:sz w:val="20"/>
                <w:szCs w:val="20"/>
                <w:color w:val="auto"/>
              </w:rPr>
            </w:pPr>
            <w:r>
              <w:rPr>
                <w:rFonts w:ascii="Arial" w:cs="Arial" w:eastAsia="Arial" w:hAnsi="Arial"/>
                <w:sz w:val="14"/>
                <w:szCs w:val="14"/>
                <w:b w:val="1"/>
                <w:bCs w:val="1"/>
                <w:color w:val="auto"/>
                <w:w w:val="99"/>
              </w:rPr>
              <w:t>William H. Hinman</w:t>
            </w:r>
          </w:p>
        </w:tc>
      </w:tr>
      <w:tr>
        <w:trPr>
          <w:trHeight w:val="149"/>
        </w:trPr>
        <w:tc>
          <w:tcPr>
            <w:tcW w:w="3060" w:type="dxa"/>
            <w:vAlign w:val="bottom"/>
          </w:tcPr>
          <w:p>
            <w:pPr>
              <w:jc w:val="center"/>
              <w:ind w:right="768"/>
              <w:spacing w:after="0" w:line="149" w:lineRule="exact"/>
              <w:rPr>
                <w:sz w:val="20"/>
                <w:szCs w:val="20"/>
                <w:color w:val="auto"/>
              </w:rPr>
            </w:pPr>
            <w:r>
              <w:rPr>
                <w:rFonts w:ascii="Arial" w:cs="Arial" w:eastAsia="Arial" w:hAnsi="Arial"/>
                <w:sz w:val="14"/>
                <w:szCs w:val="14"/>
                <w:b w:val="1"/>
                <w:bCs w:val="1"/>
                <w:color w:val="auto"/>
                <w:w w:val="97"/>
              </w:rPr>
              <w:t>Gabriella A. Lombardi</w:t>
            </w:r>
          </w:p>
        </w:tc>
        <w:tc>
          <w:tcPr>
            <w:tcW w:w="3960" w:type="dxa"/>
            <w:vAlign w:val="bottom"/>
          </w:tcPr>
          <w:p>
            <w:pPr>
              <w:jc w:val="center"/>
              <w:spacing w:after="0" w:line="149" w:lineRule="exact"/>
              <w:rPr>
                <w:sz w:val="20"/>
                <w:szCs w:val="20"/>
                <w:color w:val="auto"/>
              </w:rPr>
            </w:pPr>
            <w:r>
              <w:rPr>
                <w:rFonts w:ascii="Arial" w:cs="Arial" w:eastAsia="Arial" w:hAnsi="Arial"/>
                <w:sz w:val="14"/>
                <w:szCs w:val="14"/>
                <w:color w:val="auto"/>
                <w:w w:val="97"/>
              </w:rPr>
              <w:t>Chief Financial Officer</w:t>
            </w:r>
          </w:p>
        </w:tc>
        <w:tc>
          <w:tcPr>
            <w:tcW w:w="2820" w:type="dxa"/>
            <w:vAlign w:val="bottom"/>
          </w:tcPr>
          <w:p>
            <w:pPr>
              <w:jc w:val="center"/>
              <w:ind w:left="828"/>
              <w:spacing w:after="0" w:line="149" w:lineRule="exact"/>
              <w:rPr>
                <w:sz w:val="20"/>
                <w:szCs w:val="20"/>
                <w:color w:val="auto"/>
              </w:rPr>
            </w:pPr>
            <w:r>
              <w:rPr>
                <w:rFonts w:ascii="Arial" w:cs="Arial" w:eastAsia="Arial" w:hAnsi="Arial"/>
                <w:sz w:val="14"/>
                <w:szCs w:val="14"/>
                <w:color w:val="auto"/>
                <w:w w:val="95"/>
              </w:rPr>
              <w:t>Simpson Thacher &amp; Bartlett LLP</w:t>
            </w:r>
          </w:p>
        </w:tc>
      </w:tr>
      <w:tr>
        <w:trPr>
          <w:trHeight w:val="153"/>
        </w:trPr>
        <w:tc>
          <w:tcPr>
            <w:tcW w:w="3060" w:type="dxa"/>
            <w:vAlign w:val="bottom"/>
          </w:tcPr>
          <w:p>
            <w:pPr>
              <w:jc w:val="center"/>
              <w:ind w:right="748"/>
              <w:spacing w:after="0" w:line="153" w:lineRule="exact"/>
              <w:rPr>
                <w:sz w:val="20"/>
                <w:szCs w:val="20"/>
                <w:color w:val="auto"/>
              </w:rPr>
            </w:pPr>
            <w:r>
              <w:rPr>
                <w:rFonts w:ascii="Arial" w:cs="Arial" w:eastAsia="Arial" w:hAnsi="Arial"/>
                <w:sz w:val="14"/>
                <w:szCs w:val="14"/>
                <w:b w:val="1"/>
                <w:bCs w:val="1"/>
                <w:color w:val="auto"/>
                <w:w w:val="96"/>
              </w:rPr>
              <w:t>Heidi E. Mayon</w:t>
            </w:r>
          </w:p>
        </w:tc>
        <w:tc>
          <w:tcPr>
            <w:tcW w:w="3960" w:type="dxa"/>
            <w:vAlign w:val="bottom"/>
          </w:tcPr>
          <w:p>
            <w:pPr>
              <w:jc w:val="center"/>
              <w:spacing w:after="0" w:line="153" w:lineRule="exact"/>
              <w:rPr>
                <w:sz w:val="20"/>
                <w:szCs w:val="20"/>
                <w:color w:val="auto"/>
              </w:rPr>
            </w:pPr>
            <w:r>
              <w:rPr>
                <w:rFonts w:ascii="Arial" w:cs="Arial" w:eastAsia="Arial" w:hAnsi="Arial"/>
                <w:sz w:val="14"/>
                <w:szCs w:val="14"/>
                <w:color w:val="auto"/>
                <w:w w:val="91"/>
              </w:rPr>
              <w:t>Veracyte, Inc.</w:t>
            </w:r>
          </w:p>
        </w:tc>
        <w:tc>
          <w:tcPr>
            <w:tcW w:w="2820" w:type="dxa"/>
            <w:vAlign w:val="bottom"/>
          </w:tcPr>
          <w:p>
            <w:pPr>
              <w:jc w:val="center"/>
              <w:ind w:left="828"/>
              <w:spacing w:after="0" w:line="153" w:lineRule="exact"/>
              <w:rPr>
                <w:sz w:val="20"/>
                <w:szCs w:val="20"/>
                <w:color w:val="auto"/>
              </w:rPr>
            </w:pPr>
            <w:r>
              <w:rPr>
                <w:rFonts w:ascii="Arial" w:cs="Arial" w:eastAsia="Arial" w:hAnsi="Arial"/>
                <w:sz w:val="14"/>
                <w:szCs w:val="14"/>
                <w:color w:val="auto"/>
                <w:w w:val="92"/>
              </w:rPr>
              <w:t>2475 Hanover Street</w:t>
            </w:r>
          </w:p>
        </w:tc>
      </w:tr>
      <w:tr>
        <w:trPr>
          <w:trHeight w:val="149"/>
        </w:trPr>
        <w:tc>
          <w:tcPr>
            <w:tcW w:w="3060" w:type="dxa"/>
            <w:vAlign w:val="bottom"/>
          </w:tcPr>
          <w:p>
            <w:pPr>
              <w:jc w:val="center"/>
              <w:ind w:right="748"/>
              <w:spacing w:after="0" w:line="149" w:lineRule="exact"/>
              <w:rPr>
                <w:sz w:val="20"/>
                <w:szCs w:val="20"/>
                <w:color w:val="auto"/>
              </w:rPr>
            </w:pPr>
            <w:r>
              <w:rPr>
                <w:rFonts w:ascii="Arial" w:cs="Arial" w:eastAsia="Arial" w:hAnsi="Arial"/>
                <w:sz w:val="14"/>
                <w:szCs w:val="14"/>
                <w:color w:val="auto"/>
                <w:w w:val="96"/>
              </w:rPr>
              <w:t>Pillsbury Winthrop Shaw Pittman LLP</w:t>
            </w:r>
          </w:p>
        </w:tc>
        <w:tc>
          <w:tcPr>
            <w:tcW w:w="3960" w:type="dxa"/>
            <w:vAlign w:val="bottom"/>
          </w:tcPr>
          <w:p>
            <w:pPr>
              <w:jc w:val="center"/>
              <w:spacing w:after="0" w:line="149" w:lineRule="exact"/>
              <w:rPr>
                <w:sz w:val="20"/>
                <w:szCs w:val="20"/>
                <w:color w:val="auto"/>
              </w:rPr>
            </w:pPr>
            <w:r>
              <w:rPr>
                <w:rFonts w:ascii="Arial" w:cs="Arial" w:eastAsia="Arial" w:hAnsi="Arial"/>
                <w:sz w:val="14"/>
                <w:szCs w:val="14"/>
                <w:color w:val="auto"/>
                <w:w w:val="93"/>
              </w:rPr>
              <w:t>7000 Shoreline Court, Suite 250</w:t>
            </w:r>
          </w:p>
        </w:tc>
        <w:tc>
          <w:tcPr>
            <w:tcW w:w="2820" w:type="dxa"/>
            <w:vAlign w:val="bottom"/>
          </w:tcPr>
          <w:p>
            <w:pPr>
              <w:jc w:val="center"/>
              <w:ind w:left="828"/>
              <w:spacing w:after="0" w:line="149" w:lineRule="exact"/>
              <w:rPr>
                <w:sz w:val="20"/>
                <w:szCs w:val="20"/>
                <w:color w:val="auto"/>
              </w:rPr>
            </w:pPr>
            <w:r>
              <w:rPr>
                <w:rFonts w:ascii="Arial" w:cs="Arial" w:eastAsia="Arial" w:hAnsi="Arial"/>
                <w:sz w:val="14"/>
                <w:szCs w:val="14"/>
                <w:color w:val="auto"/>
                <w:w w:val="96"/>
              </w:rPr>
              <w:t>Palo Alto, California 94304</w:t>
            </w:r>
          </w:p>
        </w:tc>
      </w:tr>
      <w:tr>
        <w:trPr>
          <w:trHeight w:val="149"/>
        </w:trPr>
        <w:tc>
          <w:tcPr>
            <w:tcW w:w="3060" w:type="dxa"/>
            <w:vAlign w:val="bottom"/>
          </w:tcPr>
          <w:p>
            <w:pPr>
              <w:jc w:val="center"/>
              <w:ind w:right="748"/>
              <w:spacing w:after="0" w:line="149" w:lineRule="exact"/>
              <w:rPr>
                <w:sz w:val="20"/>
                <w:szCs w:val="20"/>
                <w:color w:val="auto"/>
              </w:rPr>
            </w:pPr>
            <w:r>
              <w:rPr>
                <w:rFonts w:ascii="Arial" w:cs="Arial" w:eastAsia="Arial" w:hAnsi="Arial"/>
                <w:sz w:val="14"/>
                <w:szCs w:val="14"/>
                <w:color w:val="auto"/>
                <w:w w:val="92"/>
              </w:rPr>
              <w:t>Four Embarcadero Center, 22nd Floor</w:t>
            </w:r>
          </w:p>
        </w:tc>
        <w:tc>
          <w:tcPr>
            <w:tcW w:w="3960" w:type="dxa"/>
            <w:vAlign w:val="bottom"/>
          </w:tcPr>
          <w:p>
            <w:pPr>
              <w:jc w:val="center"/>
              <w:spacing w:after="0" w:line="149" w:lineRule="exact"/>
              <w:rPr>
                <w:sz w:val="20"/>
                <w:szCs w:val="20"/>
                <w:color w:val="auto"/>
              </w:rPr>
            </w:pPr>
            <w:r>
              <w:rPr>
                <w:rFonts w:ascii="Arial" w:cs="Arial" w:eastAsia="Arial" w:hAnsi="Arial"/>
                <w:sz w:val="14"/>
                <w:szCs w:val="14"/>
                <w:color w:val="auto"/>
                <w:w w:val="92"/>
              </w:rPr>
              <w:t>South San Francisco, California 94080</w:t>
            </w:r>
          </w:p>
        </w:tc>
        <w:tc>
          <w:tcPr>
            <w:tcW w:w="2820" w:type="dxa"/>
            <w:vAlign w:val="bottom"/>
          </w:tcPr>
          <w:p>
            <w:pPr>
              <w:spacing w:after="0"/>
              <w:rPr>
                <w:sz w:val="12"/>
                <w:szCs w:val="12"/>
                <w:color w:val="auto"/>
              </w:rPr>
            </w:pPr>
          </w:p>
        </w:tc>
      </w:tr>
      <w:tr>
        <w:trPr>
          <w:trHeight w:val="182"/>
        </w:trPr>
        <w:tc>
          <w:tcPr>
            <w:tcW w:w="3060" w:type="dxa"/>
            <w:vAlign w:val="bottom"/>
          </w:tcPr>
          <w:p>
            <w:pPr>
              <w:jc w:val="center"/>
              <w:ind w:right="748"/>
              <w:spacing w:after="0"/>
              <w:rPr>
                <w:sz w:val="20"/>
                <w:szCs w:val="20"/>
                <w:color w:val="auto"/>
              </w:rPr>
            </w:pPr>
            <w:r>
              <w:rPr>
                <w:rFonts w:ascii="Arial" w:cs="Arial" w:eastAsia="Arial" w:hAnsi="Arial"/>
                <w:sz w:val="14"/>
                <w:szCs w:val="14"/>
                <w:color w:val="auto"/>
                <w:w w:val="92"/>
              </w:rPr>
              <w:t>San Francisco, California 94111</w:t>
            </w:r>
          </w:p>
        </w:tc>
        <w:tc>
          <w:tcPr>
            <w:tcW w:w="3960" w:type="dxa"/>
            <w:vAlign w:val="bottom"/>
          </w:tcPr>
          <w:p>
            <w:pPr>
              <w:spacing w:after="0"/>
              <w:rPr>
                <w:sz w:val="15"/>
                <w:szCs w:val="15"/>
                <w:color w:val="auto"/>
              </w:rPr>
            </w:pPr>
          </w:p>
        </w:tc>
        <w:tc>
          <w:tcPr>
            <w:tcW w:w="28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102235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3"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this Registration Statement becomes effective.</w:t>
      </w:r>
    </w:p>
    <w:p>
      <w:pPr>
        <w:spacing w:after="0" w:line="113"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121" w:lineRule="exact"/>
        <w:rPr>
          <w:sz w:val="24"/>
          <w:szCs w:val="24"/>
          <w:color w:val="auto"/>
        </w:rPr>
      </w:pPr>
    </w:p>
    <w:p>
      <w:pPr>
        <w:ind w:right="400" w:firstLine="324"/>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x 333-191282</w:t>
      </w:r>
    </w:p>
    <w:p>
      <w:pPr>
        <w:spacing w:after="0" w:line="79" w:lineRule="exact"/>
        <w:rPr>
          <w:sz w:val="24"/>
          <w:szCs w:val="24"/>
          <w:color w:val="auto"/>
        </w:rPr>
      </w:pPr>
    </w:p>
    <w:p>
      <w:pPr>
        <w:ind w:firstLine="324"/>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79" w:lineRule="exact"/>
        <w:rPr>
          <w:sz w:val="24"/>
          <w:szCs w:val="24"/>
          <w:color w:val="auto"/>
        </w:rPr>
      </w:pPr>
    </w:p>
    <w:p>
      <w:pPr>
        <w:ind w:firstLine="324"/>
        <w:spacing w:after="0" w:line="25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79" w:lineRule="exact"/>
        <w:rPr>
          <w:sz w:val="24"/>
          <w:szCs w:val="24"/>
          <w:color w:val="auto"/>
        </w:rPr>
      </w:pPr>
    </w:p>
    <w:p>
      <w:pPr>
        <w:ind w:right="200" w:firstLine="324"/>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260" w:type="dxa"/>
            <w:vAlign w:val="bottom"/>
          </w:tcPr>
          <w:p>
            <w:pPr>
              <w:jc w:val="center"/>
              <w:ind w:left="1274"/>
              <w:spacing w:after="0"/>
              <w:rPr>
                <w:sz w:val="20"/>
                <w:szCs w:val="20"/>
                <w:color w:val="auto"/>
              </w:rPr>
            </w:pPr>
            <w:r>
              <w:rPr>
                <w:rFonts w:ascii="Arial" w:cs="Arial" w:eastAsia="Arial" w:hAnsi="Arial"/>
                <w:sz w:val="14"/>
                <w:szCs w:val="14"/>
                <w:color w:val="auto"/>
                <w:w w:val="93"/>
              </w:rPr>
              <w:t>Large accelerated filer o</w:t>
            </w: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gridSpan w:val="2"/>
          </w:tcPr>
          <w:p>
            <w:pPr>
              <w:ind w:left="120"/>
              <w:spacing w:after="0"/>
              <w:rPr>
                <w:sz w:val="20"/>
                <w:szCs w:val="20"/>
                <w:color w:val="auto"/>
              </w:rPr>
            </w:pPr>
            <w:r>
              <w:rPr>
                <w:rFonts w:ascii="Arial" w:cs="Arial" w:eastAsia="Arial" w:hAnsi="Arial"/>
                <w:sz w:val="14"/>
                <w:szCs w:val="14"/>
                <w:color w:val="auto"/>
              </w:rPr>
              <w:t>Accelerated filer o</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6"/>
        </w:trPr>
        <w:tc>
          <w:tcPr>
            <w:tcW w:w="20" w:type="dxa"/>
            <w:vAlign w:val="bottom"/>
          </w:tcPr>
          <w:p>
            <w:pPr>
              <w:spacing w:after="0"/>
              <w:rPr>
                <w:sz w:val="20"/>
                <w:szCs w:val="20"/>
                <w:color w:val="auto"/>
              </w:rPr>
            </w:pPr>
          </w:p>
        </w:tc>
        <w:tc>
          <w:tcPr>
            <w:tcW w:w="4260" w:type="dxa"/>
            <w:vAlign w:val="bottom"/>
          </w:tcPr>
          <w:p>
            <w:pPr>
              <w:jc w:val="center"/>
              <w:ind w:left="1254"/>
              <w:spacing w:after="0"/>
              <w:rPr>
                <w:sz w:val="20"/>
                <w:szCs w:val="20"/>
                <w:color w:val="auto"/>
              </w:rPr>
            </w:pPr>
            <w:r>
              <w:rPr>
                <w:rFonts w:ascii="Arial" w:cs="Arial" w:eastAsia="Arial" w:hAnsi="Arial"/>
                <w:sz w:val="14"/>
                <w:szCs w:val="14"/>
                <w:color w:val="auto"/>
                <w:w w:val="95"/>
              </w:rPr>
              <w:t>Non-accelerated filer x</w:t>
            </w: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gridSpan w:val="3"/>
          </w:tcPr>
          <w:p>
            <w:pPr>
              <w:jc w:val="right"/>
              <w:ind w:right="303"/>
              <w:spacing w:after="0"/>
              <w:rPr>
                <w:sz w:val="20"/>
                <w:szCs w:val="20"/>
                <w:color w:val="auto"/>
              </w:rPr>
            </w:pPr>
            <w:r>
              <w:rPr>
                <w:rFonts w:ascii="Arial" w:cs="Arial" w:eastAsia="Arial" w:hAnsi="Arial"/>
                <w:sz w:val="14"/>
                <w:szCs w:val="14"/>
                <w:color w:val="auto"/>
              </w:rPr>
              <w:t>Smaller reporting company o</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4260" w:type="dxa"/>
            <w:vAlign w:val="bottom"/>
          </w:tcPr>
          <w:p>
            <w:pPr>
              <w:jc w:val="center"/>
              <w:ind w:left="1254"/>
              <w:spacing w:after="0"/>
              <w:rPr>
                <w:sz w:val="20"/>
                <w:szCs w:val="20"/>
                <w:color w:val="auto"/>
              </w:rPr>
            </w:pPr>
            <w:r>
              <w:rPr>
                <w:rFonts w:ascii="Arial" w:cs="Arial" w:eastAsia="Arial" w:hAnsi="Arial"/>
                <w:sz w:val="14"/>
                <w:szCs w:val="14"/>
                <w:color w:val="auto"/>
                <w:w w:val="94"/>
              </w:rPr>
              <w:t>(Do not check if a smaller reporting company)</w:t>
            </w: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80" w:type="dxa"/>
            <w:vAlign w:val="bottom"/>
            <w:tcBorders>
              <w:bottom w:val="single" w:sz="8" w:color="auto"/>
            </w:tcBorders>
            <w:gridSpan w:val="2"/>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6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00" w:type="dxa"/>
            <w:vAlign w:val="bottom"/>
            <w:gridSpan w:val="3"/>
          </w:tcPr>
          <w:p>
            <w:pPr>
              <w:ind w:left="60"/>
              <w:spacing w:after="0"/>
              <w:rPr>
                <w:sz w:val="20"/>
                <w:szCs w:val="20"/>
                <w:color w:val="auto"/>
              </w:rPr>
            </w:pPr>
            <w:r>
              <w:rPr>
                <w:rFonts w:ascii="Arial" w:cs="Arial" w:eastAsia="Arial" w:hAnsi="Arial"/>
                <w:sz w:val="14"/>
                <w:szCs w:val="14"/>
                <w:b w:val="1"/>
                <w:bCs w:val="1"/>
                <w:color w:val="auto"/>
              </w:rPr>
              <w:t>CALCULATION OF REGISTRATION FEE</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42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420" w:type="dxa"/>
            <w:vAlign w:val="bottom"/>
            <w:gridSpan w:val="2"/>
          </w:tcPr>
          <w:p>
            <w:pPr>
              <w:jc w:val="center"/>
              <w:ind w:left="423"/>
              <w:spacing w:after="0" w:line="89" w:lineRule="exact"/>
              <w:rPr>
                <w:sz w:val="20"/>
                <w:szCs w:val="20"/>
                <w:color w:val="auto"/>
              </w:rPr>
            </w:pPr>
            <w:r>
              <w:rPr>
                <w:rFonts w:ascii="Arial" w:cs="Arial" w:eastAsia="Arial" w:hAnsi="Arial"/>
                <w:sz w:val="10"/>
                <w:szCs w:val="10"/>
                <w:b w:val="1"/>
                <w:bCs w:val="1"/>
                <w:color w:val="auto"/>
                <w:w w:val="98"/>
              </w:rPr>
              <w:t>Proposed maximum</w:t>
            </w: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20" w:type="dxa"/>
            <w:vAlign w:val="bottom"/>
          </w:tcPr>
          <w:p>
            <w:pPr>
              <w:jc w:val="center"/>
              <w:ind w:right="283"/>
              <w:spacing w:after="0" w:line="89" w:lineRule="exact"/>
              <w:rPr>
                <w:sz w:val="20"/>
                <w:szCs w:val="20"/>
                <w:color w:val="auto"/>
              </w:rPr>
            </w:pPr>
            <w:r>
              <w:rPr>
                <w:rFonts w:ascii="Arial" w:cs="Arial" w:eastAsia="Arial" w:hAnsi="Arial"/>
                <w:sz w:val="10"/>
                <w:szCs w:val="10"/>
                <w:b w:val="1"/>
                <w:bCs w:val="1"/>
                <w:color w:val="auto"/>
                <w:w w:val="98"/>
              </w:rPr>
              <w:t>Proposed maximum</w:t>
            </w:r>
          </w:p>
        </w:tc>
        <w:tc>
          <w:tcPr>
            <w:tcW w:w="380" w:type="dxa"/>
            <w:vAlign w:val="bottom"/>
          </w:tcPr>
          <w:p>
            <w:pPr>
              <w:spacing w:after="0"/>
              <w:rPr>
                <w:sz w:val="7"/>
                <w:szCs w:val="7"/>
                <w:color w:val="auto"/>
              </w:rPr>
            </w:pPr>
          </w:p>
        </w:tc>
        <w:tc>
          <w:tcPr>
            <w:tcW w:w="1220" w:type="dxa"/>
            <w:vAlign w:val="bottom"/>
          </w:tcPr>
          <w:p>
            <w:pPr>
              <w:jc w:val="center"/>
              <w:ind w:right="303"/>
              <w:spacing w:after="0" w:line="89" w:lineRule="exact"/>
              <w:rPr>
                <w:sz w:val="20"/>
                <w:szCs w:val="20"/>
                <w:color w:val="auto"/>
              </w:rPr>
            </w:pPr>
            <w:r>
              <w:rPr>
                <w:rFonts w:ascii="Arial" w:cs="Arial" w:eastAsia="Arial" w:hAnsi="Arial"/>
                <w:sz w:val="10"/>
                <w:szCs w:val="10"/>
                <w:b w:val="1"/>
                <w:bCs w:val="1"/>
                <w:color w:val="auto"/>
                <w:w w:val="99"/>
              </w:rPr>
              <w:t>Amount of</w:t>
            </w:r>
          </w:p>
        </w:tc>
      </w:tr>
      <w:tr>
        <w:trPr>
          <w:trHeight w:val="122"/>
        </w:trPr>
        <w:tc>
          <w:tcPr>
            <w:tcW w:w="20" w:type="dxa"/>
            <w:vAlign w:val="bottom"/>
          </w:tcPr>
          <w:p>
            <w:pPr>
              <w:spacing w:after="0"/>
              <w:rPr>
                <w:sz w:val="10"/>
                <w:szCs w:val="10"/>
                <w:color w:val="auto"/>
              </w:rPr>
            </w:pPr>
          </w:p>
        </w:tc>
        <w:tc>
          <w:tcPr>
            <w:tcW w:w="4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Title of each class of</w:t>
            </w:r>
          </w:p>
        </w:tc>
        <w:tc>
          <w:tcPr>
            <w:tcW w:w="1780" w:type="dxa"/>
            <w:vAlign w:val="bottom"/>
          </w:tcPr>
          <w:p>
            <w:pPr>
              <w:jc w:val="center"/>
              <w:ind w:left="37"/>
              <w:spacing w:after="0" w:line="122" w:lineRule="exact"/>
              <w:rPr>
                <w:sz w:val="20"/>
                <w:szCs w:val="20"/>
                <w:color w:val="auto"/>
              </w:rPr>
            </w:pPr>
            <w:r>
              <w:rPr>
                <w:rFonts w:ascii="Arial" w:cs="Arial" w:eastAsia="Arial" w:hAnsi="Arial"/>
                <w:sz w:val="11"/>
                <w:szCs w:val="11"/>
                <w:b w:val="1"/>
                <w:bCs w:val="1"/>
                <w:color w:val="auto"/>
                <w:w w:val="90"/>
              </w:rPr>
              <w:t>Amount to be</w:t>
            </w:r>
          </w:p>
        </w:tc>
        <w:tc>
          <w:tcPr>
            <w:tcW w:w="1420" w:type="dxa"/>
            <w:vAlign w:val="bottom"/>
            <w:gridSpan w:val="2"/>
          </w:tcPr>
          <w:p>
            <w:pPr>
              <w:jc w:val="center"/>
              <w:ind w:left="423"/>
              <w:spacing w:after="0" w:line="122" w:lineRule="exact"/>
              <w:rPr>
                <w:sz w:val="20"/>
                <w:szCs w:val="20"/>
                <w:color w:val="auto"/>
              </w:rPr>
            </w:pPr>
            <w:r>
              <w:rPr>
                <w:rFonts w:ascii="Arial" w:cs="Arial" w:eastAsia="Arial" w:hAnsi="Arial"/>
                <w:sz w:val="11"/>
                <w:szCs w:val="11"/>
                <w:b w:val="1"/>
                <w:bCs w:val="1"/>
                <w:color w:val="auto"/>
                <w:w w:val="90"/>
              </w:rPr>
              <w:t>offering price per</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Pr>
          <w:p>
            <w:pPr>
              <w:jc w:val="center"/>
              <w:ind w:right="283"/>
              <w:spacing w:after="0" w:line="122" w:lineRule="exact"/>
              <w:rPr>
                <w:sz w:val="20"/>
                <w:szCs w:val="20"/>
                <w:color w:val="auto"/>
              </w:rPr>
            </w:pPr>
            <w:r>
              <w:rPr>
                <w:rFonts w:ascii="Arial" w:cs="Arial" w:eastAsia="Arial" w:hAnsi="Arial"/>
                <w:sz w:val="11"/>
                <w:szCs w:val="11"/>
                <w:b w:val="1"/>
                <w:bCs w:val="1"/>
                <w:color w:val="auto"/>
                <w:w w:val="87"/>
              </w:rPr>
              <w:t>aggregate</w:t>
            </w:r>
          </w:p>
        </w:tc>
        <w:tc>
          <w:tcPr>
            <w:tcW w:w="380" w:type="dxa"/>
            <w:vAlign w:val="bottom"/>
          </w:tcPr>
          <w:p>
            <w:pPr>
              <w:spacing w:after="0"/>
              <w:rPr>
                <w:sz w:val="10"/>
                <w:szCs w:val="10"/>
                <w:color w:val="auto"/>
              </w:rPr>
            </w:pPr>
          </w:p>
        </w:tc>
        <w:tc>
          <w:tcPr>
            <w:tcW w:w="1220" w:type="dxa"/>
            <w:vAlign w:val="bottom"/>
          </w:tcPr>
          <w:p>
            <w:pPr>
              <w:jc w:val="center"/>
              <w:ind w:right="303"/>
              <w:spacing w:after="0" w:line="122" w:lineRule="exact"/>
              <w:rPr>
                <w:sz w:val="20"/>
                <w:szCs w:val="20"/>
                <w:color w:val="auto"/>
              </w:rPr>
            </w:pPr>
            <w:r>
              <w:rPr>
                <w:rFonts w:ascii="Arial" w:cs="Arial" w:eastAsia="Arial" w:hAnsi="Arial"/>
                <w:sz w:val="11"/>
                <w:szCs w:val="11"/>
                <w:b w:val="1"/>
                <w:bCs w:val="1"/>
                <w:color w:val="auto"/>
                <w:w w:val="89"/>
              </w:rPr>
              <w:t>registration</w:t>
            </w:r>
          </w:p>
        </w:tc>
      </w:tr>
      <w:tr>
        <w:trPr>
          <w:trHeight w:val="135"/>
        </w:trPr>
        <w:tc>
          <w:tcPr>
            <w:tcW w:w="20" w:type="dxa"/>
            <w:vAlign w:val="bottom"/>
          </w:tcPr>
          <w:p>
            <w:pPr>
              <w:spacing w:after="0"/>
              <w:rPr>
                <w:sz w:val="11"/>
                <w:szCs w:val="11"/>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securities to be registered</w:t>
            </w:r>
          </w:p>
        </w:tc>
        <w:tc>
          <w:tcPr>
            <w:tcW w:w="1780" w:type="dxa"/>
            <w:vAlign w:val="bottom"/>
            <w:tcBorders>
              <w:bottom w:val="single" w:sz="8" w:color="auto"/>
            </w:tcBorders>
          </w:tcPr>
          <w:p>
            <w:pPr>
              <w:jc w:val="center"/>
              <w:ind w:left="37"/>
              <w:spacing w:after="0"/>
              <w:rPr>
                <w:sz w:val="20"/>
                <w:szCs w:val="20"/>
                <w:color w:val="auto"/>
              </w:rPr>
            </w:pPr>
            <w:r>
              <w:rPr>
                <w:rFonts w:ascii="Arial" w:cs="Arial" w:eastAsia="Arial" w:hAnsi="Arial"/>
                <w:sz w:val="11"/>
                <w:szCs w:val="11"/>
                <w:b w:val="1"/>
                <w:bCs w:val="1"/>
                <w:color w:val="auto"/>
                <w:w w:val="89"/>
              </w:rPr>
              <w:t>registered(1)</w:t>
            </w:r>
          </w:p>
        </w:tc>
        <w:tc>
          <w:tcPr>
            <w:tcW w:w="1420" w:type="dxa"/>
            <w:vAlign w:val="bottom"/>
            <w:tcBorders>
              <w:bottom w:val="single" w:sz="8" w:color="auto"/>
            </w:tcBorders>
            <w:gridSpan w:val="2"/>
          </w:tcPr>
          <w:p>
            <w:pPr>
              <w:jc w:val="center"/>
              <w:ind w:left="423"/>
              <w:spacing w:after="0"/>
              <w:rPr>
                <w:sz w:val="20"/>
                <w:szCs w:val="20"/>
                <w:color w:val="auto"/>
              </w:rPr>
            </w:pPr>
            <w:r>
              <w:rPr>
                <w:rFonts w:ascii="Arial" w:cs="Arial" w:eastAsia="Arial" w:hAnsi="Arial"/>
                <w:sz w:val="11"/>
                <w:szCs w:val="11"/>
                <w:b w:val="1"/>
                <w:bCs w:val="1"/>
                <w:color w:val="auto"/>
                <w:w w:val="88"/>
              </w:rPr>
              <w:t>share</w:t>
            </w: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center"/>
              <w:ind w:right="283"/>
              <w:spacing w:after="0"/>
              <w:rPr>
                <w:sz w:val="20"/>
                <w:szCs w:val="20"/>
                <w:color w:val="auto"/>
              </w:rPr>
            </w:pPr>
            <w:r>
              <w:rPr>
                <w:rFonts w:ascii="Arial" w:cs="Arial" w:eastAsia="Arial" w:hAnsi="Arial"/>
                <w:sz w:val="11"/>
                <w:szCs w:val="11"/>
                <w:b w:val="1"/>
                <w:bCs w:val="1"/>
                <w:color w:val="auto"/>
                <w:w w:val="88"/>
              </w:rPr>
              <w:t>offering price</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283"/>
              <w:spacing w:after="0"/>
              <w:rPr>
                <w:sz w:val="20"/>
                <w:szCs w:val="20"/>
                <w:color w:val="auto"/>
              </w:rPr>
            </w:pPr>
            <w:r>
              <w:rPr>
                <w:rFonts w:ascii="Arial" w:cs="Arial" w:eastAsia="Arial" w:hAnsi="Arial"/>
                <w:sz w:val="11"/>
                <w:szCs w:val="11"/>
                <w:b w:val="1"/>
                <w:bCs w:val="1"/>
                <w:color w:val="auto"/>
                <w:w w:val="86"/>
              </w:rPr>
              <w:t>fee (2)</w:t>
            </w:r>
          </w:p>
        </w:tc>
      </w:tr>
      <w:tr>
        <w:trPr>
          <w:trHeight w:val="142"/>
        </w:trPr>
        <w:tc>
          <w:tcPr>
            <w:tcW w:w="20" w:type="dxa"/>
            <w:vAlign w:val="bottom"/>
            <w:tcBorders>
              <w:bottom w:val="single" w:sz="8" w:color="auto"/>
            </w:tcBorders>
          </w:tcPr>
          <w:p>
            <w:pPr>
              <w:spacing w:after="0"/>
              <w:rPr>
                <w:sz w:val="12"/>
                <w:szCs w:val="12"/>
                <w:color w:val="auto"/>
              </w:rPr>
            </w:pPr>
          </w:p>
        </w:tc>
        <w:tc>
          <w:tcPr>
            <w:tcW w:w="4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17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345,000</w:t>
            </w:r>
          </w:p>
        </w:tc>
        <w:tc>
          <w:tcPr>
            <w:tcW w:w="1100" w:type="dxa"/>
            <w:vAlign w:val="bottom"/>
            <w:tcBorders>
              <w:bottom w:val="single" w:sz="8" w:color="auto"/>
            </w:tcBorders>
          </w:tcPr>
          <w:p>
            <w:pPr>
              <w:jc w:val="right"/>
              <w:ind w:right="823"/>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91"/>
              </w:rPr>
              <w:t>13.00</w:t>
            </w:r>
          </w:p>
        </w:tc>
        <w:tc>
          <w:tcPr>
            <w:tcW w:w="3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3"/>
              <w:spacing w:after="0" w:line="142" w:lineRule="exact"/>
              <w:rPr>
                <w:sz w:val="20"/>
                <w:szCs w:val="20"/>
                <w:color w:val="auto"/>
              </w:rPr>
            </w:pPr>
            <w:r>
              <w:rPr>
                <w:rFonts w:ascii="Arial" w:cs="Arial" w:eastAsia="Arial" w:hAnsi="Arial"/>
                <w:sz w:val="14"/>
                <w:szCs w:val="14"/>
                <w:color w:val="auto"/>
              </w:rPr>
              <w:t>4,485,000</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3"/>
              <w:spacing w:after="0" w:line="142" w:lineRule="exact"/>
              <w:rPr>
                <w:sz w:val="20"/>
                <w:szCs w:val="20"/>
                <w:color w:val="auto"/>
              </w:rPr>
            </w:pPr>
            <w:r>
              <w:rPr>
                <w:rFonts w:ascii="Arial" w:cs="Arial" w:eastAsia="Arial" w:hAnsi="Arial"/>
                <w:sz w:val="14"/>
                <w:szCs w:val="14"/>
                <w:color w:val="auto"/>
              </w:rPr>
              <w:t>577.67</w:t>
            </w:r>
          </w:p>
        </w:tc>
      </w:tr>
    </w:tbl>
    <w:p>
      <w:pPr>
        <w:spacing w:after="0" w:line="8" w:lineRule="exact"/>
        <w:rPr>
          <w:sz w:val="24"/>
          <w:szCs w:val="24"/>
          <w:color w:val="auto"/>
        </w:rPr>
      </w:pPr>
    </w:p>
    <w:p>
      <w:pPr>
        <w:ind w:left="340" w:right="560" w:hanging="332"/>
        <w:spacing w:after="0" w:line="227" w:lineRule="auto"/>
        <w:tabs>
          <w:tab w:leader="none" w:pos="319"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only the additional number of shares of the Registrant’s common stock being registered and includes shares that the underwriters have the option to purchase to cover over-allotments, if any. Does not include the securities that the Registrant previously registered on the Registration Statement on Form S-1, as amended (File No. 333-191282) (the “Prior Registration Statement”), which was declared effective by the Securities and Exchange Commission on October 29, 2013.</w:t>
      </w:r>
    </w:p>
    <w:p>
      <w:pPr>
        <w:ind w:left="340" w:right="300" w:hanging="332"/>
        <w:spacing w:after="0" w:line="255" w:lineRule="auto"/>
        <w:tabs>
          <w:tab w:leader="none" w:pos="319"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in accordance with Rule 457(a) under the Securities Act of 1933 (the “Securities Act”), based on the proposed maximum aggregate offering price. The Registrant previously registered 5,405,000 shares of its common stock pursuant to the Prior Registration Statement. In accordance with Rule 462(b) under the Securities Act, an additional 345,000 shares of the Registrant’s common stock are being registered, which includes 45,000 shares that the underwriters have the option to purchase to cover over-allotments,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113030</wp:posOffset>
            </wp:positionV>
            <wp:extent cx="1775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52"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This Registration Statement shall become effective upon filing with the Securities and Exchange Commission in accordance with Rule 462(b)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This Registration Statement on Form S-1 is being filed with the Securities and Exchange Commission (the “Commission”) pursuant to</w:t>
      </w:r>
    </w:p>
    <w:p>
      <w:pPr>
        <w:spacing w:after="0" w:line="23"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Rule 462(b) under the Securities Act of 1933 by Veracyte, Inc. (the “Registrant”). This Registration Statement incorporates by reference the contents of,</w:t>
      </w:r>
    </w:p>
    <w:p>
      <w:pPr>
        <w:sectPr>
          <w:pgSz w:w="11900" w:h="16838" w:orient="portrait"/>
          <w:cols w:equalWidth="0" w:num="1">
            <w:col w:w="11420"/>
          </w:cols>
          <w:pgMar w:left="240" w:top="265" w:right="239" w:bottom="0" w:gutter="0" w:footer="0" w:header="0"/>
        </w:sectPr>
      </w:pPr>
    </w:p>
    <w:bookmarkStart w:id="1" w:name="page2"/>
    <w:bookmarkEnd w:id="1"/>
    <w:p>
      <w:pPr>
        <w:ind w:right="280"/>
        <w:spacing w:after="0" w:line="282" w:lineRule="auto"/>
        <w:rPr>
          <w:sz w:val="20"/>
          <w:szCs w:val="20"/>
          <w:color w:val="auto"/>
        </w:rPr>
      </w:pPr>
      <w:r>
        <w:rPr>
          <w:rFonts w:ascii="Arial" w:cs="Arial" w:eastAsia="Arial" w:hAnsi="Arial"/>
          <w:sz w:val="18"/>
          <w:szCs w:val="18"/>
          <w:color w:val="auto"/>
        </w:rPr>
        <w:t>including all exhibits, the Registrant</w:t>
      </w:r>
      <w:r>
        <w:rPr>
          <w:rFonts w:ascii="Arial" w:cs="Arial" w:eastAsia="Arial" w:hAnsi="Arial"/>
          <w:sz w:val="18"/>
          <w:szCs w:val="18"/>
          <w:b w:val="1"/>
          <w:bCs w:val="1"/>
          <w:color w:val="auto"/>
        </w:rPr>
        <w:t>’</w:t>
      </w:r>
      <w:r>
        <w:rPr>
          <w:rFonts w:ascii="Arial" w:cs="Arial" w:eastAsia="Arial" w:hAnsi="Arial"/>
          <w:sz w:val="18"/>
          <w:szCs w:val="18"/>
          <w:color w:val="auto"/>
        </w:rPr>
        <w:t>s Registration Statement on Form S-1, as amended (File No. 333-191282) (the “Prior Registration Statement”), which was declared effected by the Commission on October 29, 2013.</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Registrant is filing this Registration Statement for the sole purpose of increasing the aggregate number of shares of common stock offered by the Registrant by 345,000 shares, which includes 45,000 shares of common stock that the underwriters have the option to purchase to cover over-allotments, if any.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the 30th day of October, 2013.</w:t>
      </w:r>
    </w:p>
    <w:p>
      <w:pPr>
        <w:spacing w:after="0" w:line="170"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VERACYTE, INC.</w:t>
            </w:r>
          </w:p>
        </w:tc>
        <w:tc>
          <w:tcPr>
            <w:tcW w:w="3900" w:type="dxa"/>
            <w:vAlign w:val="bottom"/>
          </w:tcPr>
          <w:p>
            <w:pPr>
              <w:spacing w:after="0"/>
              <w:rPr>
                <w:sz w:val="20"/>
                <w:szCs w:val="20"/>
                <w:color w:val="auto"/>
              </w:rPr>
            </w:pPr>
          </w:p>
        </w:tc>
      </w:tr>
      <w:tr>
        <w:trPr>
          <w:trHeight w:val="432"/>
        </w:trPr>
        <w:tc>
          <w:tcPr>
            <w:tcW w:w="1800" w:type="dxa"/>
            <w:vAlign w:val="bottom"/>
            <w:gridSpan w:val="2"/>
          </w:tcPr>
          <w:p>
            <w:pPr>
              <w:spacing w:after="0"/>
              <w:rPr>
                <w:sz w:val="20"/>
                <w:szCs w:val="20"/>
                <w:color w:val="auto"/>
              </w:rPr>
            </w:pPr>
            <w:r>
              <w:rPr>
                <w:rFonts w:ascii="Arial" w:cs="Arial" w:eastAsia="Arial" w:hAnsi="Arial"/>
                <w:sz w:val="18"/>
                <w:szCs w:val="18"/>
                <w:color w:val="auto"/>
              </w:rPr>
              <w:t>By</w:t>
            </w:r>
          </w:p>
        </w:tc>
        <w:tc>
          <w:tcPr>
            <w:tcW w:w="3900" w:type="dxa"/>
            <w:vAlign w:val="bottom"/>
          </w:tcPr>
          <w:p>
            <w:pPr>
              <w:jc w:val="center"/>
              <w:ind w:right="1270"/>
              <w:spacing w:after="0"/>
              <w:rPr>
                <w:sz w:val="20"/>
                <w:szCs w:val="20"/>
                <w:color w:val="auto"/>
              </w:rPr>
            </w:pPr>
            <w:r>
              <w:rPr>
                <w:rFonts w:ascii="Arial" w:cs="Arial" w:eastAsia="Arial" w:hAnsi="Arial"/>
                <w:sz w:val="18"/>
                <w:szCs w:val="18"/>
                <w:color w:val="auto"/>
                <w:w w:val="91"/>
              </w:rPr>
              <w:t>/s/ Shelly D. Guyer</w:t>
            </w:r>
          </w:p>
        </w:tc>
      </w:tr>
      <w:tr>
        <w:trPr>
          <w:trHeight w:val="191"/>
        </w:trPr>
        <w:tc>
          <w:tcPr>
            <w:tcW w:w="44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jc w:val="center"/>
              <w:ind w:right="1270"/>
              <w:spacing w:after="0" w:line="191" w:lineRule="exact"/>
              <w:rPr>
                <w:sz w:val="20"/>
                <w:szCs w:val="20"/>
                <w:color w:val="auto"/>
              </w:rPr>
            </w:pPr>
            <w:r>
              <w:rPr>
                <w:rFonts w:ascii="Arial" w:cs="Arial" w:eastAsia="Arial" w:hAnsi="Arial"/>
                <w:sz w:val="18"/>
                <w:szCs w:val="18"/>
                <w:b w:val="1"/>
                <w:bCs w:val="1"/>
                <w:color w:val="auto"/>
                <w:w w:val="91"/>
              </w:rPr>
              <w:t>Shelly D. Guyer</w:t>
            </w:r>
          </w:p>
        </w:tc>
      </w:tr>
      <w:tr>
        <w:trPr>
          <w:trHeight w:val="234"/>
        </w:trPr>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9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jc w:val="center"/>
              <w:ind w:right="1271"/>
              <w:spacing w:after="0"/>
              <w:rPr>
                <w:sz w:val="20"/>
                <w:szCs w:val="20"/>
                <w:color w:val="auto"/>
              </w:rPr>
            </w:pPr>
            <w:r>
              <w:rPr>
                <w:rFonts w:ascii="Arial" w:cs="Arial" w:eastAsia="Arial" w:hAnsi="Arial"/>
                <w:sz w:val="14"/>
                <w:szCs w:val="14"/>
                <w:b w:val="1"/>
                <w:bCs w:val="1"/>
                <w:color w:val="auto"/>
                <w:w w:val="94"/>
              </w:rPr>
              <w:t>Name</w:t>
            </w:r>
          </w:p>
        </w:tc>
        <w:tc>
          <w:tcPr>
            <w:tcW w:w="320" w:type="dxa"/>
            <w:vAlign w:val="bottom"/>
          </w:tcPr>
          <w:p>
            <w:pPr>
              <w:spacing w:after="0"/>
              <w:rPr>
                <w:sz w:val="14"/>
                <w:szCs w:val="14"/>
                <w:color w:val="auto"/>
              </w:rPr>
            </w:pPr>
          </w:p>
        </w:tc>
        <w:tc>
          <w:tcPr>
            <w:tcW w:w="434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4"/>
                <w:szCs w:val="14"/>
                <w:color w:val="auto"/>
              </w:rPr>
            </w:pPr>
          </w:p>
        </w:tc>
        <w:tc>
          <w:tcPr>
            <w:tcW w:w="22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6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571"/>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President, Chief Executive Officer (Principal Executive</w:t>
            </w:r>
          </w:p>
        </w:tc>
        <w:tc>
          <w:tcPr>
            <w:tcW w:w="2300" w:type="dxa"/>
            <w:vAlign w:val="bottom"/>
            <w:gridSpan w:val="2"/>
          </w:tcPr>
          <w:p>
            <w:pPr>
              <w:ind w:left="1000"/>
              <w:spacing w:after="0"/>
              <w:rPr>
                <w:sz w:val="20"/>
                <w:szCs w:val="20"/>
                <w:color w:val="auto"/>
              </w:rPr>
            </w:pPr>
            <w:r>
              <w:rPr>
                <w:rFonts w:ascii="Arial" w:cs="Arial" w:eastAsia="Arial" w:hAnsi="Arial"/>
                <w:sz w:val="18"/>
                <w:szCs w:val="18"/>
                <w:color w:val="auto"/>
                <w:w w:val="91"/>
              </w:rPr>
              <w:t>October 30, 2013</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80" w:type="dxa"/>
            <w:vAlign w:val="bottom"/>
            <w:gridSpan w:val="2"/>
          </w:tcPr>
          <w:p>
            <w:pPr>
              <w:jc w:val="center"/>
              <w:ind w:right="991"/>
              <w:spacing w:after="0"/>
              <w:rPr>
                <w:sz w:val="20"/>
                <w:szCs w:val="20"/>
                <w:color w:val="auto"/>
              </w:rPr>
            </w:pPr>
            <w:r>
              <w:rPr>
                <w:rFonts w:ascii="Arial" w:cs="Arial" w:eastAsia="Arial" w:hAnsi="Arial"/>
                <w:sz w:val="18"/>
                <w:szCs w:val="18"/>
                <w:color w:val="auto"/>
                <w:w w:val="91"/>
              </w:rPr>
              <w:t>Bonnie H. Anderson</w:t>
            </w:r>
          </w:p>
        </w:tc>
        <w:tc>
          <w:tcPr>
            <w:tcW w:w="320" w:type="dxa"/>
            <w:vAlign w:val="bottom"/>
          </w:tcPr>
          <w:p>
            <w:pPr>
              <w:spacing w:after="0"/>
              <w:rPr>
                <w:sz w:val="19"/>
                <w:szCs w:val="19"/>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Officer) and Director</w:t>
            </w: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1291"/>
              <w:spacing w:after="0"/>
              <w:rPr>
                <w:sz w:val="20"/>
                <w:szCs w:val="20"/>
                <w:color w:val="auto"/>
              </w:rPr>
            </w:pPr>
            <w:r>
              <w:rPr>
                <w:rFonts w:ascii="Arial" w:cs="Arial" w:eastAsia="Arial" w:hAnsi="Arial"/>
                <w:sz w:val="18"/>
                <w:szCs w:val="18"/>
                <w:color w:val="auto"/>
                <w:w w:val="91"/>
              </w:rPr>
              <w:t>/s/ Shelly D. Guyer</w:t>
            </w: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Chief Financial Officer (Principal Financial and Accounting</w:t>
            </w:r>
          </w:p>
        </w:tc>
        <w:tc>
          <w:tcPr>
            <w:tcW w:w="2300" w:type="dxa"/>
            <w:vAlign w:val="bottom"/>
            <w:gridSpan w:val="2"/>
          </w:tcPr>
          <w:p>
            <w:pPr>
              <w:ind w:left="1000"/>
              <w:spacing w:after="0"/>
              <w:rPr>
                <w:sz w:val="20"/>
                <w:szCs w:val="20"/>
                <w:color w:val="auto"/>
              </w:rPr>
            </w:pPr>
            <w:r>
              <w:rPr>
                <w:rFonts w:ascii="Arial" w:cs="Arial" w:eastAsia="Arial" w:hAnsi="Arial"/>
                <w:sz w:val="18"/>
                <w:szCs w:val="18"/>
                <w:color w:val="auto"/>
                <w:w w:val="91"/>
              </w:rPr>
              <w:t>October 30, 2013</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jc w:val="center"/>
              <w:ind w:right="1291"/>
              <w:spacing w:after="0"/>
              <w:rPr>
                <w:sz w:val="20"/>
                <w:szCs w:val="20"/>
                <w:color w:val="auto"/>
              </w:rPr>
            </w:pPr>
            <w:r>
              <w:rPr>
                <w:rFonts w:ascii="Arial" w:cs="Arial" w:eastAsia="Arial" w:hAnsi="Arial"/>
                <w:sz w:val="18"/>
                <w:szCs w:val="18"/>
                <w:color w:val="auto"/>
                <w:w w:val="93"/>
              </w:rPr>
              <w:t>Shelly D. Guyer</w:t>
            </w:r>
          </w:p>
        </w:tc>
        <w:tc>
          <w:tcPr>
            <w:tcW w:w="320" w:type="dxa"/>
            <w:vAlign w:val="bottom"/>
          </w:tcPr>
          <w:p>
            <w:pPr>
              <w:spacing w:after="0"/>
              <w:rPr>
                <w:sz w:val="19"/>
                <w:szCs w:val="19"/>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Officer)</w:t>
            </w: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571"/>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Chairman of Board of Directors</w:t>
            </w:r>
          </w:p>
        </w:tc>
        <w:tc>
          <w:tcPr>
            <w:tcW w:w="2300" w:type="dxa"/>
            <w:vAlign w:val="bottom"/>
            <w:gridSpan w:val="2"/>
          </w:tcPr>
          <w:p>
            <w:pPr>
              <w:ind w:left="1000"/>
              <w:spacing w:after="0"/>
              <w:rPr>
                <w:sz w:val="20"/>
                <w:szCs w:val="20"/>
                <w:color w:val="auto"/>
              </w:rPr>
            </w:pPr>
            <w:r>
              <w:rPr>
                <w:rFonts w:ascii="Arial" w:cs="Arial" w:eastAsia="Arial" w:hAnsi="Arial"/>
                <w:sz w:val="18"/>
                <w:szCs w:val="18"/>
                <w:color w:val="auto"/>
                <w:w w:val="91"/>
              </w:rPr>
              <w:t>October 30, 2013</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jc w:val="center"/>
              <w:ind w:right="1271"/>
              <w:spacing w:after="0"/>
              <w:rPr>
                <w:sz w:val="20"/>
                <w:szCs w:val="20"/>
                <w:color w:val="auto"/>
              </w:rPr>
            </w:pPr>
            <w:r>
              <w:rPr>
                <w:rFonts w:ascii="Arial" w:cs="Arial" w:eastAsia="Arial" w:hAnsi="Arial"/>
                <w:sz w:val="18"/>
                <w:szCs w:val="18"/>
                <w:color w:val="auto"/>
                <w:w w:val="94"/>
              </w:rPr>
              <w:t>Brian G. Atwood</w:t>
            </w:r>
          </w:p>
        </w:tc>
        <w:tc>
          <w:tcPr>
            <w:tcW w:w="3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571"/>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1000"/>
              <w:spacing w:after="0"/>
              <w:rPr>
                <w:sz w:val="20"/>
                <w:szCs w:val="20"/>
                <w:color w:val="auto"/>
              </w:rPr>
            </w:pPr>
            <w:r>
              <w:rPr>
                <w:rFonts w:ascii="Arial" w:cs="Arial" w:eastAsia="Arial" w:hAnsi="Arial"/>
                <w:sz w:val="18"/>
                <w:szCs w:val="18"/>
                <w:color w:val="auto"/>
                <w:w w:val="91"/>
              </w:rPr>
              <w:t>October 30, 2013</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jc w:val="center"/>
              <w:ind w:right="1291"/>
              <w:spacing w:after="0"/>
              <w:rPr>
                <w:sz w:val="20"/>
                <w:szCs w:val="20"/>
                <w:color w:val="auto"/>
              </w:rPr>
            </w:pPr>
            <w:r>
              <w:rPr>
                <w:rFonts w:ascii="Arial" w:cs="Arial" w:eastAsia="Arial" w:hAnsi="Arial"/>
                <w:sz w:val="18"/>
                <w:szCs w:val="18"/>
                <w:color w:val="auto"/>
                <w:w w:val="94"/>
              </w:rPr>
              <w:t>Brook H. Byers</w:t>
            </w:r>
          </w:p>
        </w:tc>
        <w:tc>
          <w:tcPr>
            <w:tcW w:w="3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571"/>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1000"/>
              <w:spacing w:after="0"/>
              <w:rPr>
                <w:sz w:val="20"/>
                <w:szCs w:val="20"/>
                <w:color w:val="auto"/>
              </w:rPr>
            </w:pPr>
            <w:r>
              <w:rPr>
                <w:rFonts w:ascii="Arial" w:cs="Arial" w:eastAsia="Arial" w:hAnsi="Arial"/>
                <w:sz w:val="18"/>
                <w:szCs w:val="18"/>
                <w:color w:val="auto"/>
                <w:w w:val="91"/>
              </w:rPr>
              <w:t>October 30, 2013</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3520" w:type="dxa"/>
            <w:vAlign w:val="bottom"/>
            <w:gridSpan w:val="3"/>
          </w:tcPr>
          <w:p>
            <w:pPr>
              <w:jc w:val="center"/>
              <w:ind w:right="551"/>
              <w:spacing w:after="0"/>
              <w:rPr>
                <w:sz w:val="20"/>
                <w:szCs w:val="20"/>
                <w:color w:val="auto"/>
              </w:rPr>
            </w:pPr>
            <w:r>
              <w:rPr>
                <w:rFonts w:ascii="Arial" w:cs="Arial" w:eastAsia="Arial" w:hAnsi="Arial"/>
                <w:sz w:val="18"/>
                <w:szCs w:val="18"/>
                <w:color w:val="auto"/>
                <w:w w:val="92"/>
              </w:rPr>
              <w:t>Fred E. Cohen, M.D., D.Phil.</w:t>
            </w:r>
          </w:p>
        </w:tc>
        <w:tc>
          <w:tcPr>
            <w:tcW w:w="3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571"/>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1000"/>
              <w:spacing w:after="0"/>
              <w:rPr>
                <w:sz w:val="20"/>
                <w:szCs w:val="20"/>
                <w:color w:val="auto"/>
              </w:rPr>
            </w:pPr>
            <w:r>
              <w:rPr>
                <w:rFonts w:ascii="Arial" w:cs="Arial" w:eastAsia="Arial" w:hAnsi="Arial"/>
                <w:sz w:val="18"/>
                <w:szCs w:val="18"/>
                <w:color w:val="auto"/>
                <w:w w:val="91"/>
              </w:rPr>
              <w:t>October 30, 2013</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jc w:val="center"/>
              <w:ind w:right="1271"/>
              <w:spacing w:after="0"/>
              <w:rPr>
                <w:sz w:val="20"/>
                <w:szCs w:val="20"/>
                <w:color w:val="auto"/>
              </w:rPr>
            </w:pPr>
            <w:r>
              <w:rPr>
                <w:rFonts w:ascii="Arial" w:cs="Arial" w:eastAsia="Arial" w:hAnsi="Arial"/>
                <w:sz w:val="18"/>
                <w:szCs w:val="18"/>
                <w:color w:val="auto"/>
                <w:w w:val="91"/>
              </w:rPr>
              <w:t>Samuel D. Colella</w:t>
            </w:r>
          </w:p>
        </w:tc>
        <w:tc>
          <w:tcPr>
            <w:tcW w:w="3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571"/>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1000"/>
              <w:spacing w:after="0"/>
              <w:rPr>
                <w:sz w:val="20"/>
                <w:szCs w:val="20"/>
                <w:color w:val="auto"/>
              </w:rPr>
            </w:pPr>
            <w:r>
              <w:rPr>
                <w:rFonts w:ascii="Arial" w:cs="Arial" w:eastAsia="Arial" w:hAnsi="Arial"/>
                <w:sz w:val="18"/>
                <w:szCs w:val="18"/>
                <w:color w:val="auto"/>
                <w:w w:val="91"/>
              </w:rPr>
              <w:t>October 30, 2013</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jc w:val="center"/>
              <w:ind w:right="1271"/>
              <w:spacing w:after="0"/>
              <w:rPr>
                <w:sz w:val="20"/>
                <w:szCs w:val="20"/>
                <w:color w:val="auto"/>
              </w:rPr>
            </w:pPr>
            <w:r>
              <w:rPr>
                <w:rFonts w:ascii="Arial" w:cs="Arial" w:eastAsia="Arial" w:hAnsi="Arial"/>
                <w:sz w:val="18"/>
                <w:szCs w:val="18"/>
                <w:color w:val="auto"/>
                <w:w w:val="91"/>
              </w:rPr>
              <w:t>Karin Eastham</w:t>
            </w:r>
          </w:p>
        </w:tc>
        <w:tc>
          <w:tcPr>
            <w:tcW w:w="3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571"/>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1000"/>
              <w:spacing w:after="0"/>
              <w:rPr>
                <w:sz w:val="20"/>
                <w:szCs w:val="20"/>
                <w:color w:val="auto"/>
              </w:rPr>
            </w:pPr>
            <w:r>
              <w:rPr>
                <w:rFonts w:ascii="Arial" w:cs="Arial" w:eastAsia="Arial" w:hAnsi="Arial"/>
                <w:sz w:val="18"/>
                <w:szCs w:val="18"/>
                <w:color w:val="auto"/>
                <w:w w:val="91"/>
              </w:rPr>
              <w:t>October 30, 2013</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jc w:val="center"/>
              <w:ind w:right="1291"/>
              <w:spacing w:after="0"/>
              <w:rPr>
                <w:sz w:val="20"/>
                <w:szCs w:val="20"/>
                <w:color w:val="auto"/>
              </w:rPr>
            </w:pPr>
            <w:r>
              <w:rPr>
                <w:rFonts w:ascii="Arial" w:cs="Arial" w:eastAsia="Arial" w:hAnsi="Arial"/>
                <w:sz w:val="18"/>
                <w:szCs w:val="18"/>
                <w:color w:val="auto"/>
                <w:w w:val="87"/>
              </w:rPr>
              <w:t>Evan Jones</w:t>
            </w:r>
          </w:p>
        </w:tc>
        <w:tc>
          <w:tcPr>
            <w:tcW w:w="3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571"/>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1000"/>
              <w:spacing w:after="0"/>
              <w:rPr>
                <w:sz w:val="20"/>
                <w:szCs w:val="20"/>
                <w:color w:val="auto"/>
              </w:rPr>
            </w:pPr>
            <w:r>
              <w:rPr>
                <w:rFonts w:ascii="Arial" w:cs="Arial" w:eastAsia="Arial" w:hAnsi="Arial"/>
                <w:sz w:val="18"/>
                <w:szCs w:val="18"/>
                <w:color w:val="auto"/>
                <w:w w:val="91"/>
              </w:rPr>
              <w:t>October 30, 2013</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jc w:val="center"/>
              <w:ind w:right="1271"/>
              <w:spacing w:after="0"/>
              <w:rPr>
                <w:sz w:val="20"/>
                <w:szCs w:val="20"/>
                <w:color w:val="auto"/>
              </w:rPr>
            </w:pPr>
            <w:r>
              <w:rPr>
                <w:rFonts w:ascii="Arial" w:cs="Arial" w:eastAsia="Arial" w:hAnsi="Arial"/>
                <w:sz w:val="18"/>
                <w:szCs w:val="18"/>
                <w:color w:val="auto"/>
                <w:w w:val="87"/>
              </w:rPr>
              <w:t>Jesse I. Treu, Ph.D.</w:t>
            </w:r>
          </w:p>
        </w:tc>
        <w:tc>
          <w:tcPr>
            <w:tcW w:w="3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631"/>
              <w:spacing w:after="0"/>
              <w:rPr>
                <w:sz w:val="20"/>
                <w:szCs w:val="20"/>
                <w:color w:val="auto"/>
              </w:rPr>
            </w:pPr>
            <w:r>
              <w:rPr>
                <w:rFonts w:ascii="Arial" w:cs="Arial" w:eastAsia="Arial" w:hAnsi="Arial"/>
                <w:sz w:val="18"/>
                <w:szCs w:val="18"/>
                <w:color w:val="auto"/>
                <w:w w:val="93"/>
              </w:rPr>
              <w:t>/s/ Shelly D. Guyer</w:t>
            </w:r>
          </w:p>
        </w:tc>
        <w:tc>
          <w:tcPr>
            <w:tcW w:w="3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tcPr>
          <w:p>
            <w:pPr>
              <w:jc w:val="center"/>
              <w:ind w:right="631"/>
              <w:spacing w:after="0" w:line="195" w:lineRule="exact"/>
              <w:rPr>
                <w:sz w:val="20"/>
                <w:szCs w:val="20"/>
                <w:color w:val="auto"/>
              </w:rPr>
            </w:pPr>
            <w:r>
              <w:rPr>
                <w:rFonts w:ascii="Arial" w:cs="Arial" w:eastAsia="Arial" w:hAnsi="Arial"/>
                <w:sz w:val="18"/>
                <w:szCs w:val="18"/>
                <w:color w:val="auto"/>
                <w:w w:val="91"/>
              </w:rPr>
              <w:t>Shelly D. Guyer</w:t>
            </w:r>
          </w:p>
        </w:tc>
        <w:tc>
          <w:tcPr>
            <w:tcW w:w="3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center"/>
              <w:ind w:right="631"/>
              <w:spacing w:after="0"/>
              <w:rPr>
                <w:sz w:val="20"/>
                <w:szCs w:val="20"/>
                <w:color w:val="auto"/>
              </w:rPr>
            </w:pPr>
            <w:r>
              <w:rPr>
                <w:rFonts w:ascii="Arial" w:cs="Arial" w:eastAsia="Arial" w:hAnsi="Arial"/>
                <w:sz w:val="18"/>
                <w:szCs w:val="18"/>
                <w:color w:val="auto"/>
                <w:w w:val="93"/>
              </w:rPr>
              <w:t>Attorney-in-Fact</w:t>
            </w:r>
          </w:p>
        </w:tc>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660" w:type="dxa"/>
            <w:vAlign w:val="bottom"/>
            <w:gridSpan w:val="2"/>
          </w:tcPr>
          <w:p>
            <w:pPr>
              <w:jc w:val="right"/>
              <w:ind w:right="2997"/>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60" w:type="dxa"/>
            <w:vAlign w:val="bottom"/>
            <w:tcBorders>
              <w:bottom w:val="single" w:sz="8" w:color="010101"/>
            </w:tcBorders>
          </w:tcPr>
          <w:p>
            <w:pPr>
              <w:spacing w:after="0"/>
              <w:rPr>
                <w:sz w:val="10"/>
                <w:szCs w:val="10"/>
                <w:color w:val="auto"/>
              </w:rPr>
            </w:pPr>
          </w:p>
        </w:tc>
        <w:tc>
          <w:tcPr>
            <w:tcW w:w="44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2800" w:type="dxa"/>
            <w:vAlign w:val="bottom"/>
            <w:tcBorders>
              <w:bottom w:val="single" w:sz="8" w:color="010101"/>
            </w:tcBorders>
          </w:tcPr>
          <w:p>
            <w:pPr>
              <w:spacing w:after="0"/>
              <w:rPr>
                <w:sz w:val="10"/>
                <w:szCs w:val="10"/>
                <w:color w:val="auto"/>
              </w:rPr>
            </w:pPr>
          </w:p>
        </w:tc>
        <w:tc>
          <w:tcPr>
            <w:tcW w:w="320" w:type="dxa"/>
            <w:vAlign w:val="bottom"/>
            <w:tcBorders>
              <w:bottom w:val="single" w:sz="8" w:color="010101"/>
            </w:tcBorders>
          </w:tcPr>
          <w:p>
            <w:pPr>
              <w:spacing w:after="0"/>
              <w:rPr>
                <w:sz w:val="10"/>
                <w:szCs w:val="10"/>
                <w:color w:val="auto"/>
              </w:rPr>
            </w:pPr>
          </w:p>
        </w:tc>
        <w:tc>
          <w:tcPr>
            <w:tcW w:w="4660" w:type="dxa"/>
            <w:vAlign w:val="bottom"/>
            <w:tcBorders>
              <w:bottom w:val="single" w:sz="8" w:color="010101"/>
            </w:tcBorders>
            <w:gridSpan w:val="2"/>
          </w:tcPr>
          <w:p>
            <w:pPr>
              <w:spacing w:after="0"/>
              <w:rPr>
                <w:sz w:val="10"/>
                <w:szCs w:val="10"/>
                <w:color w:val="auto"/>
              </w:rPr>
            </w:pPr>
          </w:p>
        </w:tc>
        <w:tc>
          <w:tcPr>
            <w:tcW w:w="226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767"/>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6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rPr>
              <w:t>EXHIBIT INDEX</w:t>
            </w: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6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gridSpan w:val="2"/>
            <w:vMerge w:val="continue"/>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660" w:type="dxa"/>
            <w:vAlign w:val="bottom"/>
          </w:tcPr>
          <w:p>
            <w:pPr>
              <w:ind w:left="14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Opinion of Pillsbury Winthrop Shaw Pittman LLP.</w:t>
            </w: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ind w:left="140"/>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ind w:left="140"/>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Consent of Pillsbury Winthrop Shaw Pittman LLP (included in Exhibit 5.1).</w:t>
            </w: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ind w:left="140"/>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Power of Attorney.</w:t>
            </w:r>
          </w:p>
        </w:tc>
        <w:tc>
          <w:tcPr>
            <w:tcW w:w="3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-1905000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-1905000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 w:name="page3"/>
    <w:bookmarkEnd w:id="2"/>
    <w:p>
      <w:pPr>
        <w:ind w:left="-8" w:right="2599" w:firstLine="8"/>
        <w:spacing w:after="0" w:line="501" w:lineRule="auto"/>
        <w:tabs>
          <w:tab w:leader="none" w:pos="127"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as Exhibit 5.1 to the Prior Registration Statement and incorporated by reference herein. ** Previously filed on the signature page to the Prior Registration Statement.</w:t>
      </w:r>
    </w:p>
    <w:p>
      <w:pPr>
        <w:ind w:left="56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1"/>
          </w:cols>
          <w:pgMar w:left="248" w:top="12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incorporation by reference in this Registration Statement on Form S-1 filed pursuant to Rule 462(b) of the Securities Act of 1933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report dated August 12, 2013, except for the effects of the reverse stock split described in Note 1 to the financial statements, as to which the date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9, 2013, relating to the financial statements of Veracyte, Inc., which appears in Amendment No. 4 to Registration Statement on Form S-1 (No. 333-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191282). We also consent to the reference to us under the heading “Experts” in Amendment No. 4 to the Registration Statement on Form S-1 (No. 333-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191282) incorporated by reference in this Registration Statement.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2019-12-07T14:35:37Z</dcterms:created>
  <dcterms:modified xsi:type="dcterms:W3CDTF">2019-12-07T14:35:37Z</dcterms:modified>
</cp:coreProperties>
</file>