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333-231173</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6,900,000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$207,000,000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$26,868.60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900,000 shares that may be purchased by the underwriters upon exercise of the underwriters’ option to purchase additional shares.</w:t>
      </w:r>
    </w:p>
    <w:p>
      <w:pPr>
        <w:spacing w:after="0" w:line="34" w:lineRule="exact"/>
        <w:rPr>
          <w:rFonts w:ascii="Arial" w:cs="Arial" w:eastAsia="Arial" w:hAnsi="Arial"/>
          <w:sz w:val="17"/>
          <w:szCs w:val="17"/>
          <w:color w:val="auto"/>
        </w:rPr>
      </w:pPr>
    </w:p>
    <w:p>
      <w:pPr>
        <w:ind w:left="540" w:right="28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and being paid pursuant to Rule 457(r) under the Securities Act of 1933, as amended, and relates to the Registration Statement on Form S-3ASR (File No. 333-231173) filed by the Registrant on May 2, 2019.</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Prospectus dated May 2, 2019)</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2372995</wp:posOffset>
            </wp:positionV>
            <wp:extent cx="6995160" cy="1534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43"/>
          <w:szCs w:val="43"/>
          <w:b w:val="1"/>
          <w:bCs w:val="1"/>
          <w:color w:val="auto"/>
        </w:rPr>
        <w:t>Veracyte, Inc.</w:t>
      </w: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Common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6,000,000 shares of our common stock.</w:t>
      </w:r>
    </w:p>
    <w:p>
      <w:pPr>
        <w:spacing w:after="0" w:line="19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August 4, 2020, the last reported sale price of our shares of common stock on The Nasdaq Global Market was $32.21 per share.</w:t>
      </w:r>
    </w:p>
    <w:p>
      <w:pPr>
        <w:spacing w:after="0" w:line="117" w:lineRule="exact"/>
        <w:rPr>
          <w:sz w:val="20"/>
          <w:szCs w:val="20"/>
          <w:color w:val="auto"/>
        </w:rPr>
      </w:pPr>
    </w:p>
    <w:p>
      <w:pPr>
        <w:ind w:left="120" w:right="6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Per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180,000,000.00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10,800,000.00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169,200,000.00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080" w:hanging="533"/>
        <w:spacing w:after="0"/>
        <w:tabs>
          <w:tab w:leader="none" w:pos="2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ectPr>
          <w:pgSz w:w="11900" w:h="16838" w:orient="portrait"/>
          <w:cols w:equalWidth="0" w:num="1">
            <w:col w:w="10920"/>
          </w:cols>
          <w:pgMar w:left="320" w:top="459" w:right="659" w:bottom="65"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We have granted the underwriters the right to purchase up to 900,000 additional shares of our common stock. The underwriters may exercise this right at any time within 30 days after the date of this prospectus supplement.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August 7, 2020.</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Book-Running Managers</w:t>
      </w:r>
    </w:p>
    <w:p>
      <w:pPr>
        <w:sectPr>
          <w:pgSz w:w="11900" w:h="16838" w:orient="portrait"/>
          <w:cols w:equalWidth="0" w:num="1">
            <w:col w:w="11020"/>
          </w:cols>
          <w:pgMar w:left="440" w:top="125"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ectPr>
          <w:pgSz w:w="11900" w:h="16838" w:orient="portrait"/>
          <w:cols w:equalWidth="0" w:num="2">
            <w:col w:w="8680" w:space="720"/>
            <w:col w:w="1620"/>
          </w:cols>
          <w:pgMar w:left="440" w:top="125" w:right="439" w:bottom="1440" w:gutter="0" w:footer="0" w:header="0"/>
          <w:type w:val="continuous"/>
        </w:sectPr>
      </w:pP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Book-Running Manager</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William Blair</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Co-Managers</w:t>
      </w:r>
    </w:p>
    <w:p>
      <w:pPr>
        <w:sectPr>
          <w:pgSz w:w="11900" w:h="16838" w:orient="portrait"/>
          <w:cols w:equalWidth="0" w:num="1">
            <w:col w:w="11020"/>
          </w:cols>
          <w:pgMar w:left="440" w:top="125"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Needham &amp; Company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Lake Street</w:t>
      </w:r>
    </w:p>
    <w:p>
      <w:pPr>
        <w:spacing w:after="0" w:line="234" w:lineRule="exact"/>
        <w:rPr>
          <w:sz w:val="20"/>
          <w:szCs w:val="20"/>
          <w:color w:val="auto"/>
        </w:rPr>
      </w:pPr>
    </w:p>
    <w:p>
      <w:pPr>
        <w:sectPr>
          <w:pgSz w:w="11900" w:h="16838" w:orient="portrait"/>
          <w:cols w:equalWidth="0" w:num="3">
            <w:col w:w="3820" w:space="720"/>
            <w:col w:w="4680" w:space="720"/>
            <w:col w:w="1080"/>
          </w:cols>
          <w:pgMar w:left="440" w:top="125" w:right="439" w:bottom="1440" w:gutter="0" w:footer="0" w:header="0"/>
          <w:type w:val="continuous"/>
        </w:sectPr>
      </w:pP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The date of this prospectus supplement is August 4, 2020.</w:t>
      </w:r>
    </w:p>
    <w:p>
      <w:pPr>
        <w:sectPr>
          <w:pgSz w:w="11900" w:h="16838" w:orient="portrait"/>
          <w:cols w:equalWidth="0" w:num="1">
            <w:col w:w="11020"/>
          </w:cols>
          <w:pgMar w:left="440" w:top="125" w:right="4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513"/>
        </w:trPr>
        <w:tc>
          <w:tcPr>
            <w:tcW w:w="104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59"/>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 Supplement</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THE OFFERING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S-10</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DILUTION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DIVIDEND POLICY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16"/>
        </w:trPr>
        <w:tc>
          <w:tcPr>
            <w:tcW w:w="10460" w:type="dxa"/>
            <w:vAlign w:val="bottom"/>
          </w:tcPr>
          <w:p>
            <w:pPr>
              <w:ind w:left="120"/>
              <w:spacing w:after="0"/>
              <w:rPr>
                <w:rFonts w:ascii="Arial" w:cs="Arial" w:eastAsia="Arial" w:hAnsi="Arial"/>
                <w:sz w:val="18"/>
                <w:szCs w:val="18"/>
                <w:u w:val="single" w:color="auto"/>
                <w:color w:val="0000EE"/>
                <w:w w:val="98"/>
              </w:rPr>
            </w:pPr>
            <w:hyperlink w:anchor="page18">
              <w:r>
                <w:rPr>
                  <w:rFonts w:ascii="Arial" w:cs="Arial" w:eastAsia="Arial" w:hAnsi="Arial"/>
                  <w:sz w:val="18"/>
                  <w:szCs w:val="18"/>
                  <w:u w:val="single" w:color="auto"/>
                  <w:color w:val="0000EE"/>
                  <w:w w:val="98"/>
                </w:rPr>
                <w:t>MATERIAL UNITED STATES FEDERAL INCOME TAX CONSEQUENCES FOR NON-U.S. HOLDERS OF OUR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UNDERWRITING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S-25</w:t>
            </w:r>
          </w:p>
        </w:tc>
      </w:tr>
      <w:tr>
        <w:trPr>
          <w:trHeight w:val="324"/>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ABOUT THIS PROSPECTUS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PROSPECTUS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SECURITIES WE MAY OFFER</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DESCRIPTION OF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PREFERRED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DEBT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WARRANTS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DESCRIPTION OF SUBSCRIPTION RIGHTS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DESCRIPTION OF UNITS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SELLING SECURITYHOLDERS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PLAN OF DISTRIBUTION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On May 2, 2019,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Veracyte, Afirma, Percepta, Envisia, Prosigna, LymphMark, and Know by Design, and the Veracyte, Afirma, Percepta, Envisia and Prosigna logos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
        <w:spacing w:after="0" w:line="296"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We are a global genomic diagnostics company that improves patient care by answering important clinical questions to inform diagnosis and treatment decisions throughout the patient journey in cancer and other diseases. Our growing menu of genomic tests leverage advances in genomic science and technology to change care for patients, enabling them to avoid risky, costly procedures and quicken time to appropriate treatment. With our exclusive global access to what we believe is a best-in-class diagnostics instrument platform, we are positioned to deliver our tests to patients worldwide through laboratories and hospitals that can perform the tests locally.</w:t>
      </w:r>
    </w:p>
    <w:p>
      <w:pPr>
        <w:spacing w:after="0" w:line="176"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We perform our genomic tests for thyroid cancer, lung cancer and idiopathic pulmonary fibrosis, or IPF, in our CLIA-certified laboratory in South San Francisco, California. In December 2019, we announced an exclusive global diagnostics license to the nCounter Analysis System from NanoString Technologies, Inc., or NanoString, as well as the acquisition of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global market of over $40 billion.</w:t>
      </w:r>
    </w:p>
    <w:p>
      <w:pPr>
        <w:spacing w:after="0" w:line="195"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develop our genomic tests using advanced scientific methods, such as ribo nucleic acid, or RNA, whole-transcriptome sequencing and machine learning, and then optimize the assay and classifier results for the platform on which the test will be performed. Historically, that platform has been RNA sequencing, performed in our CLIA lab. Beginning in 2021, we expect this to also include the nCounter platform for international distribution of our tests.</w:t>
      </w:r>
    </w:p>
    <w:p>
      <w:pPr>
        <w:spacing w:after="0" w:line="187"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color w:val="auto"/>
        </w:rPr>
        <w:t>Our genomic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15-70% of cases. This diagnostic uncertainty can lead to additional, invasive procedures that are often unnecessary, delayed or incorrect treatment, increased healthcare costs and patient anxiety.</w:t>
      </w:r>
    </w:p>
    <w:p>
      <w:pPr>
        <w:spacing w:after="0" w:line="161" w:lineRule="exact"/>
        <w:rPr>
          <w:sz w:val="20"/>
          <w:szCs w:val="20"/>
          <w:color w:val="auto"/>
        </w:rPr>
      </w:pPr>
    </w:p>
    <w:p>
      <w:pPr>
        <w:ind w:left="300" w:right="260"/>
        <w:spacing w:after="0" w:line="342" w:lineRule="auto"/>
        <w:rPr>
          <w:sz w:val="20"/>
          <w:szCs w:val="20"/>
          <w:color w:val="auto"/>
        </w:rPr>
      </w:pPr>
      <w:r>
        <w:rPr>
          <w:rFonts w:ascii="Arial" w:cs="Arial" w:eastAsia="Arial" w:hAnsi="Arial"/>
          <w:sz w:val="16"/>
          <w:szCs w:val="16"/>
          <w:color w:val="auto"/>
        </w:rPr>
        <w:t>We position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76" w:lineRule="exact"/>
        <w:rPr>
          <w:sz w:val="20"/>
          <w:szCs w:val="20"/>
          <w:color w:val="auto"/>
        </w:rPr>
      </w:pPr>
    </w:p>
    <w:p>
      <w:pPr>
        <w:ind w:left="1240" w:right="40" w:hanging="415"/>
        <w:spacing w:after="0" w:line="255"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97" w:lineRule="exact"/>
        <w:rPr>
          <w:rFonts w:ascii="Arial" w:cs="Arial" w:eastAsia="Arial" w:hAnsi="Arial"/>
          <w:sz w:val="18"/>
          <w:szCs w:val="18"/>
          <w:color w:val="auto"/>
        </w:rPr>
      </w:pPr>
    </w:p>
    <w:p>
      <w:pPr>
        <w:jc w:val="both"/>
        <w:ind w:left="1240" w:hanging="415"/>
        <w:spacing w:after="0" w:line="301"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or at the time of diagnosis to inform therapeutic selection.</w:t>
      </w:r>
    </w:p>
    <w:p>
      <w:pPr>
        <w:spacing w:after="0" w:line="62" w:lineRule="exact"/>
        <w:rPr>
          <w:rFonts w:ascii="Arial" w:cs="Arial" w:eastAsia="Arial" w:hAnsi="Arial"/>
          <w:sz w:val="16"/>
          <w:szCs w:val="16"/>
          <w:color w:val="auto"/>
        </w:rPr>
      </w:pPr>
    </w:p>
    <w:p>
      <w:pPr>
        <w:ind w:left="1240" w:right="40" w:hanging="415"/>
        <w:spacing w:after="0" w:line="293"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adapt our test menu for multiple markets globally, providing flexibility for a global distributed testing model and potentially increased efficiency in our United States-based CLIA lab. Regardless of the testing platform used for diagnosis, our RNA sequencing platform enables us to offer testing from our CLIA lab for a broad range of gene alterations, which can inform treatment decisions at the time of diagnosis.</w:t>
      </w:r>
    </w:p>
    <w:p>
      <w:pPr>
        <w:spacing w:after="0" w:line="164"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We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collaboration with the Lung Cancer Initiative at Johnson &amp; Johnson has helped accelerate two of our key lung cancer programs:</w:t>
      </w:r>
    </w:p>
    <w:p>
      <w:pPr>
        <w:spacing w:after="0" w:line="23" w:lineRule="exact"/>
        <w:rPr>
          <w:sz w:val="20"/>
          <w:szCs w:val="20"/>
          <w:color w:val="auto"/>
        </w:rPr>
      </w:pPr>
    </w:p>
    <w:p>
      <w:pPr>
        <w:ind w:left="300" w:right="180" w:hanging="2"/>
        <w:spacing w:after="0" w:line="295" w:lineRule="auto"/>
        <w:tabs>
          <w:tab w:leader="none" w:pos="51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commercialization of the Percepta GSC on our RNA whole-transcriptome sequencing platform, and (ii) development of the first non-invasive nasal swab test for early lung cancer detection.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161"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which we believe is key to driving adoption and reimbursement. Patients and physicians can access our full list of publications on our website. Over 50 clinical studies covering our products have been published, including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01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342" w:lineRule="auto"/>
        <w:rPr>
          <w:sz w:val="20"/>
          <w:szCs w:val="20"/>
          <w:color w:val="auto"/>
        </w:rPr>
      </w:pPr>
      <w:r>
        <w:rPr>
          <w:rFonts w:ascii="Arial" w:cs="Arial" w:eastAsia="Arial" w:hAnsi="Arial"/>
          <w:sz w:val="16"/>
          <w:szCs w:val="16"/>
          <w:color w:val="auto"/>
        </w:rPr>
        <w:t xml:space="preserve">three landmark clinical validation papers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for the Afirma and Percepta classifiers, respectively, and in </w:t>
      </w:r>
      <w:r>
        <w:rPr>
          <w:rFonts w:ascii="Arial" w:cs="Arial" w:eastAsia="Arial" w:hAnsi="Arial"/>
          <w:sz w:val="16"/>
          <w:szCs w:val="16"/>
          <w:i w:val="1"/>
          <w:iCs w:val="1"/>
          <w:color w:val="auto"/>
        </w:rPr>
        <w:t>The Lancet Respiratory Medicine</w:t>
      </w:r>
      <w:r>
        <w:rPr>
          <w:rFonts w:ascii="Arial" w:cs="Arial" w:eastAsia="Arial" w:hAnsi="Arial"/>
          <w:sz w:val="16"/>
          <w:szCs w:val="16"/>
          <w:color w:val="auto"/>
        </w:rPr>
        <w:t xml:space="preserve"> for the Envisia classifier. We continue to build upon our extensive library of clinical evidence.</w:t>
      </w:r>
    </w:p>
    <w:p>
      <w:pPr>
        <w:spacing w:after="0" w:line="124"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95"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We also expect to continue expanding our offerings in thyroid cancer, lung cancer, interstitial lung diseases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 We plan to commercially introduce four products in 2021: Our nasal swab classifier for early lung cancer detection and our Percepta Lung Cancer Atlas, which together with the Percepta GSC, form a comprehensive lung cancer portfolio; our Envisia classifier on the nCounter system for expansion into global markets; and, if the FDA grants our De Novo classification request, our LymphMark lymphoma subtyping test.</w:t>
      </w:r>
    </w:p>
    <w:p>
      <w:pPr>
        <w:spacing w:after="0" w:line="177"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Additionally, since the beginning of the second quarter of 2020 we announced our first two diagnostic company partnerships – with CareDx in transplantation and MAVIDx in COVID-19 and other infectious diseases, which we expect to help expand our testing menu on the nCounter system and fuel additional revenue-generation opportunities.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jc w:val="both"/>
        <w:ind w:left="300" w:right="200"/>
        <w:spacing w:after="0" w:line="296" w:lineRule="auto"/>
        <w:rPr>
          <w:sz w:val="20"/>
          <w:szCs w:val="20"/>
          <w:color w:val="auto"/>
        </w:rPr>
      </w:pPr>
      <w:r>
        <w:rPr>
          <w:rFonts w:ascii="Arial" w:cs="Arial" w:eastAsia="Arial" w:hAnsi="Arial"/>
          <w:sz w:val="16"/>
          <w:szCs w:val="16"/>
          <w:color w:val="auto"/>
        </w:rPr>
        <w:t>We were incorporated in the state of Delaware on August 15, 2006 as Calderome, Inc. Calderome, Inc.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6,000,000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56,446,104 shares (or 57,346,104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3940" w:space="40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have granted the underwriters a 30-day option to purchase additional 900,000 shares of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currently intend to use the net proceeds from this offering for working capital and other general corporate purposes.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50,446,104 shares outstanding as of June 30, 2020 and excludes:</w:t>
      </w:r>
    </w:p>
    <w:p>
      <w:pPr>
        <w:spacing w:after="0" w:line="76" w:lineRule="exact"/>
        <w:rPr>
          <w:sz w:val="20"/>
          <w:szCs w:val="20"/>
          <w:color w:val="auto"/>
        </w:rPr>
      </w:pPr>
    </w:p>
    <w:p>
      <w:pPr>
        <w:ind w:left="1240" w:right="1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4,619,640 shares of our common stock issuable upon the exercise of stock options outstanding as of June 30, 2020, with a weighted-average exercise price of $13.16 per share;</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210,000 shares of our common stock issuable upon the exercise of stock options granted after June 30, 2020, with a weighted-average exercise price of $29.89 per share, and an additional 35,000 shares of common stock issuable upon the exercise of stock options granted on August 1, 2020;</w:t>
      </w:r>
    </w:p>
    <w:p>
      <w:pPr>
        <w:spacing w:after="0" w:line="89"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790,182 shares of common stock issuable upon the settlement of restricted stock units, or RSUs, and 125,000 shares of common stock issuable upon the settlement of performance stock units, or PSUs, in each case, outstanding as of June 30, 2020;</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2,962,661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1,612,226 shares of common stock reserved for future issuance under our Amended and Restated Employee Stock Purchase Plan.</w:t>
      </w:r>
    </w:p>
    <w:p>
      <w:pPr>
        <w:spacing w:after="0" w:line="248" w:lineRule="exact"/>
        <w:rPr>
          <w:sz w:val="20"/>
          <w:szCs w:val="20"/>
          <w:color w:val="auto"/>
        </w:rPr>
      </w:pPr>
    </w:p>
    <w:p>
      <w:pPr>
        <w:ind w:left="300" w:right="240"/>
        <w:spacing w:after="0" w:line="308" w:lineRule="auto"/>
        <w:rPr>
          <w:sz w:val="20"/>
          <w:szCs w:val="20"/>
          <w:color w:val="auto"/>
        </w:rPr>
      </w:pPr>
      <w:r>
        <w:rPr>
          <w:rFonts w:ascii="Arial" w:cs="Arial" w:eastAsia="Arial" w:hAnsi="Arial"/>
          <w:sz w:val="17"/>
          <w:szCs w:val="17"/>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9" w:right="6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2020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303" w:lineRule="exact"/>
        <w:rPr>
          <w:sz w:val="20"/>
          <w:szCs w:val="20"/>
          <w:color w:val="auto"/>
        </w:rPr>
      </w:pPr>
    </w:p>
    <w:p>
      <w:pPr>
        <w:ind w:left="120" w:right="36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price per share of our common stock being offered may be higher than the net tangible book value per share of our outstanding common stock prior to this offering. Based on the public offering price of $30.00 per share and our net tangible book value as of June 30, 2020 of approximately $3.19 per share, if you purchase shares of common stock in this offering, you will suffer immediate and substantial dilution of $24.16 per share, representing the difference between the public offering price and the as adjusted net tangible book value per share of our common stock as of June 30, 2020 after giving effect to this offering. See the section entitled “Dilution” below for a more detailed discussion of the dilution you will incur if you purchase common stock in this offering.</w:t>
      </w:r>
    </w:p>
    <w:p>
      <w:pPr>
        <w:spacing w:after="0" w:line="19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As of June 30, 2020, we had 50,446,104 shares of outstanding common stock, of which approximately 509,290 shares and an additional 3,568,690 shares underlying stock options and RSUs are subject to restrictions on transfer under 60-day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and RSUs, are sold, or if it is perceived that they will be sold, in the public market, it could have an adverse impact on the market price of our common stock.</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Furthermore, certain of our directors and executive officers have adopted, and other directors and executive officers may in the future adopt, written trading plans that are intended to comply with Rule 10b5-1 under the Securities Exchange Act of 1934, as amended, or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within the meaning of the Private Securities Litigation Reform Act of 1995. When used in this prospectus supplement, the accompanying prospectus and the documents we have filed with the SEC that are incorporated by reference in this prospectus supplement and the accompanying prospectus,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RNA samples; our integration of the assets acquired from NanoString; our ability to deploy the nCounter Analysis System successfully and run our tests on this platform worldwide; our beliefs with respect to the optimization of our processes for the analysis of RNA samples; our collaboration with Johnson &amp; Johnson;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and MAVIDx;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herein.</w:t>
      </w:r>
    </w:p>
    <w:p>
      <w:pPr>
        <w:spacing w:after="0" w:line="200" w:lineRule="exact"/>
        <w:rPr>
          <w:sz w:val="20"/>
          <w:szCs w:val="20"/>
          <w:color w:val="auto"/>
        </w:rPr>
      </w:pPr>
    </w:p>
    <w:p>
      <w:pPr>
        <w:spacing w:after="0" w:line="202"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statement is based. You should, however, review additional disclosures we make in our Annual Report on Form 10-K, Quarterly Reports on Form 10-Q, and Current Reports on Form 8-K filed with the SEC.</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4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estimate that the net proceeds from the sale of 6,000,000 shares of our common stock in this offering, at the public offering price of $30.00 per share will be approximately $168.5 million, after deducting the underwriting discounts and commissions and estimated offering expenses we expect to pay. If the underwriters exercise their option to purchase additional shares in full, we estimate that our net proceeds will be approximately $193.8 million, after deducting the underwriting discounts and commissions and estimated offering expenses we expect to pay.</w:t>
      </w:r>
    </w:p>
    <w:p>
      <w:pPr>
        <w:spacing w:after="0" w:line="17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As a result, our management will have broad discretion in the way that we use the net proceeds and investors will be relying on our judgment regarding the application of the net proceeds of this offering. We may also use a portion of the net proceeds from this offering to acquire or invest in complementary businesses, technologies or other assets, although we have no present commitments or agreements to do so.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Our net tangible book value as of June 30, 2020 was approximately $160.9 million, or $3.19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After giving effect to the sale by us of 6,000,000 shares of our common stock at the public offering price of $30.00 per share and after deducting the underwriting discounts and commissions and estimated offering expenses, our as adjusted net tangible book value as of June 30, 2020 would have been approximately $329.4 million, or $5.84 per share of our common stock. This represents an immediate increase in the net tangible book value of $2.65 per share to our existing stockholders and an immediate and substantial dilution in net tangible book value of $24.16 per share to new investors.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88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the underwriters exercise in full their option to purchase up to 900,000 additional shares from us at the public offering price of $30.00 per share, the as adjusted net tangible book value per share after this offering would be $6.19 per share and the dilution to new investors participating in this offering would be $23.81 per share.</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calculations above are based on 50,446,104 shares of our common stock outstanding as of June 30, 2020. The number of shares of common stock outstanding as of June 30, 2020 excludes:</w:t>
      </w:r>
    </w:p>
    <w:p>
      <w:pPr>
        <w:spacing w:after="0" w:line="76" w:lineRule="exact"/>
        <w:rPr>
          <w:sz w:val="20"/>
          <w:szCs w:val="20"/>
          <w:color w:val="auto"/>
        </w:rPr>
      </w:pPr>
    </w:p>
    <w:p>
      <w:pPr>
        <w:ind w:left="1080" w:right="5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4,619,640 shares of our common stock issuable upon the exercise of stock options outstanding as of June 30, 2020, with a weighted-average exercise price of $13.16 per share;</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210,000 shares of our common stock issuable upon the exercise of stock options granted after June 30, 2020, with a weighted-average exercise price of $29.89 per share, and an additional 35,000 shares of common stock issuable upon the exercise of stock options granted on August 1, 2020;</w:t>
      </w:r>
    </w:p>
    <w:p>
      <w:pPr>
        <w:spacing w:after="0" w:line="89" w:lineRule="exact"/>
        <w:rPr>
          <w:rFonts w:ascii="Arial" w:cs="Arial" w:eastAsia="Arial" w:hAnsi="Arial"/>
          <w:sz w:val="18"/>
          <w:szCs w:val="18"/>
          <w:color w:val="auto"/>
        </w:rPr>
      </w:pPr>
    </w:p>
    <w:p>
      <w:pPr>
        <w:ind w:left="1080" w:right="3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790,182 shares of common stock issuable upon the settlement of restricted stock units, or RSUs, and 125,000 shares of common stock issuable upon the settlement of performance stock units, or PSUs, in each case, outstanding as of June 30, 2020;</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2,962,661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1,612,226 shares of common stock reserved for future issuance under our Employee Stock Purchase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On November 3, 2017, we entered into a loan and security agreement, or Loan and Security Agreement, with Silicon Valley Bank. The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discuss state, local, U.S. federal gift and estate tax laws, except to the limited extent provided below, or any non-U.S. tax consequences that may be relevant to Non-U.S. Holders in light of their particular circumstances.</w:t>
      </w:r>
    </w:p>
    <w:p>
      <w:pPr>
        <w:spacing w:after="0" w:line="18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purposes);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and will not request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For the purposes of this discussion, a “Non-U.S. Holder” is, for U.S. federal income tax purposes, a beneficial owner of common stock other than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w:t>
      </w:r>
    </w:p>
    <w:p>
      <w:pPr>
        <w:spacing w:after="0" w:line="19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generally imposed at a rate of 30% (or such lower rate as may be specified by an applicable treaty) on the corporate Non-U.S. Holder’s effectively connected earnings and profits, subject to certain adjustments.</w:t>
      </w:r>
    </w:p>
    <w:p>
      <w:pPr>
        <w:spacing w:after="0" w:line="192"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w:t>
      </w:r>
    </w:p>
    <w:p>
      <w:pPr>
        <w:ind w:left="120" w:right="60" w:hanging="4"/>
        <w:spacing w:after="0" w:line="271" w:lineRule="auto"/>
        <w:tabs>
          <w:tab w:leader="none" w:pos="36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8"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the sum of our worldwide real estate assets plus our business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(including any dividends) we make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While withholding under FATCA would have applied also to payments of gross proceeds from the sale or other disposition of common stock, proposed Treasury Regulations eliminate FATCA withholding on payments of gross proceeds. The preamble to the proposed Treasury Regulations specifies that taxpayers are permitted to rely on such proposed regulations pending finalization.</w:t>
      </w:r>
    </w:p>
    <w:p>
      <w:pPr>
        <w:spacing w:after="0" w:line="17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980"/>
          </w:cols>
          <w:pgMar w:left="320" w:top="459" w:right="5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and the underwriters named below will enter into an underwriting agreement with respect to the shares of our common stock being offered. Subject to certain conditions, each underwriter has severally agreed to purchase the number of shares of our common stock indicated in the following table. Goldman Sachs &amp; Co. LLC and SVB Leerink LLC are the representatives of the underwriters.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55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Number of Shares</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2,040,000</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690,000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Lake Street Capital Markets,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7"/>
        </w:trPr>
        <w:tc>
          <w:tcPr>
            <w:tcW w:w="7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6,000,000</w:t>
            </w:r>
          </w:p>
        </w:tc>
      </w:tr>
      <w:tr>
        <w:trPr>
          <w:trHeight w:val="20"/>
        </w:trPr>
        <w:tc>
          <w:tcPr>
            <w:tcW w:w="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underwriters have an option to buy up to an additional 900,000 shares of our common stock from us. They may exercise that option for 30 days. If any shares of our common stock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900,000 additional shares of our common stock.</w:t>
      </w:r>
    </w:p>
    <w:p>
      <w:pPr>
        <w:spacing w:after="0" w:line="200" w:lineRule="exact"/>
        <w:rPr>
          <w:sz w:val="20"/>
          <w:szCs w:val="20"/>
          <w:color w:val="auto"/>
        </w:rPr>
      </w:pP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Paid by the Company</w:t>
            </w: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No Exercise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Full Exercise</w:t>
            </w: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10,800,000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12,420,000</w:t>
            </w:r>
          </w:p>
        </w:tc>
      </w:tr>
    </w:tbl>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Shares of our common stock sold by the underwriters to the public will be offered at the public offering price set forth on the cover of this prospectus. Any shares of our common stock sold by the underwriters to securities dealers may be sold at a discount of up to $1.08 per share from the public offering price. The offering of the shares of our common stock by the underwriters is subject to receipt and acceptance and subject to the underwriters’ right to reject any order in whole or in part.</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$750,000. We have also agreed to reimburse the underwriters for certain of their expenses in an amount up to $15,000.</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and our executive officers and directors have agreed with the underwriters, subject to certain exceptions, not to dispose of or hedge any shares of our common stock or securities convertible into or exchangeable for shares of our common stock during the period from the date of this prospectus continuing through the date 60 days after the date of this prospectus, except with the prior written consent of the representatives. This agreement does not apply to any existing employee benefit plans. Except for customary lock-up exceptions, including an exception allowing our directors and officers to make sales under preexisting 10b5-1 plans, there are no existing agreements between the underwriters and any of our stockholders who have executed a lock-up agreement providing consent to the sale of shares prior to the expiration of the lock-up period.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currently listed on The Nasdaq Global Market under the symbol “VCYT.”</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our common stock or purchasing shares of our common stock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or entities with relationships with the issuer, for which they received or will receive customary fees and expenses.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 and United Kingdom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Requirements, Exemptions, and Ongoing Registrant Obligations. Any resale of the shares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shares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SFA), (2) where such transfer arises from an offer that is made on terms that such rights or interest are acquired at a consideration of not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assets), (3) where no consideration is or will be given for the transfer, (4) where the transfer is by operation of law, (5) as specified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21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 – 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(1) for its own account; (2) for investment purposes only; and (3)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2" w:lineRule="exact"/>
        <w:rPr>
          <w:sz w:val="20"/>
          <w:szCs w:val="20"/>
          <w:color w:val="auto"/>
        </w:rPr>
      </w:pPr>
    </w:p>
    <w:p>
      <w:pPr>
        <w:ind w:left="1080" w:right="6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25, 2020, including certain information incorporated by reference therein from our </w:t>
      </w:r>
      <w:hyperlink r:id="rId42">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2020 annual meeting of stockholders filed with the SEC on April 24, 2020;</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2020 and June 30, 2020, filed with the SEC on </w:t>
      </w:r>
      <w:hyperlink r:id="rId43">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4">
        <w:r>
          <w:rPr>
            <w:rFonts w:ascii="Arial" w:cs="Arial" w:eastAsia="Arial" w:hAnsi="Arial"/>
            <w:sz w:val="18"/>
            <w:szCs w:val="18"/>
            <w:u w:val="single" w:color="auto"/>
            <w:color w:val="0000EE"/>
          </w:rPr>
          <w:t>July 30,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60" w:hanging="424"/>
        <w:spacing w:after="0" w:line="263" w:lineRule="auto"/>
        <w:tabs>
          <w:tab w:leader="none" w:pos="1080" w:val="left"/>
        </w:tabs>
        <w:numPr>
          <w:ilvl w:val="0"/>
          <w:numId w:val="10"/>
        </w:numPr>
        <w:rPr>
          <w:rFonts w:ascii="Arial" w:cs="Arial" w:eastAsia="Arial" w:hAnsi="Arial"/>
          <w:sz w:val="18"/>
          <w:szCs w:val="18"/>
          <w:color w:val="0000EE"/>
        </w:rPr>
      </w:pPr>
      <w:r>
        <w:rPr>
          <w:rFonts w:ascii="Arial" w:cs="Arial" w:eastAsia="Arial" w:hAnsi="Arial"/>
          <w:sz w:val="18"/>
          <w:szCs w:val="18"/>
          <w:color w:val="auto"/>
        </w:rPr>
        <w:t xml:space="preserve">our Current Report on Form 8K/A filed with the SEC on </w:t>
      </w:r>
      <w:hyperlink r:id="rId45">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and our Current Reports on Form 8-K filed with the SEC on </w:t>
      </w:r>
      <w:hyperlink r:id="rId46">
        <w:r>
          <w:rPr>
            <w:rFonts w:ascii="Arial" w:cs="Arial" w:eastAsia="Arial" w:hAnsi="Arial"/>
            <w:sz w:val="18"/>
            <w:szCs w:val="18"/>
            <w:u w:val="single" w:color="auto"/>
            <w:color w:val="0000EE"/>
          </w:rPr>
          <w:t>February 25,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7">
        <w:r>
          <w:rPr>
            <w:rFonts w:ascii="Arial" w:cs="Arial" w:eastAsia="Arial" w:hAnsi="Arial"/>
            <w:sz w:val="18"/>
            <w:szCs w:val="18"/>
            <w:u w:val="single" w:color="auto"/>
            <w:color w:val="0000EE"/>
          </w:rPr>
          <w:t>March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8">
        <w:r>
          <w:rPr>
            <w:rFonts w:ascii="Arial" w:cs="Arial" w:eastAsia="Arial" w:hAnsi="Arial"/>
            <w:sz w:val="18"/>
            <w:szCs w:val="18"/>
            <w:u w:val="single" w:color="auto"/>
            <w:color w:val="0000EE"/>
          </w:rPr>
          <w:t>April 14,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9">
        <w:r>
          <w:rPr>
            <w:rFonts w:ascii="Arial" w:cs="Arial" w:eastAsia="Arial" w:hAnsi="Arial"/>
            <w:sz w:val="18"/>
            <w:szCs w:val="18"/>
            <w:u w:val="single" w:color="auto"/>
            <w:color w:val="0000EE"/>
          </w:rPr>
          <w:t xml:space="preserve">June 9,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0">
        <w:r>
          <w:rPr>
            <w:rFonts w:ascii="Arial" w:cs="Arial" w:eastAsia="Arial" w:hAnsi="Arial"/>
            <w:sz w:val="18"/>
            <w:szCs w:val="18"/>
            <w:u w:val="single" w:color="auto"/>
            <w:color w:val="0000EE"/>
          </w:rPr>
          <w:t xml:space="preserve">July 27, 2020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that any portions thereof which are furnished</w:t>
      </w:r>
      <w:r>
        <w:rPr>
          <w:rFonts w:ascii="Arial" w:cs="Arial" w:eastAsia="Arial" w:hAnsi="Arial"/>
          <w:sz w:val="18"/>
          <w:szCs w:val="18"/>
          <w:color w:val="0000EE"/>
        </w:rPr>
        <w:t xml:space="preserve"> </w:t>
      </w:r>
      <w:r>
        <w:rPr>
          <w:rFonts w:ascii="Arial" w:cs="Arial" w:eastAsia="Arial" w:hAnsi="Arial"/>
          <w:sz w:val="18"/>
          <w:szCs w:val="18"/>
          <w:color w:val="000000"/>
        </w:rPr>
        <w:t>and not filed shall not be deemed incorporated); and</w:t>
      </w:r>
    </w:p>
    <w:p>
      <w:pPr>
        <w:spacing w:after="0" w:line="89" w:lineRule="exact"/>
        <w:rPr>
          <w:rFonts w:ascii="Arial" w:cs="Arial" w:eastAsia="Arial" w:hAnsi="Arial"/>
          <w:sz w:val="18"/>
          <w:szCs w:val="18"/>
          <w:color w:val="0000EE"/>
        </w:rPr>
      </w:pPr>
    </w:p>
    <w:p>
      <w:pPr>
        <w:ind w:left="1080" w:right="6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52">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w:t>
      </w:r>
      <w:hyperlink r:id="rId4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25, 2020.</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600075</wp:posOffset>
            </wp:positionV>
            <wp:extent cx="6995160" cy="505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7" w:lineRule="exact"/>
        <w:rPr>
          <w:sz w:val="20"/>
          <w:szCs w:val="20"/>
          <w:color w:val="auto"/>
        </w:rPr>
      </w:pPr>
    </w:p>
    <w:p>
      <w:pPr>
        <w:ind w:left="120" w:right="120" w:firstLine="44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3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ectPr>
          <w:pgSz w:w="11900" w:h="16838" w:orient="portrait"/>
          <w:cols w:equalWidth="0" w:num="1">
            <w:col w:w="11060"/>
          </w:cols>
          <w:pgMar w:left="320" w:top="459" w:right="519" w:bottom="0" w:gutter="0" w:footer="0" w:header="0"/>
        </w:sectPr>
      </w:pPr>
    </w:p>
    <w:bookmarkStart w:id="31" w:name="page32"/>
    <w:bookmarkEnd w:id="31"/>
    <w:p>
      <w:pPr>
        <w:ind w:firstLine="440"/>
        <w:spacing w:after="0" w:line="301"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ind w:right="2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117475</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2, 2019.</w:t>
      </w:r>
    </w:p>
    <w:p>
      <w:pPr>
        <w:sectPr>
          <w:pgSz w:w="11900" w:h="16838" w:orient="portrait"/>
          <w:cols w:equalWidth="0" w:num="1">
            <w:col w:w="10860"/>
          </w:cols>
          <w:pgMar w:left="440" w:top="125" w:right="5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41"/>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SECURITIES WE MAY OFFER</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DESCRIPTION OF COMMON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DESCRIPTION OF PREFERRED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0">
              <w:r>
                <w:rPr>
                  <w:rFonts w:ascii="Arial" w:cs="Arial" w:eastAsia="Arial" w:hAnsi="Arial"/>
                  <w:sz w:val="18"/>
                  <w:szCs w:val="18"/>
                  <w:b w:val="1"/>
                  <w:bCs w:val="1"/>
                  <w:u w:val="single" w:color="auto"/>
                  <w:color w:val="0000EE"/>
                </w:rPr>
                <w:t>DESCRIPTION OF WARRANTS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1">
              <w:r>
                <w:rPr>
                  <w:rFonts w:ascii="Arial" w:cs="Arial" w:eastAsia="Arial" w:hAnsi="Arial"/>
                  <w:sz w:val="18"/>
                  <w:szCs w:val="18"/>
                  <w:b w:val="1"/>
                  <w:bCs w:val="1"/>
                  <w:u w:val="single" w:color="auto"/>
                  <w:color w:val="0000EE"/>
                </w:rPr>
                <w:t>DESCRIPTION OF SUBSCRIPTION RIGHTS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DESCRIPTION OF UNITS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SELLING SECURITYHOLDERS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4"/>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INCORPORATION OF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 shares of undesignated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our other debt;</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9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3" w:lineRule="exact"/>
        <w:rPr>
          <w:sz w:val="20"/>
          <w:szCs w:val="20"/>
          <w:color w:val="auto"/>
        </w:rPr>
      </w:pPr>
    </w:p>
    <w:p>
      <w:pPr>
        <w:ind w:left="10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original issue discount that is payable upon acceleration;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540" w:right="318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9" w:lineRule="exact"/>
        <w:rPr>
          <w:sz w:val="20"/>
          <w:szCs w:val="20"/>
          <w:color w:val="auto"/>
        </w:rPr>
      </w:pPr>
    </w:p>
    <w:p>
      <w:pPr>
        <w:ind w:left="1080" w:right="2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153" w:lineRule="exact"/>
        <w:rPr>
          <w:rFonts w:ascii="Arial" w:cs="Arial" w:eastAsia="Arial" w:hAnsi="Arial"/>
          <w:sz w:val="16"/>
          <w:szCs w:val="16"/>
          <w:color w:val="auto"/>
        </w:rPr>
      </w:pPr>
    </w:p>
    <w:p>
      <w:pPr>
        <w:jc w:val="both"/>
        <w:ind w:left="1080" w:right="5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title, aggregate number of shares of common stock or preferred stock purchasable upon exercise of the subscription rights;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8"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February 25, 2019;</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84">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April 24,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8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6">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February 26,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8">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28, 2013, including any amendment or report filed for the purpose of updating such description.</w:t>
      </w:r>
    </w:p>
    <w:p>
      <w:pPr>
        <w:spacing w:after="0" w:line="170" w:lineRule="exact"/>
        <w:rPr>
          <w:rFonts w:ascii="Arial" w:cs="Arial" w:eastAsia="Arial" w:hAnsi="Arial"/>
          <w:sz w:val="18"/>
          <w:szCs w:val="18"/>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5" w:lineRule="exact"/>
        <w:rPr>
          <w:rFonts w:ascii="Arial" w:cs="Arial" w:eastAsia="Arial" w:hAnsi="Arial"/>
          <w:sz w:val="18"/>
          <w:szCs w:val="18"/>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794385</wp:posOffset>
            </wp:positionV>
            <wp:extent cx="6995160" cy="5057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99516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14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SVB Leerink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William Blair</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BTIG</w:t>
      </w:r>
    </w:p>
    <w:p>
      <w:pPr>
        <w:sectPr>
          <w:pgSz w:w="11900" w:h="16838" w:orient="portrait"/>
          <w:cols w:equalWidth="0" w:num="1">
            <w:col w:w="10139"/>
          </w:cols>
          <w:pgMar w:left="320" w:top="459" w:right="1440" w:bottom="0" w:gutter="0" w:footer="0" w:header="0"/>
        </w:sectPr>
      </w:pPr>
    </w:p>
    <w:bookmarkStart w:id="56" w:name="page57"/>
    <w:bookmarkEnd w:id="56"/>
    <w:p>
      <w:pPr>
        <w:jc w:val="center"/>
        <w:ind w:right="19"/>
        <w:spacing w:after="0"/>
        <w:rPr>
          <w:sz w:val="20"/>
          <w:szCs w:val="20"/>
          <w:color w:val="auto"/>
        </w:rPr>
      </w:pPr>
      <w:r>
        <w:rPr>
          <w:rFonts w:ascii="Arial" w:cs="Arial" w:eastAsia="Arial" w:hAnsi="Arial"/>
          <w:sz w:val="26"/>
          <w:szCs w:val="26"/>
          <w:b w:val="1"/>
          <w:bCs w:val="1"/>
          <w:color w:val="auto"/>
        </w:rPr>
        <w:t>Needham &amp; Company</w:t>
      </w:r>
    </w:p>
    <w:p>
      <w:pPr>
        <w:sectPr>
          <w:pgSz w:w="11900" w:h="16838" w:orient="portrait"/>
          <w:cols w:equalWidth="0" w:num="1">
            <w:col w:w="9019"/>
          </w:cols>
          <w:pgMar w:left="1440" w:top="108"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Lake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608965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668655</wp:posOffset>
            </wp:positionV>
            <wp:extent cx="699516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lowerRoman"/>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jpe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jpeg"/><Relationship Id="rId93" Type="http://schemas.openxmlformats.org/officeDocument/2006/relationships/image" Target="media/image68.png"/><Relationship Id="rId94" Type="http://schemas.openxmlformats.org/officeDocument/2006/relationships/image" Target="media/image69.png"/><Relationship Id="rId41" Type="http://schemas.openxmlformats.org/officeDocument/2006/relationships/hyperlink" Target="http://www.sec.gov/ix?doc=/Archives/edgar/data/1384101/000138410120000015/vcyt-12312019x10k.htm" TargetMode="External"/><Relationship Id="rId42" Type="http://schemas.openxmlformats.org/officeDocument/2006/relationships/hyperlink" Target="http://www.sec.gov/Archives/edgar/data/1384101/000138410120000052/vcyt-proxy2020xdef14a.htm" TargetMode="External"/><Relationship Id="rId43" Type="http://schemas.openxmlformats.org/officeDocument/2006/relationships/hyperlink" Target="http://www.sec.gov/ix?doc=/Archives/edgar/data/1384101/000138410120000058/vcyt-20200331.htm" TargetMode="External"/><Relationship Id="rId44" Type="http://schemas.openxmlformats.org/officeDocument/2006/relationships/hyperlink" Target="http://www.sec.gov/ix?doc=/Archives/edgar/data/1384101/000143774920016062/vcyt20200630_10q.htm" TargetMode="External"/><Relationship Id="rId45" Type="http://schemas.openxmlformats.org/officeDocument/2006/relationships/hyperlink" Target="http://www.sec.gov/Archives/edgar/data/1384101/000138410120000011/vcyt8ka2-18x20.htm" TargetMode="External"/><Relationship Id="rId46" Type="http://schemas.openxmlformats.org/officeDocument/2006/relationships/hyperlink" Target="http://www.sec.gov/Archives/edgar/data/1384101/000138410120000019/vcyt-22520208kprosupp.htm" TargetMode="External"/><Relationship Id="rId47" Type="http://schemas.openxmlformats.org/officeDocument/2006/relationships/hyperlink" Target="http://www.sec.gov/Archives/edgar/data/1384101/000138410120000027/vcyt03022020-8kannualcomp.htm" TargetMode="External"/><Relationship Id="rId48" Type="http://schemas.openxmlformats.org/officeDocument/2006/relationships/hyperlink" Target="http://www.sec.gov/ix?doc=/Archives/edgar/data/1384101/000138410120000046/vcyt-20200413.htm" TargetMode="External"/><Relationship Id="rId49" Type="http://schemas.openxmlformats.org/officeDocument/2006/relationships/hyperlink" Target="http://www.sec.gov/ix?doc=/Archives/edgar/data/1384101/000138410120000083/vcyt-20200605.htm" TargetMode="External"/><Relationship Id="rId50" Type="http://schemas.openxmlformats.org/officeDocument/2006/relationships/hyperlink" Target="http://www.sec.gov/ix?doc=/Archives/edgar/data/1384101/000143774920015792/vcyt20200724_8k.htm" TargetMode="External"/><Relationship Id="rId51" Type="http://schemas.openxmlformats.org/officeDocument/2006/relationships/hyperlink" Target="http://www.sec.gov/Archives/edgar/data/1384101/000110465913078343/a13-16266_158a12b.htm" TargetMode="External"/><Relationship Id="rId52" Type="http://schemas.openxmlformats.org/officeDocument/2006/relationships/hyperlink" Target="http://www.sec.gov/Archives/edgar/data/1384101/000138410120000015/vcyt-12312019xex42.htm" TargetMode="External"/><Relationship Id="rId83" Type="http://schemas.openxmlformats.org/officeDocument/2006/relationships/hyperlink" Target="http://www.sec.gov/Archives/edgar/data/1384101/000138410119000010/vcyt-12312018x10k.htm" TargetMode="External"/><Relationship Id="rId84" Type="http://schemas.openxmlformats.org/officeDocument/2006/relationships/hyperlink" Target="http://www.sec.gov/Archives/edgar/data/1384101/000138410119000038/vcyt-proxy2019xdef14a.htm" TargetMode="External"/><Relationship Id="rId85" Type="http://schemas.openxmlformats.org/officeDocument/2006/relationships/hyperlink" Target="http://www.sec.gov/Archives/edgar/data/1384101/000138410119000046/vcyt-03312019x10q.htm" TargetMode="External"/><Relationship Id="rId86" Type="http://schemas.openxmlformats.org/officeDocument/2006/relationships/hyperlink" Target="http://www.sec.gov/Archives/edgar/data/1384101/000138410119000002/materialagreement8-k.htm" TargetMode="External"/><Relationship Id="rId87" Type="http://schemas.openxmlformats.org/officeDocument/2006/relationships/hyperlink" Target="http://www.sec.gov/Archives/edgar/data/1384101/000138410119000014/form8-k2x25x19compensation.htm" TargetMode="External"/><Relationship Id="rId88" Type="http://schemas.openxmlformats.org/officeDocument/2006/relationships/hyperlink" Target="http://www.sec.gov/Archives/edgar/data/1384101/000138410119000042/vcyt-0422198xkitem5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2020-08-05T15:04:52Z</dcterms:created>
  <dcterms:modified xsi:type="dcterms:W3CDTF">2020-08-05T15:04:52Z</dcterms:modified>
</cp:coreProperties>
</file>