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1091565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7, 2024</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VERACYTE,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47" w:lineRule="exact"/>
        <w:rPr>
          <w:sz w:val="24"/>
          <w:szCs w:val="24"/>
          <w:color w:val="auto"/>
        </w:rPr>
      </w:pPr>
    </w:p>
    <w:tbl>
      <w:tblPr>
        <w:tblLayout w:type="fixed"/>
        <w:tblInd w:w="760" w:type="dxa"/>
        <w:tblCellMar>
          <w:top w:w="0" w:type="dxa"/>
          <w:left w:w="0" w:type="dxa"/>
          <w:bottom w:w="0" w:type="dxa"/>
          <w:right w:w="0" w:type="dxa"/>
        </w:tblCellMar>
      </w:tblPr>
      <w:tr>
        <w:trPr>
          <w:trHeight w:val="238"/>
        </w:trPr>
        <w:tc>
          <w:tcPr>
            <w:tcW w:w="302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720" w:type="dxa"/>
            <w:vAlign w:val="bottom"/>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001-36156</w:t>
            </w:r>
          </w:p>
        </w:tc>
        <w:tc>
          <w:tcPr>
            <w:tcW w:w="304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8"/>
              </w:rPr>
              <w:t>20-5455398</w:t>
            </w:r>
          </w:p>
        </w:tc>
      </w:tr>
      <w:tr>
        <w:trPr>
          <w:trHeight w:val="225"/>
        </w:trPr>
        <w:tc>
          <w:tcPr>
            <w:tcW w:w="302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304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(IRS Employer Identification</w:t>
            </w:r>
          </w:p>
        </w:tc>
      </w:tr>
      <w:tr>
        <w:trPr>
          <w:trHeight w:val="234"/>
        </w:trPr>
        <w:tc>
          <w:tcPr>
            <w:tcW w:w="302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rPr>
              <w:t>incorporation)</w:t>
            </w:r>
          </w:p>
        </w:tc>
        <w:tc>
          <w:tcPr>
            <w:tcW w:w="3720" w:type="dxa"/>
            <w:vAlign w:val="bottom"/>
          </w:tcPr>
          <w:p>
            <w:pPr>
              <w:spacing w:after="0"/>
              <w:rPr>
                <w:sz w:val="20"/>
                <w:szCs w:val="20"/>
                <w:color w:val="auto"/>
              </w:rPr>
            </w:pPr>
          </w:p>
        </w:tc>
        <w:tc>
          <w:tcPr>
            <w:tcW w:w="30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8"/>
              </w:rPr>
              <w:t>No.)</w:t>
            </w:r>
          </w:p>
        </w:tc>
      </w:tr>
      <w:tr>
        <w:trPr>
          <w:trHeight w:val="392"/>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6000 Shoreline Court, Suite 300, South San Francisco, California</w:t>
            </w:r>
          </w:p>
        </w:tc>
        <w:tc>
          <w:tcPr>
            <w:tcW w:w="304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257"/>
        </w:trPr>
        <w:tc>
          <w:tcPr>
            <w:tcW w:w="674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4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3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(650) 243-6300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1" w:lineRule="exact"/>
        <w:rPr>
          <w:sz w:val="24"/>
          <w:szCs w:val="24"/>
          <w:color w:val="auto"/>
        </w:rPr>
      </w:pPr>
    </w:p>
    <w:p>
      <w:pPr>
        <w:ind w:left="20" w:right="620" w:firstLine="54"/>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5"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5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263"/>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0" w:type="dxa"/>
            <w:vAlign w:val="bottom"/>
          </w:tcPr>
          <w:p>
            <w:pPr>
              <w:spacing w:after="0"/>
              <w:rPr>
                <w:sz w:val="22"/>
                <w:szCs w:val="22"/>
                <w:color w:val="auto"/>
              </w:rPr>
            </w:pPr>
          </w:p>
        </w:tc>
        <w:tc>
          <w:tcPr>
            <w:tcW w:w="2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180" w:type="dxa"/>
            <w:vAlign w:val="bottom"/>
          </w:tcPr>
          <w:p>
            <w:pPr>
              <w:spacing w:after="0"/>
              <w:rPr>
                <w:sz w:val="22"/>
                <w:szCs w:val="22"/>
                <w:color w:val="auto"/>
              </w:rPr>
            </w:pPr>
          </w:p>
        </w:tc>
        <w:tc>
          <w:tcPr>
            <w:tcW w:w="4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43"/>
        </w:trPr>
        <w:tc>
          <w:tcPr>
            <w:tcW w:w="4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VCYT</w:t>
            </w:r>
          </w:p>
        </w:tc>
        <w:tc>
          <w:tcPr>
            <w:tcW w:w="4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44" w:lineRule="exact"/>
        <w:rPr>
          <w:sz w:val="24"/>
          <w:szCs w:val="24"/>
          <w:color w:val="auto"/>
        </w:rPr>
      </w:pPr>
    </w:p>
    <w:p>
      <w:pPr>
        <w:ind w:left="20" w:right="260"/>
        <w:spacing w:after="0" w:line="253"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91" w:lineRule="exact"/>
        <w:rPr>
          <w:sz w:val="24"/>
          <w:szCs w:val="24"/>
          <w:color w:val="auto"/>
        </w:rPr>
      </w:pPr>
    </w:p>
    <w:p>
      <w:pPr>
        <w:ind w:left="20" w:right="140"/>
        <w:spacing w:after="0" w:line="23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1418590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089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7, 2024, Veracyte, Inc. issued a press release announcing its financial results for the quarter ended March 31, 2024. The full text of the press release is furnished as Exhibit 99.1 to this report.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shall not be deemed to be “filed” for purposes of Section 18 of the Securities Exchange Act of 1934 (the “Exchange Act”), or otherwise subject to the liability of that section, and shall not be incorporated by reference into any registration statement or other document filed under the Securities Act of 1933 or the Exchange Act, except as shall be expressly set forth by specific reference in such filing.</w:t>
      </w:r>
    </w:p>
    <w:p>
      <w:pPr>
        <w:spacing w:after="0" w:line="200" w:lineRule="exact"/>
        <w:rPr>
          <w:sz w:val="20"/>
          <w:szCs w:val="20"/>
          <w:color w:val="auto"/>
        </w:rPr>
      </w:pPr>
    </w:p>
    <w:p>
      <w:pPr>
        <w:spacing w:after="0" w:line="24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56"/>
        </w:trPr>
        <w:tc>
          <w:tcPr>
            <w:tcW w:w="1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2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9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c>
          <w:tcPr>
            <w:tcW w:w="320" w:type="dxa"/>
            <w:vAlign w:val="bottom"/>
          </w:tcPr>
          <w:p>
            <w:pPr>
              <w:spacing w:after="0"/>
              <w:rPr>
                <w:sz w:val="22"/>
                <w:szCs w:val="22"/>
                <w:color w:val="auto"/>
              </w:rPr>
            </w:pPr>
          </w:p>
        </w:tc>
      </w:tr>
      <w:tr>
        <w:trPr>
          <w:trHeight w:val="291"/>
        </w:trPr>
        <w:tc>
          <w:tcPr>
            <w:tcW w:w="14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issued by Veracyte, Inc. dated May 7, 2024.</w:t>
            </w:r>
          </w:p>
        </w:tc>
      </w:tr>
      <w:tr>
        <w:trPr>
          <w:trHeight w:val="20"/>
        </w:trPr>
        <w:tc>
          <w:tcPr>
            <w:tcW w:w="1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20" w:type="dxa"/>
            <w:vAlign w:val="bottom"/>
            <w:shd w:val="clear" w:color="auto" w:fill="0000FF"/>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77"/>
        </w:trPr>
        <w:tc>
          <w:tcPr>
            <w:tcW w:w="14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762"/>
        </w:trPr>
        <w:tc>
          <w:tcPr>
            <w:tcW w:w="1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12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11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May 7, 2024</w:t>
            </w:r>
          </w:p>
        </w:tc>
      </w:tr>
    </w:tbl>
    <w:p>
      <w:pPr>
        <w:spacing w:after="0" w:line="27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VERACYTE, INC.</w:t>
      </w:r>
    </w:p>
    <w:p>
      <w:pPr>
        <w:spacing w:after="0" w:line="279" w:lineRule="exact"/>
        <w:rPr>
          <w:sz w:val="20"/>
          <w:szCs w:val="20"/>
          <w:color w:val="auto"/>
        </w:rPr>
      </w:pPr>
    </w:p>
    <w:p>
      <w:pPr>
        <w:ind w:left="4260"/>
        <w:spacing w:after="0"/>
        <w:tabs>
          <w:tab w:leader="none" w:pos="5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26035</wp:posOffset>
            </wp:positionV>
            <wp:extent cx="3926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30" w:lineRule="exact"/>
        <w:rPr>
          <w:sz w:val="20"/>
          <w:szCs w:val="20"/>
          <w:color w:val="auto"/>
        </w:rPr>
      </w:pPr>
    </w:p>
    <w:p>
      <w:pPr>
        <w:ind w:left="4260"/>
        <w:spacing w:after="0"/>
        <w:tabs>
          <w:tab w:leader="none" w:pos="51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Rebecca Chambers</w:t>
      </w:r>
    </w:p>
    <w:p>
      <w:pPr>
        <w:spacing w:after="0" w:line="61" w:lineRule="exact"/>
        <w:rPr>
          <w:sz w:val="20"/>
          <w:szCs w:val="20"/>
          <w:color w:val="auto"/>
        </w:rPr>
      </w:pPr>
    </w:p>
    <w:p>
      <w:pPr>
        <w:ind w:left="4260"/>
        <w:spacing w:after="0"/>
        <w:tabs>
          <w:tab w:leader="none" w:pos="51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Chief Financial Officer</w:t>
      </w:r>
    </w:p>
    <w:p>
      <w:pPr>
        <w:spacing w:after="0" w:line="5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00"/>
          </w:cols>
          <w:pgMar w:left="320" w:top="1440"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172085</wp:posOffset>
            </wp:positionV>
            <wp:extent cx="2228850" cy="4883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2885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Veracyte Announces First Quarter 2024 Financial Results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Grew total revenue to $96.8 million, an increase of 17%</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Grew testing revenue by 25%</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Conference call and webcast today at 4:30 p.m. ET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SOUTH SAN FRANCISCO, Calif., May 7, 2024 --- Veracyte, Inc. (Nasdaq: VCYT) today announced financial results for the first quarter ended March 31, 2024.</w:t>
      </w:r>
    </w:p>
    <w:p>
      <w:pPr>
        <w:spacing w:after="0" w:line="153"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“We had a strong start to 2024, driven by robust growth from our market-leading Decipher Prostate and Afirma tests. We executed upon our strategies to further penetrate these markets by expanding our clinical evidence, and, for Decipher, securing enhanced status in guidelines while also achieving a key commercial reimbursement milestone,” said Marc Stapley, Veracyte’s chief executive officer. “We also expanded our capabilities into minimal residual disease (MRD) testing by completing our acquisition of C2i Genomics and initiating development of our first test using their novel, whole-genome approach.”</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Highlights</w:t>
      </w:r>
    </w:p>
    <w:p>
      <w:pPr>
        <w:spacing w:after="0" w:line="104" w:lineRule="exact"/>
        <w:rPr>
          <w:sz w:val="20"/>
          <w:szCs w:val="20"/>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Increased first quarter total revenue by 17% to $96.8 million, compared to the first quarter of 2023.</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Grew total test volume to 33,424, an increase of 16% compared to the first quarter of 2023.</w:t>
      </w:r>
    </w:p>
    <w:p>
      <w:pPr>
        <w:spacing w:after="0" w:line="103" w:lineRule="exact"/>
        <w:rPr>
          <w:rFonts w:ascii="Arial" w:cs="Arial" w:eastAsia="Arial" w:hAnsi="Arial"/>
          <w:sz w:val="18"/>
          <w:szCs w:val="18"/>
          <w:color w:val="auto"/>
        </w:rPr>
      </w:pPr>
    </w:p>
    <w:p>
      <w:pPr>
        <w:ind w:left="660" w:right="440" w:hanging="328"/>
        <w:spacing w:after="0" w:line="271" w:lineRule="auto"/>
        <w:tabs>
          <w:tab w:leader="none" w:pos="655" w:val="left"/>
        </w:tabs>
        <w:numPr>
          <w:ilvl w:val="1"/>
          <w:numId w:val="2"/>
        </w:numPr>
        <w:rPr>
          <w:rFonts w:ascii="Arial" w:cs="Arial" w:eastAsia="Arial" w:hAnsi="Arial"/>
          <w:sz w:val="18"/>
          <w:szCs w:val="18"/>
          <w:color w:val="auto"/>
        </w:rPr>
      </w:pPr>
      <w:r>
        <w:rPr>
          <w:rFonts w:ascii="Arial" w:cs="Arial" w:eastAsia="Arial" w:hAnsi="Arial"/>
          <w:sz w:val="18"/>
          <w:szCs w:val="18"/>
          <w:color w:val="auto"/>
        </w:rPr>
        <w:t>Received the highest-level rating among gene expression tests for the Decipher Prostate Genomic Classifier in updated NCCN* prostate cancer guidelines.</w:t>
      </w:r>
    </w:p>
    <w:p>
      <w:pPr>
        <w:spacing w:after="0" w:line="45" w:lineRule="exact"/>
        <w:rPr>
          <w:rFonts w:ascii="Arial" w:cs="Arial" w:eastAsia="Arial" w:hAnsi="Arial"/>
          <w:sz w:val="18"/>
          <w:szCs w:val="18"/>
          <w:color w:val="auto"/>
        </w:rPr>
      </w:pPr>
    </w:p>
    <w:p>
      <w:pPr>
        <w:ind w:left="660" w:right="620" w:hanging="328"/>
        <w:spacing w:after="0" w:line="271" w:lineRule="auto"/>
        <w:tabs>
          <w:tab w:leader="none" w:pos="655" w:val="left"/>
        </w:tabs>
        <w:numPr>
          <w:ilvl w:val="1"/>
          <w:numId w:val="2"/>
        </w:numPr>
        <w:rPr>
          <w:rFonts w:ascii="Arial" w:cs="Arial" w:eastAsia="Arial" w:hAnsi="Arial"/>
          <w:sz w:val="18"/>
          <w:szCs w:val="18"/>
          <w:color w:val="auto"/>
        </w:rPr>
      </w:pPr>
      <w:r>
        <w:rPr>
          <w:rFonts w:ascii="Arial" w:cs="Arial" w:eastAsia="Arial" w:hAnsi="Arial"/>
          <w:sz w:val="18"/>
          <w:szCs w:val="18"/>
          <w:color w:val="auto"/>
        </w:rPr>
        <w:t xml:space="preserve">Expanded clinical evidence for the Decipher Prostate test with a study published in </w:t>
      </w:r>
      <w:r>
        <w:rPr>
          <w:rFonts w:ascii="Arial" w:cs="Arial" w:eastAsia="Arial" w:hAnsi="Arial"/>
          <w:sz w:val="18"/>
          <w:szCs w:val="18"/>
          <w:i w:val="1"/>
          <w:iCs w:val="1"/>
          <w:color w:val="auto"/>
        </w:rPr>
        <w:t>JCO Precision Oncology</w:t>
      </w:r>
      <w:r>
        <w:rPr>
          <w:rFonts w:ascii="Arial" w:cs="Arial" w:eastAsia="Arial" w:hAnsi="Arial"/>
          <w:sz w:val="18"/>
          <w:szCs w:val="18"/>
          <w:color w:val="auto"/>
        </w:rPr>
        <w:t xml:space="preserve"> showing that it is prognostic for progression in prostate cancer patients undergoing Active Surveillance.</w:t>
      </w:r>
    </w:p>
    <w:p>
      <w:pPr>
        <w:spacing w:after="0" w:line="45" w:lineRule="exact"/>
        <w:rPr>
          <w:rFonts w:ascii="Arial" w:cs="Arial" w:eastAsia="Arial" w:hAnsi="Arial"/>
          <w:sz w:val="18"/>
          <w:szCs w:val="18"/>
          <w:color w:val="auto"/>
        </w:rPr>
      </w:pPr>
    </w:p>
    <w:p>
      <w:pPr>
        <w:ind w:left="660" w:right="220" w:hanging="328"/>
        <w:spacing w:after="0" w:line="253" w:lineRule="auto"/>
        <w:tabs>
          <w:tab w:leader="none" w:pos="655" w:val="left"/>
        </w:tabs>
        <w:numPr>
          <w:ilvl w:val="1"/>
          <w:numId w:val="2"/>
        </w:numPr>
        <w:rPr>
          <w:rFonts w:ascii="Arial" w:cs="Arial" w:eastAsia="Arial" w:hAnsi="Arial"/>
          <w:sz w:val="18"/>
          <w:szCs w:val="18"/>
          <w:color w:val="auto"/>
        </w:rPr>
      </w:pPr>
      <w:r>
        <w:rPr>
          <w:rFonts w:ascii="Arial" w:cs="Arial" w:eastAsia="Arial" w:hAnsi="Arial"/>
          <w:sz w:val="18"/>
          <w:szCs w:val="18"/>
          <w:color w:val="auto"/>
        </w:rPr>
        <w:t>Demonstrated the power of the Veracyte Diagnostic Platform to expand evidence with the presentation of 14 abstracts at the American Urological Association’s 2024 Annual Meeting, including podium presentations for our research-use-only Decipher GRID offerings in prostate cancer and bladder cancer.</w:t>
      </w:r>
    </w:p>
    <w:p>
      <w:pPr>
        <w:spacing w:after="0" w:line="60" w:lineRule="exact"/>
        <w:rPr>
          <w:rFonts w:ascii="Arial" w:cs="Arial" w:eastAsia="Arial" w:hAnsi="Arial"/>
          <w:sz w:val="18"/>
          <w:szCs w:val="18"/>
          <w:color w:val="auto"/>
        </w:rPr>
      </w:pPr>
    </w:p>
    <w:p>
      <w:pPr>
        <w:ind w:left="660" w:right="380" w:hanging="328"/>
        <w:spacing w:after="0" w:line="271" w:lineRule="auto"/>
        <w:tabs>
          <w:tab w:leader="none" w:pos="655" w:val="left"/>
        </w:tabs>
        <w:numPr>
          <w:ilvl w:val="1"/>
          <w:numId w:val="2"/>
        </w:numPr>
        <w:rPr>
          <w:rFonts w:ascii="Arial" w:cs="Arial" w:eastAsia="Arial" w:hAnsi="Arial"/>
          <w:sz w:val="18"/>
          <w:szCs w:val="18"/>
          <w:color w:val="auto"/>
        </w:rPr>
      </w:pPr>
      <w:r>
        <w:rPr>
          <w:rFonts w:ascii="Arial" w:cs="Arial" w:eastAsia="Arial" w:hAnsi="Arial"/>
          <w:sz w:val="18"/>
          <w:szCs w:val="18"/>
          <w:color w:val="auto"/>
        </w:rPr>
        <w:t>Contracted with one of the largest commercial payers in the U.S., making the Decipher Prostate test an in-network offering for its close to 30 million members.</w:t>
      </w:r>
    </w:p>
    <w:p>
      <w:pPr>
        <w:spacing w:after="0" w:line="45" w:lineRule="exact"/>
        <w:rPr>
          <w:rFonts w:ascii="Arial" w:cs="Arial" w:eastAsia="Arial" w:hAnsi="Arial"/>
          <w:sz w:val="18"/>
          <w:szCs w:val="18"/>
          <w:color w:val="auto"/>
        </w:rPr>
      </w:pPr>
    </w:p>
    <w:p>
      <w:pPr>
        <w:ind w:left="660" w:right="40" w:hanging="328"/>
        <w:spacing w:after="0" w:line="256" w:lineRule="auto"/>
        <w:tabs>
          <w:tab w:leader="none" w:pos="655" w:val="left"/>
        </w:tabs>
        <w:numPr>
          <w:ilvl w:val="1"/>
          <w:numId w:val="2"/>
        </w:numPr>
        <w:rPr>
          <w:rFonts w:ascii="Arial" w:cs="Arial" w:eastAsia="Arial" w:hAnsi="Arial"/>
          <w:sz w:val="18"/>
          <w:szCs w:val="18"/>
          <w:color w:val="auto"/>
        </w:rPr>
      </w:pPr>
      <w:r>
        <w:rPr>
          <w:rFonts w:ascii="Arial" w:cs="Arial" w:eastAsia="Arial" w:hAnsi="Arial"/>
          <w:sz w:val="18"/>
          <w:szCs w:val="18"/>
          <w:color w:val="auto"/>
        </w:rPr>
        <w:t xml:space="preserve">Received Medicare coverage for our Afirma TERT promoter gene mutation test, following publication of analytical validity data for the test in the </w:t>
      </w:r>
      <w:r>
        <w:rPr>
          <w:rFonts w:ascii="Arial" w:cs="Arial" w:eastAsia="Arial" w:hAnsi="Arial"/>
          <w:sz w:val="18"/>
          <w:szCs w:val="18"/>
          <w:i w:val="1"/>
          <w:iCs w:val="1"/>
          <w:color w:val="auto"/>
        </w:rPr>
        <w:t>Journal of Endocrinology &amp; Metabolism</w:t>
      </w:r>
      <w:r>
        <w:rPr>
          <w:rFonts w:ascii="Arial" w:cs="Arial" w:eastAsia="Arial" w:hAnsi="Arial"/>
          <w:sz w:val="18"/>
          <w:szCs w:val="18"/>
          <w:color w:val="auto"/>
        </w:rPr>
        <w:t>.</w:t>
      </w:r>
    </w:p>
    <w:p>
      <w:pPr>
        <w:spacing w:after="0" w:line="57"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Completed the acquisition of C2i Genomics and initiated development of an MRD test for muscle-invasive bladder cancer.</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Ended the first quarter with $209.2 million of cash and cash equivalents.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right="220"/>
        <w:spacing w:after="0" w:line="271" w:lineRule="auto"/>
        <w:rPr>
          <w:rFonts w:ascii="Arial" w:cs="Arial" w:eastAsia="Arial" w:hAnsi="Arial"/>
          <w:sz w:val="18"/>
          <w:szCs w:val="18"/>
          <w:color w:val="auto"/>
        </w:rPr>
      </w:pPr>
      <w:r>
        <w:rPr>
          <w:rFonts w:ascii="Arial" w:cs="Arial" w:eastAsia="Arial" w:hAnsi="Arial"/>
          <w:sz w:val="18"/>
          <w:szCs w:val="18"/>
          <w:color w:val="auto"/>
        </w:rPr>
        <w:t>* National Comprehensive Cancer Network. NCCN makes no warranties of any kind whatsoever regarding their content, use or application and disclaims any responsibility for their application or use in any way.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2024 Financial Results</w:t>
      </w:r>
    </w:p>
    <w:p>
      <w:pPr>
        <w:spacing w:after="0" w:line="333"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Total revenue for the first quarter of 2024 was $96.8 million, an increase of 17% compared to $82.4 million reported in the first quarter of 2023. Testing revenue was $90.3 million, an increase of 25% compared to $72.4 million in the first quarter of 2023, driven primarily by the strong performance of our Decipher Prostate and Afirma tests. Product revenue was $3.5 million, a decrease of 9% compared to $3.9 million in the first quarter of 2023. Biopharmaceutical and other revenue was $3.0 million, a decrease of 51% compared to $6.1 million in the first quarter of 2023.</w:t>
      </w:r>
    </w:p>
    <w:p>
      <w:pPr>
        <w:sectPr>
          <w:pgSz w:w="11900" w:h="16838" w:orient="portrait"/>
          <w:cols w:equalWidth="0" w:num="1">
            <w:col w:w="11240"/>
          </w:cols>
          <w:pgMar w:left="320" w:top="890" w:right="339" w:bottom="1440" w:gutter="0" w:footer="0" w:header="0"/>
        </w:sectPr>
      </w:pPr>
    </w:p>
    <w:bookmarkStart w:id="4" w:name="page5"/>
    <w:bookmarkEnd w:id="4"/>
    <w:p>
      <w:pPr>
        <w:ind w:right="260"/>
        <w:spacing w:after="0" w:line="253" w:lineRule="auto"/>
        <w:rPr>
          <w:sz w:val="20"/>
          <w:szCs w:val="20"/>
          <w:color w:val="auto"/>
        </w:rPr>
      </w:pPr>
      <w:r>
        <w:rPr>
          <w:rFonts w:ascii="Arial" w:cs="Arial" w:eastAsia="Arial" w:hAnsi="Arial"/>
          <w:sz w:val="18"/>
          <w:szCs w:val="18"/>
          <w:color w:val="auto"/>
        </w:rPr>
        <w:t>Total gross margin for the first quarter of 2024, including the amortization of acquired intangible assets, was 65%, compared to 62% in the first quarter of 2023. Non-GAAP gross margin, excluding the amortization of acquired intangible assets and other acquisition related expenses was 68%, compared to 68% in the first quarter of 2023.</w:t>
      </w:r>
    </w:p>
    <w:p>
      <w:pPr>
        <w:spacing w:after="0" w:line="250"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color w:val="auto"/>
        </w:rPr>
        <w:t>Operating expenses, excluding cost of revenue, were $67.1 million. Non-GAAP operating expenses, excluding cost of revenue, amortization of acquired intangible assets, other acquisition related expenses and other restructuring costs, grew 6% to $61.6 million compared to $58.1 million in the first quarter of 2023.</w:t>
      </w:r>
    </w:p>
    <w:p>
      <w:pPr>
        <w:spacing w:after="0" w:line="250" w:lineRule="exact"/>
        <w:rPr>
          <w:sz w:val="20"/>
          <w:szCs w:val="20"/>
          <w:color w:val="auto"/>
        </w:rPr>
      </w:pPr>
    </w:p>
    <w:p>
      <w:pPr>
        <w:ind w:right="240"/>
        <w:spacing w:after="0" w:line="251" w:lineRule="auto"/>
        <w:rPr>
          <w:sz w:val="20"/>
          <w:szCs w:val="20"/>
          <w:color w:val="auto"/>
        </w:rPr>
      </w:pPr>
      <w:r>
        <w:rPr>
          <w:rFonts w:ascii="Arial" w:cs="Arial" w:eastAsia="Arial" w:hAnsi="Arial"/>
          <w:sz w:val="17"/>
          <w:szCs w:val="17"/>
          <w:color w:val="auto"/>
        </w:rPr>
        <w:t>Net loss for the first quarter of 2024 was $1.9 million, an improvement of 77% compared to the first quarter of 2023. Basic and diluted net loss per common share was $0.02, an improvement of $0.09 compared to the first quarter of 2023. Net cash used in operating activities in</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the first three months of 2024 was $9.0 million inclusive of the typical annual bonus payments and payroll tax reset in the first quarter, as well as C2i acquisition-related expenses, an increase of $6.8 million compared to the same period in 2023.</w:t>
      </w:r>
    </w:p>
    <w:p>
      <w:pPr>
        <w:spacing w:after="0" w:line="199"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A reconciliation of GAAP to non-GAAP financial measures has been provided in the tables included in this press release. An explanation of these measures is also included below under the heading "Note Regarding Use of Non-GAAP Financial Measures."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2024 Financial Outlook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222222"/>
        </w:rPr>
        <w:t>The company is raising full-year 2024 total revenue guidance to $402 million to $410 million, representing year-over-year growth of 11% to</w:t>
      </w:r>
    </w:p>
    <w:p>
      <w:pPr>
        <w:spacing w:after="0" w:line="3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222222"/>
        </w:rPr>
        <w:t>14% and testing growth of 15% to 18%. This guidance range represents an increase compared to prior guidance of $394 million to $402 million. In addition, the company now expects cash, cash equivalents and short-term investments at the end of the year to be $236 million to $240 million compared to prior guidance of $230 million to $234 million.</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 Details</w:t>
      </w:r>
    </w:p>
    <w:p>
      <w:pPr>
        <w:spacing w:after="0" w:line="239" w:lineRule="exact"/>
        <w:rPr>
          <w:sz w:val="20"/>
          <w:szCs w:val="20"/>
          <w:color w:val="auto"/>
        </w:rPr>
      </w:pPr>
    </w:p>
    <w:p>
      <w:pPr>
        <w:ind w:right="240"/>
        <w:spacing w:after="0" w:line="244" w:lineRule="auto"/>
        <w:rPr>
          <w:sz w:val="20"/>
          <w:szCs w:val="20"/>
          <w:color w:val="auto"/>
        </w:rPr>
      </w:pPr>
      <w:r>
        <w:rPr>
          <w:rFonts w:ascii="Arial" w:cs="Arial" w:eastAsia="Arial" w:hAnsi="Arial"/>
          <w:sz w:val="18"/>
          <w:szCs w:val="18"/>
          <w:color w:val="auto"/>
        </w:rPr>
        <w:t xml:space="preserve">Veracyte will host a conference call and webcast today at 4:30 p.m. Eastern Time to discuss the company's financial results and provide a general business update. The conference call will be webcast live from the company’s website and will be available via the following link: </w:t>
      </w:r>
      <w:r>
        <w:rPr>
          <w:rFonts w:ascii="Arial" w:cs="Arial" w:eastAsia="Arial" w:hAnsi="Arial"/>
          <w:sz w:val="18"/>
          <w:szCs w:val="18"/>
          <w:color w:val="0563C1"/>
        </w:rPr>
        <w:t>https://edge.media-server.com/mmc/p/6m9ec99y</w:t>
      </w:r>
      <w:r>
        <w:rPr>
          <w:rFonts w:ascii="Arial" w:cs="Arial" w:eastAsia="Arial" w:hAnsi="Arial"/>
          <w:sz w:val="18"/>
          <w:szCs w:val="18"/>
          <w:color w:val="000000"/>
        </w:rPr>
        <w:t>. The webcast should be accessed 10 minutes prior to the conference call start time. A</w:t>
      </w:r>
      <w:r>
        <w:rPr>
          <w:rFonts w:ascii="Arial" w:cs="Arial" w:eastAsia="Arial" w:hAnsi="Arial"/>
          <w:sz w:val="18"/>
          <w:szCs w:val="18"/>
          <w:color w:val="0563C1"/>
        </w:rPr>
        <w:t xml:space="preserve"> </w:t>
      </w:r>
      <w:r>
        <w:rPr>
          <w:rFonts w:ascii="Arial" w:cs="Arial" w:eastAsia="Arial" w:hAnsi="Arial"/>
          <w:sz w:val="18"/>
          <w:szCs w:val="18"/>
          <w:color w:val="000000"/>
        </w:rPr>
        <w:t xml:space="preserve">replay of the webcast will be available for one year following the conclusion of the live broadcast and will be accessible on the company’s website at </w:t>
      </w:r>
      <w:r>
        <w:rPr>
          <w:rFonts w:ascii="Arial" w:cs="Arial" w:eastAsia="Arial" w:hAnsi="Arial"/>
          <w:sz w:val="18"/>
          <w:szCs w:val="18"/>
          <w:color w:val="0000FF"/>
        </w:rPr>
        <w:t>https://investor.veracyte.com/events-presentations</w:t>
      </w:r>
      <w:r>
        <w:rPr>
          <w:rFonts w:ascii="Arial" w:cs="Arial" w:eastAsia="Arial" w:hAnsi="Arial"/>
          <w:sz w:val="18"/>
          <w:szCs w:val="18"/>
          <w:color w:val="000000"/>
        </w:rPr>
        <w: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conference call dial-in can be accessed by registering at the following link</w:t>
      </w:r>
      <w:r>
        <w:rPr>
          <w:rFonts w:ascii="Arial" w:cs="Arial" w:eastAsia="Arial" w:hAnsi="Arial"/>
          <w:sz w:val="18"/>
          <w:szCs w:val="18"/>
          <w:color w:val="0000FF"/>
        </w:rPr>
        <w: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0563C1"/>
        </w:rPr>
        <w:t>https://register.vevent.com/register/BI5ccb6c3c55e34500b5c9256eb8e1a7f4</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Veracyte</w:t>
      </w:r>
    </w:p>
    <w:p>
      <w:pPr>
        <w:spacing w:after="0" w:line="239"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222222"/>
        </w:rPr>
        <w:t>Veracyte (Nasdaq: VCYT) is a global diagnostics company whose vision is to transform cancer care for patients all over the world. We empower clinicians with the high-value insights they need to guide and assure patients at pivotal moments in the race to diagnose and treat</w:t>
      </w:r>
    </w:p>
    <w:p>
      <w:pPr>
        <w:spacing w:after="0" w:line="1" w:lineRule="exact"/>
        <w:rPr>
          <w:sz w:val="20"/>
          <w:szCs w:val="20"/>
          <w:color w:val="auto"/>
        </w:rPr>
      </w:pPr>
    </w:p>
    <w:p>
      <w:pPr>
        <w:ind w:right="140"/>
        <w:spacing w:after="0" w:line="234" w:lineRule="auto"/>
        <w:rPr>
          <w:sz w:val="20"/>
          <w:szCs w:val="20"/>
          <w:color w:val="auto"/>
        </w:rPr>
      </w:pPr>
      <w:r>
        <w:rPr>
          <w:rFonts w:ascii="Arial" w:cs="Arial" w:eastAsia="Arial" w:hAnsi="Arial"/>
          <w:sz w:val="18"/>
          <w:szCs w:val="18"/>
          <w:color w:val="222222"/>
        </w:rPr>
        <w:t xml:space="preserve">cancer. Our Veracyte Diagnostics Platform delivers high-performing cancer tests that are fueled by broad genomic and clinical data, deep bioinformatic and AI capabilities, and a powerful evidence-generation engine, which ultimately drives durable reimbursement and guideline inclusion for our tests, along with new insights to support continued innovation and pipeline development. </w:t>
      </w:r>
      <w:r>
        <w:rPr>
          <w:rFonts w:ascii="Arial" w:cs="Arial" w:eastAsia="Arial" w:hAnsi="Arial"/>
          <w:sz w:val="18"/>
          <w:szCs w:val="18"/>
          <w:color w:val="000000"/>
        </w:rPr>
        <w:t>For more information, please visit</w:t>
      </w:r>
      <w:r>
        <w:rPr>
          <w:rFonts w:ascii="Arial" w:cs="Arial" w:eastAsia="Arial" w:hAnsi="Arial"/>
          <w:sz w:val="18"/>
          <w:szCs w:val="18"/>
          <w:color w:val="222222"/>
        </w:rPr>
        <w:t xml:space="preserve"> </w:t>
      </w:r>
      <w:r>
        <w:rPr>
          <w:rFonts w:ascii="Arial" w:cs="Arial" w:eastAsia="Arial" w:hAnsi="Arial"/>
          <w:sz w:val="18"/>
          <w:szCs w:val="18"/>
          <w:color w:val="0563C1"/>
        </w:rPr>
        <w:t xml:space="preserve">www.veracyte.com </w:t>
      </w:r>
      <w:r>
        <w:rPr>
          <w:rFonts w:ascii="Arial" w:cs="Arial" w:eastAsia="Arial" w:hAnsi="Arial"/>
          <w:sz w:val="18"/>
          <w:szCs w:val="18"/>
          <w:color w:val="000000"/>
        </w:rPr>
        <w:t>or follow us on</w:t>
      </w:r>
      <w:r>
        <w:rPr>
          <w:rFonts w:ascii="Arial" w:cs="Arial" w:eastAsia="Arial" w:hAnsi="Arial"/>
          <w:sz w:val="18"/>
          <w:szCs w:val="18"/>
          <w:color w:val="0563C1"/>
        </w:rPr>
        <w:t xml:space="preserve"> LinkedIn </w:t>
      </w:r>
      <w:r>
        <w:rPr>
          <w:rFonts w:ascii="Arial" w:cs="Arial" w:eastAsia="Arial" w:hAnsi="Arial"/>
          <w:sz w:val="18"/>
          <w:szCs w:val="18"/>
          <w:color w:val="000000"/>
        </w:rPr>
        <w:t>or</w:t>
      </w:r>
      <w:r>
        <w:rPr>
          <w:rFonts w:ascii="Arial" w:cs="Arial" w:eastAsia="Arial" w:hAnsi="Arial"/>
          <w:sz w:val="18"/>
          <w:szCs w:val="18"/>
          <w:color w:val="0563C1"/>
        </w:rPr>
        <w:t xml:space="preserve"> X (Twitter).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39"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This press release contains forward-looking statements, including, but not limited to our statements related to our plans, objectives, and expectations (financial and otherwise), including with respect to 2024 financial and operating results; statements regarding the expected benefits of the acquisition of C2i Genomics; and our intentions with respect to our tests and products, for use in diagnosing and treating diseases, in and outside of the United States. Forward-looking statements can be identified by words such as: “appears,” “anticipate,” “intend,” “plan,” “expect,” “believe,” “should,” “may,” “will,” “enable,” “positioned,” “offers,” “designed” and similar references to future periods.</w:t>
      </w:r>
    </w:p>
    <w:p>
      <w:pPr>
        <w:sectPr>
          <w:pgSz w:w="11900" w:h="16838" w:orient="portrait"/>
          <w:cols w:equalWidth="0" w:num="1">
            <w:col w:w="11200"/>
          </w:cols>
          <w:pgMar w:left="320" w:top="1174" w:right="379" w:bottom="1440" w:gutter="0" w:footer="0" w:header="0"/>
        </w:sectPr>
      </w:pPr>
    </w:p>
    <w:bookmarkStart w:id="5" w:name="page6"/>
    <w:bookmarkEnd w:id="5"/>
    <w:p>
      <w:pPr>
        <w:spacing w:after="0" w:line="238" w:lineRule="auto"/>
        <w:rPr>
          <w:sz w:val="20"/>
          <w:szCs w:val="20"/>
          <w:color w:val="auto"/>
        </w:rPr>
      </w:pPr>
      <w:r>
        <w:rPr>
          <w:rFonts w:ascii="Arial" w:cs="Arial" w:eastAsia="Arial" w:hAnsi="Arial"/>
          <w:sz w:val="18"/>
          <w:szCs w:val="18"/>
          <w:color w:val="auto"/>
        </w:rPr>
        <w:t>Actual results may differ materially from those projected or suggested in any forward-looking statements. These statements involve risks and uncertainties, which could cause actual results to differ materially from our predictions, and include, but are not limited to: our ability to launch, commercialize and receive reimbursement for our products; our ability to execute on our business strategies relating to the C2i Genomics acquisition, integration of the business and the realization of expected benefits and synergies; our ability to demonstrate the validity and utility of our genomic tests and biopharma and other offerings; our ability to continue executing on our business plan; our ability to continue to scale our global operations and enhance our internal control environment; the impact of the war in Ukraine and other regional</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7"/>
          <w:szCs w:val="17"/>
          <w:color w:val="auto"/>
        </w:rPr>
        <w:t>conflicts on European economies and energy supply, as well as our facilities in France; the impact of foreign currency fluctuations, increasing interest rates, inflation, potential government shutdowns and turmoil in the global banking and finance system; and the performance and</w:t>
      </w:r>
    </w:p>
    <w:p>
      <w:pPr>
        <w:spacing w:after="0" w:line="1"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utility of our tests in the clinical environment. Additional factors that may impact these forward-looking statements can be found under the caption “Risk Factors” in our Annual Report on Form 10-K filed on February 29, 2024, and our Quarterly Report on Form 10-Q filed for the three months ended March 31, 2024, to be filed May 8, 2024, as well as in other documents that we may file from time to time with the Securities and Exchange Commission. Copies of these documents, when available, may be found in the Investors section of our website at investor.veracyte.com. These forward-looking statements speak only as of the date hereof and, except as required by law, we specifically disclaim any obligation to update these forward-looking statements or reasons why actual results might differ, whether as a result of new information, future events or otherwise.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Veracyte, the Veracyte logo, Decipher, C2i Genomics, and Afirma are registered trademarks of Veracyte, Inc., and its subsidiaries in the U.S.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and selected countries.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Use of Non-GAAP Financial Measures</w:t>
      </w:r>
    </w:p>
    <w:p>
      <w:pPr>
        <w:spacing w:after="0" w:line="225" w:lineRule="exact"/>
        <w:rPr>
          <w:sz w:val="20"/>
          <w:szCs w:val="20"/>
          <w:color w:val="auto"/>
        </w:rPr>
      </w:pPr>
    </w:p>
    <w:p>
      <w:pPr>
        <w:ind w:right="20"/>
        <w:spacing w:after="0" w:line="210" w:lineRule="exact"/>
        <w:rPr>
          <w:sz w:val="20"/>
          <w:szCs w:val="20"/>
          <w:color w:val="auto"/>
        </w:rPr>
      </w:pPr>
      <w:r>
        <w:rPr>
          <w:rFonts w:ascii="Arial" w:cs="Arial" w:eastAsia="Arial" w:hAnsi="Arial"/>
          <w:sz w:val="18"/>
          <w:szCs w:val="18"/>
          <w:color w:val="auto"/>
        </w:rPr>
        <w:t>In addition to the financial measures prepared in accordance with generally accepted accounting principles (GAAP), this press release and the accompanying tables contain, and reference certain non</w:t>
      </w:r>
      <w:r>
        <w:rPr>
          <w:rFonts w:ascii="MS PGothic" w:cs="MS PGothic" w:eastAsia="MS PGothic" w:hAnsi="MS PGothic"/>
          <w:sz w:val="18"/>
          <w:szCs w:val="18"/>
          <w:color w:val="auto"/>
        </w:rPr>
        <w:t>‐</w:t>
      </w:r>
      <w:r>
        <w:rPr>
          <w:rFonts w:ascii="Arial" w:cs="Arial" w:eastAsia="Arial" w:hAnsi="Arial"/>
          <w:sz w:val="18"/>
          <w:szCs w:val="18"/>
          <w:color w:val="auto"/>
        </w:rPr>
        <w:t>GAAP results including non-GAAP gross margin, non-GAAP operating expenses, and non-GAAP loss from operations. These measures are not meant to be considered superior to or a substitute for financial measures calculated in accordance with GAAP, and investors are cautioned that there are material limitations associated with the use of non-GAAP financial measures as an analytical tool.</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We use non-GAAP measures to internally evaluate and analyze financial results. We believe these non-GAAP financial measures provide</w:t>
      </w:r>
    </w:p>
    <w:p>
      <w:pPr>
        <w:spacing w:after="0" w:line="14" w:lineRule="exact"/>
        <w:rPr>
          <w:sz w:val="20"/>
          <w:szCs w:val="20"/>
          <w:color w:val="auto"/>
        </w:rPr>
      </w:pPr>
    </w:p>
    <w:p>
      <w:pPr>
        <w:ind w:right="320"/>
        <w:spacing w:after="0" w:line="226" w:lineRule="auto"/>
        <w:rPr>
          <w:sz w:val="20"/>
          <w:szCs w:val="20"/>
          <w:color w:val="auto"/>
        </w:rPr>
      </w:pPr>
      <w:r>
        <w:rPr>
          <w:rFonts w:ascii="Arial" w:cs="Arial" w:eastAsia="Arial" w:hAnsi="Arial"/>
          <w:sz w:val="18"/>
          <w:szCs w:val="18"/>
          <w:color w:val="auto"/>
        </w:rPr>
        <w:t>investors with useful supplemental information about the financial performance of our business, enable comparison of financial results between periods where certain items may vary independent of business performance, and enable comparison of our financial results with</w:t>
      </w:r>
    </w:p>
    <w:p>
      <w:pPr>
        <w:spacing w:after="0" w:line="2"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other public companies, many of which present similar non-GAAP financial measures. However, the non-GAAP measures we present may be different from those used by other companies.</w:t>
      </w:r>
    </w:p>
    <w:p>
      <w:pPr>
        <w:spacing w:after="0" w:line="199" w:lineRule="exact"/>
        <w:rPr>
          <w:sz w:val="20"/>
          <w:szCs w:val="20"/>
          <w:color w:val="auto"/>
        </w:rPr>
      </w:pPr>
    </w:p>
    <w:p>
      <w:pPr>
        <w:ind w:right="40"/>
        <w:spacing w:after="0" w:line="211" w:lineRule="exact"/>
        <w:rPr>
          <w:sz w:val="20"/>
          <w:szCs w:val="20"/>
          <w:color w:val="auto"/>
        </w:rPr>
      </w:pPr>
      <w:r>
        <w:rPr>
          <w:rFonts w:ascii="Arial" w:cs="Arial" w:eastAsia="Arial" w:hAnsi="Arial"/>
          <w:sz w:val="18"/>
          <w:szCs w:val="18"/>
          <w:color w:val="auto"/>
        </w:rPr>
        <w:t>We exclude amortization of acquired intangible assets, acquisition-related expenses relating to our acquisitions of Decipher Biosciences, HalioDx and C2i Genomics, impairment charges associated with the nCounter license and other biopharmaceutical services related HalioDx intangible assets and certain costs related to restructuring from certain of our non-GAAP measures. Management has excluded the effects of these items in non-GAAP measures to help investors gain a better understanding of the core operating results and future prospects of the company, consistent with how management measures and forecasts the company's performance, especially when comparing such results to previous periods or forecasts. The company encourages investors to carefully consider its results under GAAP, as well as its supplemental non</w:t>
      </w:r>
      <w:r>
        <w:rPr>
          <w:rFonts w:ascii="MS PGothic" w:cs="MS PGothic" w:eastAsia="MS PGothic" w:hAnsi="MS PGothic"/>
          <w:sz w:val="18"/>
          <w:szCs w:val="18"/>
          <w:color w:val="auto"/>
        </w:rPr>
        <w:t>‐</w:t>
      </w:r>
      <w:r>
        <w:rPr>
          <w:rFonts w:ascii="Arial" w:cs="Arial" w:eastAsia="Arial" w:hAnsi="Arial"/>
          <w:sz w:val="18"/>
          <w:szCs w:val="18"/>
          <w:color w:val="auto"/>
        </w:rPr>
        <w:t>GAAP information and the reconciliation between these presentations, to more fully understand its business.</w:t>
      </w:r>
    </w:p>
    <w:p>
      <w:pPr>
        <w:sectPr>
          <w:pgSz w:w="11900" w:h="16838" w:orient="portrait"/>
          <w:cols w:equalWidth="0" w:num="1">
            <w:col w:w="11240"/>
          </w:cols>
          <w:pgMar w:left="320" w:top="877" w:right="339" w:bottom="1440" w:gutter="0" w:footer="0" w:header="0"/>
        </w:sectPr>
      </w:pPr>
    </w:p>
    <w:bookmarkStart w:id="6" w:name="page7"/>
    <w:bookmarkEnd w:id="6"/>
    <w:p>
      <w:pPr>
        <w:spacing w:after="0" w:line="72" w:lineRule="exact"/>
        <w:rPr>
          <w:sz w:val="20"/>
          <w:szCs w:val="20"/>
          <w:color w:val="auto"/>
        </w:rPr>
      </w:pPr>
    </w:p>
    <w:p>
      <w:pPr>
        <w:jc w:val="center"/>
        <w:ind w:right="-291"/>
        <w:spacing w:after="0"/>
        <w:rPr>
          <w:sz w:val="20"/>
          <w:szCs w:val="20"/>
          <w:color w:val="auto"/>
        </w:rPr>
      </w:pPr>
      <w:r>
        <w:rPr>
          <w:rFonts w:ascii="Arial" w:cs="Arial" w:eastAsia="Arial" w:hAnsi="Arial"/>
          <w:sz w:val="18"/>
          <w:szCs w:val="18"/>
          <w:color w:val="auto"/>
        </w:rPr>
        <w:t>VERACYTE, INC.</w:t>
      </w:r>
    </w:p>
    <w:p>
      <w:pPr>
        <w:spacing w:after="0" w:line="32" w:lineRule="exact"/>
        <w:rPr>
          <w:sz w:val="20"/>
          <w:szCs w:val="20"/>
          <w:color w:val="auto"/>
        </w:rPr>
      </w:pPr>
    </w:p>
    <w:p>
      <w:pPr>
        <w:jc w:val="center"/>
        <w:ind w:right="-291"/>
        <w:spacing w:after="0"/>
        <w:rPr>
          <w:sz w:val="20"/>
          <w:szCs w:val="20"/>
          <w:color w:val="auto"/>
        </w:rPr>
      </w:pPr>
      <w:r>
        <w:rPr>
          <w:rFonts w:ascii="Arial" w:cs="Arial" w:eastAsia="Arial" w:hAnsi="Arial"/>
          <w:sz w:val="18"/>
          <w:szCs w:val="18"/>
          <w:color w:val="auto"/>
        </w:rPr>
        <w:t>CONDENSED CONSOLIDATED STATEMENTS OF OPERATIONS</w:t>
      </w:r>
    </w:p>
    <w:p>
      <w:pPr>
        <w:spacing w:after="0" w:line="23" w:lineRule="exact"/>
        <w:rPr>
          <w:sz w:val="20"/>
          <w:szCs w:val="20"/>
          <w:color w:val="auto"/>
        </w:rPr>
      </w:pPr>
    </w:p>
    <w:p>
      <w:pPr>
        <w:jc w:val="center"/>
        <w:ind w:right="-291"/>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ind w:right="-291"/>
        <w:spacing w:after="0"/>
        <w:rPr>
          <w:sz w:val="20"/>
          <w:szCs w:val="20"/>
          <w:color w:val="auto"/>
        </w:rPr>
      </w:pPr>
      <w:r>
        <w:rPr>
          <w:rFonts w:ascii="Arial" w:cs="Arial" w:eastAsia="Arial" w:hAnsi="Arial"/>
          <w:sz w:val="18"/>
          <w:szCs w:val="18"/>
          <w:color w:val="auto"/>
        </w:rPr>
        <w:t>(In thousands, except share and per share amounts)</w:t>
      </w:r>
    </w:p>
    <w:p>
      <w:pPr>
        <w:spacing w:after="0" w:line="270" w:lineRule="exact"/>
        <w:rPr>
          <w:sz w:val="20"/>
          <w:szCs w:val="20"/>
          <w:color w:val="auto"/>
        </w:rPr>
      </w:pPr>
    </w:p>
    <w:tbl>
      <w:tblPr>
        <w:tblLayout w:type="fixed"/>
        <w:tblInd w:w="1592" w:type="dxa"/>
        <w:tblCellMar>
          <w:top w:w="0" w:type="dxa"/>
          <w:left w:w="0" w:type="dxa"/>
          <w:bottom w:w="0" w:type="dxa"/>
          <w:right w:w="0" w:type="dxa"/>
        </w:tblCellMar>
      </w:tblPr>
      <w:tr>
        <w:trPr>
          <w:trHeight w:val="242"/>
        </w:trPr>
        <w:tc>
          <w:tcPr>
            <w:tcW w:w="5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color w:val="auto"/>
              </w:rPr>
              <w:t>Three Months Ended March 31,</w:t>
            </w:r>
          </w:p>
        </w:tc>
        <w:tc>
          <w:tcPr>
            <w:tcW w:w="0" w:type="dxa"/>
            <w:vAlign w:val="bottom"/>
          </w:tcPr>
          <w:p>
            <w:pPr>
              <w:spacing w:after="0"/>
              <w:rPr>
                <w:sz w:val="1"/>
                <w:szCs w:val="1"/>
                <w:color w:val="auto"/>
              </w:rPr>
            </w:pPr>
          </w:p>
        </w:tc>
      </w:tr>
      <w:tr>
        <w:trPr>
          <w:trHeight w:val="237"/>
        </w:trPr>
        <w:tc>
          <w:tcPr>
            <w:tcW w:w="5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11"/>
        </w:trPr>
        <w:tc>
          <w:tcPr>
            <w:tcW w:w="5240" w:type="dxa"/>
            <w:vAlign w:val="bottom"/>
          </w:tcPr>
          <w:p>
            <w:pPr>
              <w:spacing w:after="0"/>
              <w:rPr>
                <w:sz w:val="20"/>
                <w:szCs w:val="20"/>
                <w:color w:val="auto"/>
              </w:rPr>
            </w:pPr>
            <w:r>
              <w:rPr>
                <w:rFonts w:ascii="Arial" w:cs="Arial" w:eastAsia="Arial" w:hAnsi="Arial"/>
                <w:sz w:val="18"/>
                <w:szCs w:val="18"/>
                <w:color w:val="auto"/>
              </w:rPr>
              <w:t>Revenue:</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00"/>
              <w:spacing w:after="0"/>
              <w:rPr>
                <w:sz w:val="20"/>
                <w:szCs w:val="20"/>
                <w:color w:val="auto"/>
              </w:rPr>
            </w:pPr>
            <w:r>
              <w:rPr>
                <w:rFonts w:ascii="Arial" w:cs="Arial" w:eastAsia="Arial" w:hAnsi="Arial"/>
                <w:sz w:val="18"/>
                <w:szCs w:val="18"/>
                <w:color w:val="auto"/>
              </w:rPr>
              <w:t>Testing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90,303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72,396</w:t>
            </w:r>
          </w:p>
        </w:tc>
        <w:tc>
          <w:tcPr>
            <w:tcW w:w="0" w:type="dxa"/>
            <w:vAlign w:val="bottom"/>
          </w:tcPr>
          <w:p>
            <w:pPr>
              <w:spacing w:after="0"/>
              <w:rPr>
                <w:sz w:val="1"/>
                <w:szCs w:val="1"/>
                <w:color w:val="auto"/>
              </w:rPr>
            </w:pPr>
          </w:p>
        </w:tc>
      </w:tr>
      <w:tr>
        <w:trPr>
          <w:trHeight w:val="230"/>
        </w:trPr>
        <w:tc>
          <w:tcPr>
            <w:tcW w:w="5240" w:type="dxa"/>
            <w:vAlign w:val="bottom"/>
          </w:tcPr>
          <w:p>
            <w:pPr>
              <w:ind w:left="100"/>
              <w:spacing w:after="0"/>
              <w:rPr>
                <w:sz w:val="20"/>
                <w:szCs w:val="20"/>
                <w:color w:val="auto"/>
              </w:rPr>
            </w:pPr>
            <w:r>
              <w:rPr>
                <w:rFonts w:ascii="Arial" w:cs="Arial" w:eastAsia="Arial" w:hAnsi="Arial"/>
                <w:sz w:val="18"/>
                <w:szCs w:val="18"/>
                <w:color w:val="auto"/>
              </w:rPr>
              <w:t>Product revenue</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3,537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3,892</w:t>
            </w:r>
          </w:p>
        </w:tc>
        <w:tc>
          <w:tcPr>
            <w:tcW w:w="0" w:type="dxa"/>
            <w:vAlign w:val="bottom"/>
          </w:tcPr>
          <w:p>
            <w:pPr>
              <w:spacing w:after="0"/>
              <w:rPr>
                <w:sz w:val="1"/>
                <w:szCs w:val="1"/>
                <w:color w:val="auto"/>
              </w:rPr>
            </w:pPr>
          </w:p>
        </w:tc>
      </w:tr>
      <w:tr>
        <w:trPr>
          <w:trHeight w:val="235"/>
        </w:trPr>
        <w:tc>
          <w:tcPr>
            <w:tcW w:w="5240" w:type="dxa"/>
            <w:vAlign w:val="bottom"/>
          </w:tcPr>
          <w:p>
            <w:pPr>
              <w:ind w:left="100"/>
              <w:spacing w:after="0"/>
              <w:rPr>
                <w:sz w:val="20"/>
                <w:szCs w:val="20"/>
                <w:color w:val="auto"/>
              </w:rPr>
            </w:pPr>
            <w:r>
              <w:rPr>
                <w:rFonts w:ascii="Arial" w:cs="Arial" w:eastAsia="Arial" w:hAnsi="Arial"/>
                <w:sz w:val="18"/>
                <w:szCs w:val="18"/>
                <w:color w:val="auto"/>
              </w:rPr>
              <w:t>Biopharmaceutical and other revenue</w:t>
            </w: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3,004</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6,134</w:t>
            </w:r>
          </w:p>
        </w:tc>
        <w:tc>
          <w:tcPr>
            <w:tcW w:w="0" w:type="dxa"/>
            <w:vAlign w:val="bottom"/>
          </w:tcPr>
          <w:p>
            <w:pPr>
              <w:spacing w:after="0"/>
              <w:rPr>
                <w:sz w:val="1"/>
                <w:szCs w:val="1"/>
                <w:color w:val="auto"/>
              </w:rPr>
            </w:pPr>
          </w:p>
        </w:tc>
      </w:tr>
      <w:tr>
        <w:trPr>
          <w:trHeight w:val="223"/>
        </w:trPr>
        <w:tc>
          <w:tcPr>
            <w:tcW w:w="5240" w:type="dxa"/>
            <w:vAlign w:val="bottom"/>
          </w:tcPr>
          <w:p>
            <w:pPr>
              <w:ind w:left="220"/>
              <w:spacing w:after="0"/>
              <w:rPr>
                <w:sz w:val="20"/>
                <w:szCs w:val="20"/>
                <w:color w:val="auto"/>
              </w:rPr>
            </w:pPr>
            <w:r>
              <w:rPr>
                <w:rFonts w:ascii="Arial" w:cs="Arial" w:eastAsia="Arial" w:hAnsi="Arial"/>
                <w:sz w:val="18"/>
                <w:szCs w:val="18"/>
                <w:color w:val="auto"/>
              </w:rPr>
              <w:t>Total revenue</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96,844</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82,422</w:t>
            </w:r>
          </w:p>
        </w:tc>
        <w:tc>
          <w:tcPr>
            <w:tcW w:w="0" w:type="dxa"/>
            <w:vAlign w:val="bottom"/>
          </w:tcPr>
          <w:p>
            <w:pPr>
              <w:spacing w:after="0"/>
              <w:rPr>
                <w:sz w:val="1"/>
                <w:szCs w:val="1"/>
                <w:color w:val="auto"/>
              </w:rPr>
            </w:pPr>
          </w:p>
        </w:tc>
      </w:tr>
      <w:tr>
        <w:trPr>
          <w:trHeight w:val="461"/>
        </w:trPr>
        <w:tc>
          <w:tcPr>
            <w:tcW w:w="5240" w:type="dxa"/>
            <w:vAlign w:val="bottom"/>
          </w:tcPr>
          <w:p>
            <w:pPr>
              <w:spacing w:after="0"/>
              <w:rPr>
                <w:sz w:val="20"/>
                <w:szCs w:val="20"/>
                <w:color w:val="auto"/>
              </w:rPr>
            </w:pPr>
            <w:r>
              <w:rPr>
                <w:rFonts w:ascii="Arial" w:cs="Arial" w:eastAsia="Arial" w:hAnsi="Arial"/>
                <w:sz w:val="18"/>
                <w:szCs w:val="18"/>
                <w:color w:val="auto"/>
              </w:rPr>
              <w:t>Operating expenses (1):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00"/>
              <w:spacing w:after="0"/>
              <w:rPr>
                <w:sz w:val="20"/>
                <w:szCs w:val="20"/>
                <w:color w:val="auto"/>
              </w:rPr>
            </w:pPr>
            <w:r>
              <w:rPr>
                <w:rFonts w:ascii="Arial" w:cs="Arial" w:eastAsia="Arial" w:hAnsi="Arial"/>
                <w:sz w:val="18"/>
                <w:szCs w:val="18"/>
                <w:color w:val="auto"/>
              </w:rPr>
              <w:t>Cost of testing revenue</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25,979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19,648</w:t>
            </w:r>
          </w:p>
        </w:tc>
        <w:tc>
          <w:tcPr>
            <w:tcW w:w="0" w:type="dxa"/>
            <w:vAlign w:val="bottom"/>
          </w:tcPr>
          <w:p>
            <w:pPr>
              <w:spacing w:after="0"/>
              <w:rPr>
                <w:sz w:val="1"/>
                <w:szCs w:val="1"/>
                <w:color w:val="auto"/>
              </w:rPr>
            </w:pPr>
          </w:p>
        </w:tc>
      </w:tr>
      <w:tr>
        <w:trPr>
          <w:trHeight w:val="230"/>
        </w:trPr>
        <w:tc>
          <w:tcPr>
            <w:tcW w:w="5240" w:type="dxa"/>
            <w:vAlign w:val="bottom"/>
          </w:tcPr>
          <w:p>
            <w:pPr>
              <w:ind w:left="100"/>
              <w:spacing w:after="0"/>
              <w:rPr>
                <w:sz w:val="20"/>
                <w:szCs w:val="20"/>
                <w:color w:val="auto"/>
              </w:rPr>
            </w:pPr>
            <w:r>
              <w:rPr>
                <w:rFonts w:ascii="Arial" w:cs="Arial" w:eastAsia="Arial" w:hAnsi="Arial"/>
                <w:sz w:val="18"/>
                <w:szCs w:val="18"/>
                <w:color w:val="auto"/>
              </w:rPr>
              <w:t>Cost of product revenue</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2,162</w:t>
            </w:r>
          </w:p>
        </w:tc>
        <w:tc>
          <w:tcPr>
            <w:tcW w:w="0" w:type="dxa"/>
            <w:vAlign w:val="bottom"/>
          </w:tcPr>
          <w:p>
            <w:pPr>
              <w:spacing w:after="0"/>
              <w:rPr>
                <w:sz w:val="1"/>
                <w:szCs w:val="1"/>
                <w:color w:val="auto"/>
              </w:rPr>
            </w:pPr>
          </w:p>
        </w:tc>
      </w:tr>
      <w:tr>
        <w:trPr>
          <w:trHeight w:val="229"/>
        </w:trPr>
        <w:tc>
          <w:tcPr>
            <w:tcW w:w="5240" w:type="dxa"/>
            <w:vAlign w:val="bottom"/>
          </w:tcPr>
          <w:p>
            <w:pPr>
              <w:ind w:left="100"/>
              <w:spacing w:after="0"/>
              <w:rPr>
                <w:sz w:val="20"/>
                <w:szCs w:val="20"/>
                <w:color w:val="auto"/>
              </w:rPr>
            </w:pPr>
            <w:r>
              <w:rPr>
                <w:rFonts w:ascii="Arial" w:cs="Arial" w:eastAsia="Arial" w:hAnsi="Arial"/>
                <w:sz w:val="18"/>
                <w:szCs w:val="18"/>
                <w:color w:val="auto"/>
              </w:rPr>
              <w:t>Cost of biopharmaceutical and other revenue</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2,838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4,419</w:t>
            </w:r>
          </w:p>
        </w:tc>
        <w:tc>
          <w:tcPr>
            <w:tcW w:w="0" w:type="dxa"/>
            <w:vAlign w:val="bottom"/>
          </w:tcPr>
          <w:p>
            <w:pPr>
              <w:spacing w:after="0"/>
              <w:rPr>
                <w:sz w:val="1"/>
                <w:szCs w:val="1"/>
                <w:color w:val="auto"/>
              </w:rPr>
            </w:pPr>
          </w:p>
        </w:tc>
      </w:tr>
      <w:tr>
        <w:trPr>
          <w:trHeight w:val="229"/>
        </w:trPr>
        <w:tc>
          <w:tcPr>
            <w:tcW w:w="5240" w:type="dxa"/>
            <w:vAlign w:val="bottom"/>
          </w:tcPr>
          <w:p>
            <w:pPr>
              <w:ind w:left="10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15,965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12,769</w:t>
            </w:r>
          </w:p>
        </w:tc>
        <w:tc>
          <w:tcPr>
            <w:tcW w:w="0" w:type="dxa"/>
            <w:vAlign w:val="bottom"/>
          </w:tcPr>
          <w:p>
            <w:pPr>
              <w:spacing w:after="0"/>
              <w:rPr>
                <w:sz w:val="1"/>
                <w:szCs w:val="1"/>
                <w:color w:val="auto"/>
              </w:rPr>
            </w:pPr>
          </w:p>
        </w:tc>
      </w:tr>
      <w:tr>
        <w:trPr>
          <w:trHeight w:val="230"/>
        </w:trPr>
        <w:tc>
          <w:tcPr>
            <w:tcW w:w="5240" w:type="dxa"/>
            <w:vAlign w:val="bottom"/>
          </w:tcPr>
          <w:p>
            <w:pPr>
              <w:ind w:left="100"/>
              <w:spacing w:after="0"/>
              <w:rPr>
                <w:sz w:val="20"/>
                <w:szCs w:val="20"/>
                <w:color w:val="auto"/>
              </w:rPr>
            </w:pPr>
            <w:r>
              <w:rPr>
                <w:rFonts w:ascii="Arial" w:cs="Arial" w:eastAsia="Arial" w:hAnsi="Arial"/>
                <w:sz w:val="18"/>
                <w:szCs w:val="18"/>
                <w:color w:val="auto"/>
              </w:rPr>
              <w:t>Selling and marketing</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23,782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26,130</w:t>
            </w:r>
          </w:p>
        </w:tc>
        <w:tc>
          <w:tcPr>
            <w:tcW w:w="0" w:type="dxa"/>
            <w:vAlign w:val="bottom"/>
          </w:tcPr>
          <w:p>
            <w:pPr>
              <w:spacing w:after="0"/>
              <w:rPr>
                <w:sz w:val="1"/>
                <w:szCs w:val="1"/>
                <w:color w:val="auto"/>
              </w:rPr>
            </w:pPr>
          </w:p>
        </w:tc>
      </w:tr>
      <w:tr>
        <w:trPr>
          <w:trHeight w:val="229"/>
        </w:trPr>
        <w:tc>
          <w:tcPr>
            <w:tcW w:w="524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26,210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21,053</w:t>
            </w:r>
          </w:p>
        </w:tc>
        <w:tc>
          <w:tcPr>
            <w:tcW w:w="0" w:type="dxa"/>
            <w:vAlign w:val="bottom"/>
          </w:tcPr>
          <w:p>
            <w:pPr>
              <w:spacing w:after="0"/>
              <w:rPr>
                <w:sz w:val="1"/>
                <w:szCs w:val="1"/>
                <w:color w:val="auto"/>
              </w:rPr>
            </w:pPr>
          </w:p>
        </w:tc>
      </w:tr>
      <w:tr>
        <w:trPr>
          <w:trHeight w:val="230"/>
        </w:trPr>
        <w:tc>
          <w:tcPr>
            <w:tcW w:w="5240" w:type="dxa"/>
            <w:vAlign w:val="bottom"/>
          </w:tcPr>
          <w:p>
            <w:pPr>
              <w:ind w:left="100"/>
              <w:spacing w:after="0"/>
              <w:rPr>
                <w:sz w:val="20"/>
                <w:szCs w:val="20"/>
                <w:color w:val="auto"/>
              </w:rPr>
            </w:pPr>
            <w:r>
              <w:rPr>
                <w:rFonts w:ascii="Arial" w:cs="Arial" w:eastAsia="Arial" w:hAnsi="Arial"/>
                <w:sz w:val="18"/>
                <w:szCs w:val="18"/>
                <w:color w:val="auto"/>
              </w:rPr>
              <w:t>Impairment of long-lived assets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35"/>
        </w:trPr>
        <w:tc>
          <w:tcPr>
            <w:tcW w:w="5240" w:type="dxa"/>
            <w:vAlign w:val="bottom"/>
          </w:tcPr>
          <w:p>
            <w:pPr>
              <w:ind w:left="100"/>
              <w:spacing w:after="0"/>
              <w:rPr>
                <w:sz w:val="20"/>
                <w:szCs w:val="20"/>
                <w:color w:val="auto"/>
              </w:rPr>
            </w:pPr>
            <w:r>
              <w:rPr>
                <w:rFonts w:ascii="Arial" w:cs="Arial" w:eastAsia="Arial" w:hAnsi="Arial"/>
                <w:sz w:val="18"/>
                <w:szCs w:val="18"/>
                <w:color w:val="auto"/>
              </w:rPr>
              <w:t>Intangible asset amortization</w:t>
            </w: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3,653</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5,329</w:t>
            </w:r>
          </w:p>
        </w:tc>
        <w:tc>
          <w:tcPr>
            <w:tcW w:w="0" w:type="dxa"/>
            <w:vAlign w:val="bottom"/>
          </w:tcPr>
          <w:p>
            <w:pPr>
              <w:spacing w:after="0"/>
              <w:rPr>
                <w:sz w:val="1"/>
                <w:szCs w:val="1"/>
                <w:color w:val="auto"/>
              </w:rPr>
            </w:pPr>
          </w:p>
        </w:tc>
      </w:tr>
      <w:tr>
        <w:trPr>
          <w:trHeight w:val="223"/>
        </w:trPr>
        <w:tc>
          <w:tcPr>
            <w:tcW w:w="524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101,500</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92,920</w:t>
            </w:r>
          </w:p>
        </w:tc>
        <w:tc>
          <w:tcPr>
            <w:tcW w:w="0" w:type="dxa"/>
            <w:vAlign w:val="bottom"/>
          </w:tcPr>
          <w:p>
            <w:pPr>
              <w:spacing w:after="0"/>
              <w:rPr>
                <w:sz w:val="1"/>
                <w:szCs w:val="1"/>
                <w:color w:val="auto"/>
              </w:rPr>
            </w:pPr>
          </w:p>
        </w:tc>
      </w:tr>
      <w:tr>
        <w:trPr>
          <w:trHeight w:val="218"/>
        </w:trPr>
        <w:tc>
          <w:tcPr>
            <w:tcW w:w="5240" w:type="dxa"/>
            <w:vAlign w:val="bottom"/>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(4,656)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(10,498)</w:t>
            </w:r>
          </w:p>
        </w:tc>
        <w:tc>
          <w:tcPr>
            <w:tcW w:w="0" w:type="dxa"/>
            <w:vAlign w:val="bottom"/>
          </w:tcPr>
          <w:p>
            <w:pPr>
              <w:spacing w:after="0"/>
              <w:rPr>
                <w:sz w:val="1"/>
                <w:szCs w:val="1"/>
                <w:color w:val="auto"/>
              </w:rPr>
            </w:pPr>
          </w:p>
        </w:tc>
      </w:tr>
      <w:tr>
        <w:trPr>
          <w:trHeight w:val="235"/>
        </w:trPr>
        <w:tc>
          <w:tcPr>
            <w:tcW w:w="5240" w:type="dxa"/>
            <w:vAlign w:val="bottom"/>
          </w:tcPr>
          <w:p>
            <w:pPr>
              <w:spacing w:after="0"/>
              <w:rPr>
                <w:sz w:val="20"/>
                <w:szCs w:val="20"/>
                <w:color w:val="auto"/>
              </w:rPr>
            </w:pPr>
            <w:r>
              <w:rPr>
                <w:rFonts w:ascii="Arial" w:cs="Arial" w:eastAsia="Arial" w:hAnsi="Arial"/>
                <w:sz w:val="18"/>
                <w:szCs w:val="18"/>
                <w:color w:val="auto"/>
              </w:rPr>
              <w:t>Other income, net</w:t>
            </w: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2,748</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2,407</w:t>
            </w:r>
          </w:p>
        </w:tc>
        <w:tc>
          <w:tcPr>
            <w:tcW w:w="0" w:type="dxa"/>
            <w:vAlign w:val="bottom"/>
          </w:tcPr>
          <w:p>
            <w:pPr>
              <w:spacing w:after="0"/>
              <w:rPr>
                <w:sz w:val="1"/>
                <w:szCs w:val="1"/>
                <w:color w:val="auto"/>
              </w:rPr>
            </w:pPr>
          </w:p>
        </w:tc>
      </w:tr>
      <w:tr>
        <w:trPr>
          <w:trHeight w:val="218"/>
        </w:trPr>
        <w:tc>
          <w:tcPr>
            <w:tcW w:w="52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(1,908)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(8,091)</w:t>
            </w:r>
          </w:p>
        </w:tc>
        <w:tc>
          <w:tcPr>
            <w:tcW w:w="0" w:type="dxa"/>
            <w:vAlign w:val="bottom"/>
          </w:tcPr>
          <w:p>
            <w:pPr>
              <w:spacing w:after="0"/>
              <w:rPr>
                <w:sz w:val="1"/>
                <w:szCs w:val="1"/>
                <w:color w:val="auto"/>
              </w:rPr>
            </w:pPr>
          </w:p>
        </w:tc>
      </w:tr>
      <w:tr>
        <w:trPr>
          <w:trHeight w:val="235"/>
        </w:trPr>
        <w:tc>
          <w:tcPr>
            <w:tcW w:w="5240" w:type="dxa"/>
            <w:vAlign w:val="bottom"/>
          </w:tcPr>
          <w:p>
            <w:pPr>
              <w:spacing w:after="0"/>
              <w:rPr>
                <w:sz w:val="20"/>
                <w:szCs w:val="20"/>
                <w:color w:val="auto"/>
              </w:rPr>
            </w:pPr>
            <w:r>
              <w:rPr>
                <w:rFonts w:ascii="Arial" w:cs="Arial" w:eastAsia="Arial" w:hAnsi="Arial"/>
                <w:sz w:val="18"/>
                <w:szCs w:val="18"/>
                <w:color w:val="auto"/>
              </w:rPr>
              <w:t>Income tax benefit</w:t>
            </w: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(8,091)</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Net loss per common share, basic and diluted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line="182" w:lineRule="exact"/>
              <w:rPr>
                <w:sz w:val="20"/>
                <w:szCs w:val="20"/>
                <w:color w:val="auto"/>
              </w:rPr>
            </w:pPr>
            <w:r>
              <w:rPr>
                <w:rFonts w:ascii="Arial" w:cs="Arial" w:eastAsia="Arial" w:hAnsi="Arial"/>
                <w:sz w:val="18"/>
                <w:szCs w:val="18"/>
                <w:color w:val="auto"/>
              </w:rPr>
              <w:t>Shares used to compute net loss per common share, basic and</w:t>
            </w: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52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74,759,789</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72,175,457</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diluted</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8" w:firstLine="8"/>
        <w:spacing w:after="0" w:line="287" w:lineRule="auto"/>
        <w:tabs>
          <w:tab w:leader="none" w:pos="192"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 of revenue, research and development, sales and marketing and general and administrative expenses include the following stock-based compensation related expenses:</w:t>
      </w:r>
    </w:p>
    <w:p>
      <w:pPr>
        <w:spacing w:after="0" w:line="220" w:lineRule="exact"/>
        <w:rPr>
          <w:sz w:val="20"/>
          <w:szCs w:val="20"/>
          <w:color w:val="auto"/>
        </w:rPr>
      </w:pPr>
    </w:p>
    <w:tbl>
      <w:tblPr>
        <w:tblLayout w:type="fixed"/>
        <w:tblInd w:w="1632" w:type="dxa"/>
        <w:tblCellMar>
          <w:top w:w="0" w:type="dxa"/>
          <w:left w:w="0" w:type="dxa"/>
          <w:bottom w:w="0" w:type="dxa"/>
          <w:right w:w="0" w:type="dxa"/>
        </w:tblCellMar>
      </w:tblPr>
      <w:tr>
        <w:trPr>
          <w:trHeight w:val="242"/>
        </w:trPr>
        <w:tc>
          <w:tcPr>
            <w:tcW w:w="5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color w:val="auto"/>
                <w:w w:val="99"/>
              </w:rPr>
              <w:t>Three Months Ended March 31,</w:t>
            </w:r>
          </w:p>
        </w:tc>
      </w:tr>
      <w:tr>
        <w:trPr>
          <w:trHeight w:val="236"/>
        </w:trPr>
        <w:tc>
          <w:tcPr>
            <w:tcW w:w="5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2023</w:t>
            </w:r>
          </w:p>
        </w:tc>
      </w:tr>
      <w:tr>
        <w:trPr>
          <w:trHeight w:val="224"/>
        </w:trPr>
        <w:tc>
          <w:tcPr>
            <w:tcW w:w="5280" w:type="dxa"/>
            <w:vAlign w:val="bottom"/>
          </w:tcPr>
          <w:p>
            <w:pPr>
              <w:spacing w:after="0"/>
              <w:rPr>
                <w:sz w:val="20"/>
                <w:szCs w:val="20"/>
                <w:color w:val="auto"/>
              </w:rPr>
            </w:pPr>
            <w:r>
              <w:rPr>
                <w:rFonts w:ascii="Arial" w:cs="Arial" w:eastAsia="Arial" w:hAnsi="Arial"/>
                <w:sz w:val="18"/>
                <w:szCs w:val="18"/>
                <w:color w:val="auto"/>
              </w:rPr>
              <w:t>Cost of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386</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1,763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1,256</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Selling and marketing</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1,093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2,112</w:t>
            </w:r>
          </w:p>
        </w:tc>
      </w:tr>
      <w:tr>
        <w:trPr>
          <w:trHeight w:val="235"/>
        </w:trPr>
        <w:tc>
          <w:tcPr>
            <w:tcW w:w="52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4,676</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4,347</w:t>
            </w:r>
          </w:p>
        </w:tc>
      </w:tr>
      <w:tr>
        <w:trPr>
          <w:trHeight w:val="223"/>
        </w:trPr>
        <w:tc>
          <w:tcPr>
            <w:tcW w:w="5280" w:type="dxa"/>
            <w:vAlign w:val="bottom"/>
          </w:tcPr>
          <w:p>
            <w:pPr>
              <w:ind w:left="120"/>
              <w:spacing w:after="0"/>
              <w:rPr>
                <w:sz w:val="20"/>
                <w:szCs w:val="20"/>
                <w:color w:val="auto"/>
              </w:rPr>
            </w:pPr>
            <w:r>
              <w:rPr>
                <w:rFonts w:ascii="Arial" w:cs="Arial" w:eastAsia="Arial" w:hAnsi="Arial"/>
                <w:sz w:val="18"/>
                <w:szCs w:val="18"/>
                <w:color w:val="auto"/>
              </w:rPr>
              <w:t>Total stock-based compensation expense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8,101</w:t>
            </w:r>
          </w:p>
        </w:tc>
      </w:tr>
      <w:tr>
        <w:trPr>
          <w:trHeight w:val="20"/>
        </w:trPr>
        <w:tc>
          <w:tcPr>
            <w:tcW w:w="5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952"/>
          </w:cols>
          <w:pgMar w:left="328" w:top="1440" w:right="61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color w:val="auto"/>
        </w:rPr>
        <w:t>VERACYTE,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CONDENSED CONSOLIDATED STATEMENT OF COMPREHENSIVE LOSS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283" w:lineRule="exact"/>
        <w:rPr>
          <w:sz w:val="20"/>
          <w:szCs w:val="20"/>
          <w:color w:val="auto"/>
        </w:rPr>
      </w:pPr>
    </w:p>
    <w:tbl>
      <w:tblPr>
        <w:tblLayout w:type="fixed"/>
        <w:tblInd w:w="380" w:type="dxa"/>
        <w:tblCellMar>
          <w:top w:w="0" w:type="dxa"/>
          <w:left w:w="0" w:type="dxa"/>
          <w:bottom w:w="0" w:type="dxa"/>
          <w:right w:w="0" w:type="dxa"/>
        </w:tblCellMar>
      </w:tblPr>
      <w:tr>
        <w:trPr>
          <w:trHeight w:val="242"/>
        </w:trPr>
        <w:tc>
          <w:tcPr>
            <w:tcW w:w="5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color w:val="auto"/>
              </w:rPr>
              <w:t>Three Months Ended March 31,</w:t>
            </w:r>
          </w:p>
        </w:tc>
      </w:tr>
      <w:tr>
        <w:trPr>
          <w:trHeight w:val="229"/>
        </w:trPr>
        <w:tc>
          <w:tcPr>
            <w:tcW w:w="5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2023</w:t>
            </w:r>
          </w:p>
        </w:tc>
      </w:tr>
      <w:tr>
        <w:trPr>
          <w:trHeight w:val="218"/>
        </w:trPr>
        <w:tc>
          <w:tcPr>
            <w:tcW w:w="532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(1,864)</w:t>
            </w:r>
          </w:p>
        </w:tc>
        <w:tc>
          <w:tcPr>
            <w:tcW w:w="1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(8,091)</w:t>
            </w:r>
          </w:p>
        </w:tc>
      </w:tr>
      <w:tr>
        <w:trPr>
          <w:trHeight w:val="229"/>
        </w:trPr>
        <w:tc>
          <w:tcPr>
            <w:tcW w:w="5320" w:type="dxa"/>
            <w:vAlign w:val="bottom"/>
          </w:tcPr>
          <w:p>
            <w:pPr>
              <w:ind w:left="10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9"/>
        </w:trPr>
        <w:tc>
          <w:tcPr>
            <w:tcW w:w="5320" w:type="dxa"/>
            <w:vAlign w:val="bottom"/>
          </w:tcPr>
          <w:p>
            <w:pPr>
              <w:ind w:left="240"/>
              <w:spacing w:after="0"/>
              <w:rPr>
                <w:sz w:val="20"/>
                <w:szCs w:val="20"/>
                <w:color w:val="auto"/>
              </w:rPr>
            </w:pPr>
            <w:r>
              <w:rPr>
                <w:rFonts w:ascii="Arial" w:cs="Arial" w:eastAsia="Arial" w:hAnsi="Arial"/>
                <w:sz w:val="18"/>
                <w:szCs w:val="18"/>
                <w:color w:val="auto"/>
              </w:rPr>
              <w:t>Change in currency translation adjustments</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(4,889)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4,480</w:t>
            </w:r>
          </w:p>
        </w:tc>
      </w:tr>
      <w:tr>
        <w:trPr>
          <w:trHeight w:val="253"/>
        </w:trPr>
        <w:tc>
          <w:tcPr>
            <w:tcW w:w="5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Net comprehensive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(3,611)</w:t>
            </w:r>
          </w:p>
        </w:tc>
      </w:tr>
      <w:tr>
        <w:trPr>
          <w:trHeight w:val="20"/>
        </w:trPr>
        <w:tc>
          <w:tcPr>
            <w:tcW w:w="5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9019"/>
          </w:cols>
          <w:pgMar w:left="1440" w:top="931" w:right="1440"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color w:val="auto"/>
        </w:rPr>
        <w:t>VERACYTE, INC.</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CONDENSED CONSOLIDATED BALANCE SHEETS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gridSpan w:val="2"/>
          </w:tcPr>
          <w:p>
            <w:pPr>
              <w:jc w:val="center"/>
              <w:ind w:right="460"/>
              <w:spacing w:after="0"/>
              <w:rPr>
                <w:sz w:val="20"/>
                <w:szCs w:val="20"/>
                <w:color w:val="auto"/>
              </w:rPr>
            </w:pPr>
            <w:r>
              <w:rPr>
                <w:rFonts w:ascii="Arial" w:cs="Arial" w:eastAsia="Arial" w:hAnsi="Arial"/>
                <w:sz w:val="18"/>
                <w:szCs w:val="18"/>
                <w:color w:val="auto"/>
                <w:w w:val="99"/>
              </w:rPr>
              <w:t>March 31,</w:t>
            </w:r>
          </w:p>
        </w:tc>
        <w:tc>
          <w:tcPr>
            <w:tcW w:w="320" w:type="dxa"/>
            <w:vAlign w:val="bottom"/>
          </w:tcPr>
          <w:p>
            <w:pPr>
              <w:spacing w:after="0"/>
              <w:rPr>
                <w:sz w:val="19"/>
                <w:szCs w:val="19"/>
                <w:color w:val="auto"/>
              </w:rPr>
            </w:pPr>
          </w:p>
        </w:tc>
        <w:tc>
          <w:tcPr>
            <w:tcW w:w="1800" w:type="dxa"/>
            <w:vAlign w:val="bottom"/>
          </w:tcPr>
          <w:p>
            <w:pPr>
              <w:jc w:val="center"/>
              <w:ind w:right="21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42"/>
        </w:trPr>
        <w:tc>
          <w:tcPr>
            <w:tcW w:w="66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99"/>
              </w:rPr>
              <w:t>2024</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9"/>
              </w:rPr>
              <w:t>2023</w:t>
            </w:r>
          </w:p>
        </w:tc>
        <w:tc>
          <w:tcPr>
            <w:tcW w:w="0" w:type="dxa"/>
            <w:vAlign w:val="bottom"/>
          </w:tcPr>
          <w:p>
            <w:pPr>
              <w:spacing w:after="0"/>
              <w:rPr>
                <w:sz w:val="1"/>
                <w:szCs w:val="1"/>
                <w:color w:val="auto"/>
              </w:rPr>
            </w:pPr>
          </w:p>
        </w:tc>
      </w:tr>
      <w:tr>
        <w:trPr>
          <w:trHeight w:val="239"/>
        </w:trPr>
        <w:tc>
          <w:tcPr>
            <w:tcW w:w="660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360" w:type="dxa"/>
            <w:vAlign w:val="bottom"/>
          </w:tcPr>
          <w:p>
            <w:pPr>
              <w:spacing w:after="0"/>
              <w:rPr>
                <w:sz w:val="20"/>
                <w:szCs w:val="20"/>
                <w:color w:val="auto"/>
              </w:rPr>
            </w:pPr>
          </w:p>
        </w:tc>
        <w:tc>
          <w:tcPr>
            <w:tcW w:w="1760" w:type="dxa"/>
            <w:vAlign w:val="bottom"/>
          </w:tcPr>
          <w:p>
            <w:pPr>
              <w:jc w:val="center"/>
              <w:ind w:right="290"/>
              <w:spacing w:after="0"/>
              <w:rPr>
                <w:sz w:val="20"/>
                <w:szCs w:val="20"/>
                <w:color w:val="auto"/>
              </w:rPr>
            </w:pPr>
            <w:r>
              <w:rPr>
                <w:rFonts w:ascii="Arial" w:cs="Arial" w:eastAsia="Arial" w:hAnsi="Arial"/>
                <w:sz w:val="18"/>
                <w:szCs w:val="18"/>
                <w:color w:val="auto"/>
                <w:w w:val="99"/>
              </w:rPr>
              <w:t>(Unaudited)</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tcPr>
          <w:p>
            <w:pPr>
              <w:jc w:val="center"/>
              <w:ind w:right="210"/>
              <w:spacing w:after="0"/>
              <w:rPr>
                <w:sz w:val="20"/>
                <w:szCs w:val="20"/>
                <w:color w:val="auto"/>
              </w:rPr>
            </w:pPr>
            <w:r>
              <w:rPr>
                <w:rFonts w:ascii="Arial" w:cs="Arial" w:eastAsia="Arial" w:hAnsi="Arial"/>
                <w:sz w:val="18"/>
                <w:szCs w:val="18"/>
                <w:color w:val="auto"/>
                <w:w w:val="99"/>
              </w:rPr>
              <w:t>(See Note 1)</w:t>
            </w:r>
          </w:p>
        </w:tc>
        <w:tc>
          <w:tcPr>
            <w:tcW w:w="0" w:type="dxa"/>
            <w:vAlign w:val="bottom"/>
          </w:tcPr>
          <w:p>
            <w:pPr>
              <w:spacing w:after="0"/>
              <w:rPr>
                <w:sz w:val="1"/>
                <w:szCs w:val="1"/>
                <w:color w:val="auto"/>
              </w:rPr>
            </w:pPr>
          </w:p>
        </w:tc>
      </w:tr>
      <w:tr>
        <w:trPr>
          <w:trHeight w:val="215"/>
        </w:trPr>
        <w:tc>
          <w:tcPr>
            <w:tcW w:w="660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209,188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216,454</w:t>
            </w:r>
          </w:p>
        </w:tc>
        <w:tc>
          <w:tcPr>
            <w:tcW w:w="0" w:type="dxa"/>
            <w:vAlign w:val="bottom"/>
          </w:tcPr>
          <w:p>
            <w:pPr>
              <w:spacing w:after="0"/>
              <w:rPr>
                <w:sz w:val="1"/>
                <w:szCs w:val="1"/>
                <w:color w:val="auto"/>
              </w:rPr>
            </w:pPr>
          </w:p>
        </w:tc>
      </w:tr>
      <w:tr>
        <w:trPr>
          <w:trHeight w:val="229"/>
        </w:trPr>
        <w:tc>
          <w:tcPr>
            <w:tcW w:w="6600" w:type="dxa"/>
            <w:vAlign w:val="bottom"/>
          </w:tcPr>
          <w:p>
            <w:pPr>
              <w:ind w:left="22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46,665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40,378</w:t>
            </w: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Supplies and inventory</w:t>
            </w: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18,328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16,128</w:t>
            </w:r>
          </w:p>
        </w:tc>
        <w:tc>
          <w:tcPr>
            <w:tcW w:w="0" w:type="dxa"/>
            <w:vAlign w:val="bottom"/>
          </w:tcPr>
          <w:p>
            <w:pPr>
              <w:spacing w:after="0"/>
              <w:rPr>
                <w:sz w:val="1"/>
                <w:szCs w:val="1"/>
                <w:color w:val="auto"/>
              </w:rPr>
            </w:pPr>
          </w:p>
        </w:tc>
      </w:tr>
      <w:tr>
        <w:trPr>
          <w:trHeight w:val="235"/>
        </w:trPr>
        <w:tc>
          <w:tcPr>
            <w:tcW w:w="660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16,237</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12,661</w:t>
            </w:r>
          </w:p>
        </w:tc>
        <w:tc>
          <w:tcPr>
            <w:tcW w:w="0" w:type="dxa"/>
            <w:vAlign w:val="bottom"/>
          </w:tcPr>
          <w:p>
            <w:pPr>
              <w:spacing w:after="0"/>
              <w:rPr>
                <w:sz w:val="1"/>
                <w:szCs w:val="1"/>
                <w:color w:val="auto"/>
              </w:rPr>
            </w:pPr>
          </w:p>
        </w:tc>
      </w:tr>
      <w:tr>
        <w:trPr>
          <w:trHeight w:val="218"/>
        </w:trPr>
        <w:tc>
          <w:tcPr>
            <w:tcW w:w="660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3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290,418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285,621</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21,566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20,584</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Right-of-use assets, operating leases</w:t>
            </w: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11,167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10,277</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Intangible assets, net</w:t>
            </w: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116,348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88,593</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753,853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702,984</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Restricted cash</w:t>
            </w: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35"/>
        </w:trPr>
        <w:tc>
          <w:tcPr>
            <w:tcW w:w="6600" w:type="dxa"/>
            <w:vAlign w:val="bottom"/>
          </w:tcPr>
          <w:p>
            <w:pPr>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5,639</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5,971</w:t>
            </w:r>
          </w:p>
        </w:tc>
        <w:tc>
          <w:tcPr>
            <w:tcW w:w="0" w:type="dxa"/>
            <w:vAlign w:val="bottom"/>
          </w:tcPr>
          <w:p>
            <w:pPr>
              <w:spacing w:after="0"/>
              <w:rPr>
                <w:sz w:val="1"/>
                <w:szCs w:val="1"/>
                <w:color w:val="auto"/>
              </w:rPr>
            </w:pPr>
          </w:p>
        </w:tc>
      </w:tr>
      <w:tr>
        <w:trPr>
          <w:trHeight w:val="223"/>
        </w:trPr>
        <w:tc>
          <w:tcPr>
            <w:tcW w:w="660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1,200,073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1,114,906</w:t>
            </w:r>
          </w:p>
        </w:tc>
        <w:tc>
          <w:tcPr>
            <w:tcW w:w="0" w:type="dxa"/>
            <w:vAlign w:val="bottom"/>
          </w:tcPr>
          <w:p>
            <w:pPr>
              <w:spacing w:after="0"/>
              <w:rPr>
                <w:sz w:val="1"/>
                <w:szCs w:val="1"/>
                <w:color w:val="auto"/>
              </w:rPr>
            </w:pPr>
          </w:p>
        </w:tc>
      </w:tr>
      <w:tr>
        <w:trPr>
          <w:trHeight w:val="21"/>
        </w:trPr>
        <w:tc>
          <w:tcPr>
            <w:tcW w:w="6600" w:type="dxa"/>
            <w:vAlign w:val="bottom"/>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3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6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12,152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12,943</w:t>
            </w: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Accrued liabilities</w:t>
            </w: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30,293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38,427</w:t>
            </w: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Current portion of deferred revenue</w:t>
            </w: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2,602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29"/>
        </w:trPr>
        <w:tc>
          <w:tcPr>
            <w:tcW w:w="6600" w:type="dxa"/>
            <w:vAlign w:val="bottom"/>
          </w:tcPr>
          <w:p>
            <w:pPr>
              <w:ind w:left="220"/>
              <w:spacing w:after="0"/>
              <w:rPr>
                <w:sz w:val="20"/>
                <w:szCs w:val="20"/>
                <w:color w:val="auto"/>
              </w:rPr>
            </w:pPr>
            <w:r>
              <w:rPr>
                <w:rFonts w:ascii="Arial" w:cs="Arial" w:eastAsia="Arial" w:hAnsi="Arial"/>
                <w:sz w:val="18"/>
                <w:szCs w:val="18"/>
                <w:color w:val="auto"/>
              </w:rPr>
              <w:t>Current portion of acquisition-related contingent consideration</w:t>
            </w: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6,934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2,657</w:t>
            </w: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Current portion of operating lease liabilities</w:t>
            </w: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5,982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5,105</w:t>
            </w:r>
          </w:p>
        </w:tc>
        <w:tc>
          <w:tcPr>
            <w:tcW w:w="0" w:type="dxa"/>
            <w:vAlign w:val="bottom"/>
          </w:tcPr>
          <w:p>
            <w:pPr>
              <w:spacing w:after="0"/>
              <w:rPr>
                <w:sz w:val="1"/>
                <w:szCs w:val="1"/>
                <w:color w:val="auto"/>
              </w:rPr>
            </w:pPr>
          </w:p>
        </w:tc>
      </w:tr>
      <w:tr>
        <w:trPr>
          <w:trHeight w:val="235"/>
        </w:trPr>
        <w:tc>
          <w:tcPr>
            <w:tcW w:w="6600" w:type="dxa"/>
            <w:vAlign w:val="bottom"/>
          </w:tcPr>
          <w:p>
            <w:pPr>
              <w:ind w:left="220"/>
              <w:spacing w:after="0"/>
              <w:rPr>
                <w:sz w:val="20"/>
                <w:szCs w:val="20"/>
                <w:color w:val="auto"/>
              </w:rPr>
            </w:pPr>
            <w:r>
              <w:rPr>
                <w:rFonts w:ascii="Arial" w:cs="Arial" w:eastAsia="Arial" w:hAnsi="Arial"/>
                <w:sz w:val="18"/>
                <w:szCs w:val="18"/>
                <w:color w:val="auto"/>
              </w:rPr>
              <w:t>Current portion of other liabilities</w:t>
            </w:r>
          </w:p>
        </w:tc>
        <w:tc>
          <w:tcPr>
            <w:tcW w:w="3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8"/>
        </w:trPr>
        <w:tc>
          <w:tcPr>
            <w:tcW w:w="660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58,052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61,241</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Acquisition-related contingent consideration, net of current portion</w:t>
            </w: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13,446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8,058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7,525</w:t>
            </w:r>
          </w:p>
        </w:tc>
        <w:tc>
          <w:tcPr>
            <w:tcW w:w="0" w:type="dxa"/>
            <w:vAlign w:val="bottom"/>
          </w:tcPr>
          <w:p>
            <w:pPr>
              <w:spacing w:after="0"/>
              <w:rPr>
                <w:sz w:val="1"/>
                <w:szCs w:val="1"/>
                <w:color w:val="auto"/>
              </w:rPr>
            </w:pPr>
          </w:p>
        </w:tc>
      </w:tr>
      <w:tr>
        <w:trPr>
          <w:trHeight w:val="235"/>
        </w:trPr>
        <w:tc>
          <w:tcPr>
            <w:tcW w:w="6600" w:type="dxa"/>
            <w:vAlign w:val="bottom"/>
          </w:tcPr>
          <w:p>
            <w:pPr>
              <w:spacing w:after="0"/>
              <w:rPr>
                <w:sz w:val="20"/>
                <w:szCs w:val="20"/>
                <w:color w:val="auto"/>
              </w:rPr>
            </w:pPr>
            <w:r>
              <w:rPr>
                <w:rFonts w:ascii="Arial" w:cs="Arial" w:eastAsia="Arial" w:hAnsi="Arial"/>
                <w:sz w:val="18"/>
                <w:szCs w:val="18"/>
                <w:color w:val="auto"/>
              </w:rPr>
              <w:t>Other liabilities</w:t>
            </w:r>
          </w:p>
        </w:tc>
        <w:tc>
          <w:tcPr>
            <w:tcW w:w="3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18"/>
        </w:trPr>
        <w:tc>
          <w:tcPr>
            <w:tcW w:w="6600" w:type="dxa"/>
            <w:vAlign w:val="bottom"/>
          </w:tcPr>
          <w:p>
            <w:pPr>
              <w:ind w:left="320"/>
              <w:spacing w:after="0"/>
              <w:rPr>
                <w:sz w:val="20"/>
                <w:szCs w:val="20"/>
                <w:color w:val="auto"/>
              </w:rPr>
            </w:pPr>
            <w:r>
              <w:rPr>
                <w:rFonts w:ascii="Arial" w:cs="Arial" w:eastAsia="Arial" w:hAnsi="Arial"/>
                <w:sz w:val="18"/>
                <w:szCs w:val="18"/>
                <w:color w:val="auto"/>
              </w:rPr>
              <w:t>Total liabilities</w:t>
            </w:r>
          </w:p>
        </w:tc>
        <w:tc>
          <w:tcPr>
            <w:tcW w:w="3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81,424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70,804</w:t>
            </w:r>
          </w:p>
        </w:tc>
        <w:tc>
          <w:tcPr>
            <w:tcW w:w="0" w:type="dxa"/>
            <w:vAlign w:val="bottom"/>
          </w:tcPr>
          <w:p>
            <w:pPr>
              <w:spacing w:after="0"/>
              <w:rPr>
                <w:sz w:val="1"/>
                <w:szCs w:val="1"/>
                <w:color w:val="auto"/>
              </w:rPr>
            </w:pPr>
          </w:p>
        </w:tc>
      </w:tr>
      <w:tr>
        <w:trPr>
          <w:trHeight w:val="235"/>
        </w:trPr>
        <w:tc>
          <w:tcPr>
            <w:tcW w:w="66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1,118,649</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1,044,102</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1,200,073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1,114,906</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60" w:firstLine="1"/>
        <w:spacing w:after="0"/>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condensed consolidated balance sheet at December 31, 2023 has been derived from the audited financial statements at that date included in the Company's Form 10-K filed with the Securities and Exchange Commission dated February 29, 2024.</w:t>
      </w:r>
    </w:p>
    <w:p>
      <w:pPr>
        <w:sectPr>
          <w:pgSz w:w="11900" w:h="16838" w:orient="portrait"/>
          <w:cols w:equalWidth="0" w:num="1">
            <w:col w:w="10940"/>
          </w:cols>
          <w:pgMar w:left="480" w:top="1025" w:right="47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color w:val="auto"/>
        </w:rPr>
        <w:t>VERACYTE, INC.</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CONDENSED CONSOLIDATED STATEMENTS OF CASH FLOWS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9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color w:val="auto"/>
              </w:rPr>
              <w:t>Three Months Ended March 31,</w:t>
            </w:r>
          </w:p>
        </w:tc>
        <w:tc>
          <w:tcPr>
            <w:tcW w:w="0" w:type="dxa"/>
            <w:vAlign w:val="bottom"/>
          </w:tcPr>
          <w:p>
            <w:pPr>
              <w:spacing w:after="0"/>
              <w:rPr>
                <w:sz w:val="1"/>
                <w:szCs w:val="1"/>
                <w:color w:val="auto"/>
              </w:rPr>
            </w:pPr>
          </w:p>
        </w:tc>
      </w:tr>
      <w:tr>
        <w:trPr>
          <w:trHeight w:val="223"/>
        </w:trPr>
        <w:tc>
          <w:tcPr>
            <w:tcW w:w="7920" w:type="dxa"/>
            <w:vAlign w:val="bottom"/>
            <w:vMerge w:val="restart"/>
          </w:tcPr>
          <w:p>
            <w:pPr>
              <w:spacing w:after="0"/>
              <w:rPr>
                <w:sz w:val="20"/>
                <w:szCs w:val="20"/>
                <w:color w:val="auto"/>
              </w:rPr>
            </w:pPr>
            <w:r>
              <w:rPr>
                <w:rFonts w:ascii="Arial" w:cs="Arial" w:eastAsia="Arial" w:hAnsi="Arial"/>
                <w:sz w:val="18"/>
                <w:szCs w:val="18"/>
                <w:b w:val="1"/>
                <w:bCs w:val="1"/>
                <w:color w:val="auto"/>
              </w:rPr>
              <w:t>Operating activities</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04"/>
        </w:trPr>
        <w:tc>
          <w:tcPr>
            <w:tcW w:w="79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(1,864)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(8,091)</w:t>
            </w:r>
          </w:p>
        </w:tc>
        <w:tc>
          <w:tcPr>
            <w:tcW w:w="0" w:type="dxa"/>
            <w:vAlign w:val="bottom"/>
          </w:tcPr>
          <w:p>
            <w:pPr>
              <w:spacing w:after="0"/>
              <w:rPr>
                <w:sz w:val="1"/>
                <w:szCs w:val="1"/>
                <w:color w:val="auto"/>
              </w:rPr>
            </w:pPr>
          </w:p>
        </w:tc>
      </w:tr>
      <w:tr>
        <w:trPr>
          <w:trHeight w:val="229"/>
        </w:trPr>
        <w:tc>
          <w:tcPr>
            <w:tcW w:w="7920" w:type="dxa"/>
            <w:vAlign w:val="bottom"/>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6,670</w:t>
            </w: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Loss on disposal of property, plant and equipment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7,985</w:t>
            </w: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Noncash lease expense</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Revaluation of acquisition-related contingent consideration</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Effect of foreign currency on operations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Impairment loss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29"/>
        </w:trPr>
        <w:tc>
          <w:tcPr>
            <w:tcW w:w="792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(1,302)</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Supplies and inventory</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(3,064)</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Operating lease liabilities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35"/>
        </w:trPr>
        <w:tc>
          <w:tcPr>
            <w:tcW w:w="7920" w:type="dxa"/>
            <w:vAlign w:val="bottom"/>
          </w:tcPr>
          <w:p>
            <w:pPr>
              <w:ind w:left="160"/>
              <w:spacing w:after="0"/>
              <w:rPr>
                <w:sz w:val="20"/>
                <w:szCs w:val="20"/>
                <w:color w:val="auto"/>
              </w:rPr>
            </w:pPr>
            <w:r>
              <w:rPr>
                <w:rFonts w:ascii="Arial" w:cs="Arial" w:eastAsia="Arial" w:hAnsi="Arial"/>
                <w:sz w:val="18"/>
                <w:szCs w:val="18"/>
                <w:color w:val="auto"/>
              </w:rPr>
              <w:t>Accrued liabilities and deferred revenue</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(8,993)</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(7,721)</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(8,966)</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(2,172)</w:t>
            </w:r>
          </w:p>
        </w:tc>
        <w:tc>
          <w:tcPr>
            <w:tcW w:w="0" w:type="dxa"/>
            <w:vAlign w:val="bottom"/>
          </w:tcPr>
          <w:p>
            <w:pPr>
              <w:spacing w:after="0"/>
              <w:rPr>
                <w:sz w:val="1"/>
                <w:szCs w:val="1"/>
                <w:color w:val="auto"/>
              </w:rPr>
            </w:pPr>
          </w:p>
        </w:tc>
      </w:tr>
      <w:tr>
        <w:trPr>
          <w:trHeight w:val="204"/>
        </w:trPr>
        <w:tc>
          <w:tcPr>
            <w:tcW w:w="7920" w:type="dxa"/>
            <w:vAlign w:val="bottom"/>
          </w:tcPr>
          <w:p>
            <w:pPr>
              <w:spacing w:after="0" w:line="204" w:lineRule="exact"/>
              <w:rPr>
                <w:sz w:val="20"/>
                <w:szCs w:val="20"/>
                <w:color w:val="auto"/>
              </w:rPr>
            </w:pPr>
            <w:r>
              <w:rPr>
                <w:rFonts w:ascii="Arial" w:cs="Arial" w:eastAsia="Arial" w:hAnsi="Arial"/>
                <w:sz w:val="18"/>
                <w:szCs w:val="18"/>
                <w:b w:val="1"/>
                <w:bCs w:val="1"/>
                <w:color w:val="auto"/>
              </w:rPr>
              <w:t>Investing activities</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Acquisition of C2i, net of cash acquired</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Purchase of short-term investments</w:t>
            </w: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(19,700)</w:t>
            </w:r>
          </w:p>
        </w:tc>
        <w:tc>
          <w:tcPr>
            <w:tcW w:w="0" w:type="dxa"/>
            <w:vAlign w:val="bottom"/>
          </w:tcPr>
          <w:p>
            <w:pPr>
              <w:spacing w:after="0"/>
              <w:rPr>
                <w:sz w:val="1"/>
                <w:szCs w:val="1"/>
                <w:color w:val="auto"/>
              </w:rPr>
            </w:pPr>
          </w:p>
        </w:tc>
      </w:tr>
      <w:tr>
        <w:trPr>
          <w:trHeight w:val="229"/>
        </w:trPr>
        <w:tc>
          <w:tcPr>
            <w:tcW w:w="7920" w:type="dxa"/>
            <w:vAlign w:val="bottom"/>
          </w:tcPr>
          <w:p>
            <w:pPr>
              <w:spacing w:after="0"/>
              <w:rPr>
                <w:sz w:val="20"/>
                <w:szCs w:val="20"/>
                <w:color w:val="auto"/>
              </w:rPr>
            </w:pPr>
            <w:r>
              <w:rPr>
                <w:rFonts w:ascii="Arial" w:cs="Arial" w:eastAsia="Arial" w:hAnsi="Arial"/>
                <w:sz w:val="18"/>
                <w:szCs w:val="18"/>
                <w:color w:val="auto"/>
              </w:rPr>
              <w:t>Proceeds from sale of short-term investments</w:t>
            </w: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39,773</w:t>
            </w: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Proceeds from maturity of short-term investments</w:t>
            </w: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35"/>
        </w:trPr>
        <w:tc>
          <w:tcPr>
            <w:tcW w:w="7920" w:type="dxa"/>
            <w:vAlign w:val="bottom"/>
          </w:tcPr>
          <w:p>
            <w:pPr>
              <w:spacing w:after="0"/>
              <w:rPr>
                <w:sz w:val="20"/>
                <w:szCs w:val="20"/>
                <w:color w:val="auto"/>
              </w:rPr>
            </w:pPr>
            <w:r>
              <w:rPr>
                <w:rFonts w:ascii="Arial" w:cs="Arial" w:eastAsia="Arial" w:hAnsi="Arial"/>
                <w:sz w:val="18"/>
                <w:szCs w:val="18"/>
                <w:color w:val="auto"/>
              </w:rPr>
              <w:t>Purchases of property, plant and equipment</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(2,134)</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color w:val="auto"/>
              </w:rPr>
              <w:t>Net cash provided by investing activities</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2,878</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24,080</w:t>
            </w:r>
          </w:p>
        </w:tc>
        <w:tc>
          <w:tcPr>
            <w:tcW w:w="0" w:type="dxa"/>
            <w:vAlign w:val="bottom"/>
          </w:tcPr>
          <w:p>
            <w:pPr>
              <w:spacing w:after="0"/>
              <w:rPr>
                <w:sz w:val="1"/>
                <w:szCs w:val="1"/>
                <w:color w:val="auto"/>
              </w:rPr>
            </w:pPr>
          </w:p>
        </w:tc>
      </w:tr>
      <w:tr>
        <w:trPr>
          <w:trHeight w:val="204"/>
        </w:trPr>
        <w:tc>
          <w:tcPr>
            <w:tcW w:w="7920" w:type="dxa"/>
            <w:vAlign w:val="bottom"/>
          </w:tcPr>
          <w:p>
            <w:pPr>
              <w:spacing w:after="0" w:line="204" w:lineRule="exact"/>
              <w:rPr>
                <w:sz w:val="20"/>
                <w:szCs w:val="20"/>
                <w:color w:val="auto"/>
              </w:rPr>
            </w:pPr>
            <w:r>
              <w:rPr>
                <w:rFonts w:ascii="Arial" w:cs="Arial" w:eastAsia="Arial" w:hAnsi="Arial"/>
                <w:sz w:val="18"/>
                <w:szCs w:val="18"/>
                <w:b w:val="1"/>
                <w:bCs w:val="1"/>
                <w:color w:val="auto"/>
              </w:rPr>
              <w:t>Financing activities</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20" w:type="dxa"/>
            <w:vAlign w:val="bottom"/>
          </w:tcPr>
          <w:p>
            <w:pPr>
              <w:spacing w:after="0"/>
              <w:rPr>
                <w:sz w:val="20"/>
                <w:szCs w:val="20"/>
                <w:color w:val="auto"/>
              </w:rPr>
            </w:pPr>
            <w:r>
              <w:rPr>
                <w:rFonts w:ascii="Arial" w:cs="Arial" w:eastAsia="Arial" w:hAnsi="Arial"/>
                <w:sz w:val="18"/>
                <w:szCs w:val="18"/>
                <w:color w:val="auto"/>
              </w:rPr>
              <w:t>Payment of taxes on vested restricted stock units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(2,277)</w:t>
            </w:r>
          </w:p>
        </w:tc>
        <w:tc>
          <w:tcPr>
            <w:tcW w:w="0" w:type="dxa"/>
            <w:vAlign w:val="bottom"/>
          </w:tcPr>
          <w:p>
            <w:pPr>
              <w:spacing w:after="0"/>
              <w:rPr>
                <w:sz w:val="1"/>
                <w:szCs w:val="1"/>
                <w:color w:val="auto"/>
              </w:rPr>
            </w:pPr>
          </w:p>
        </w:tc>
      </w:tr>
      <w:tr>
        <w:trPr>
          <w:trHeight w:val="235"/>
        </w:trPr>
        <w:tc>
          <w:tcPr>
            <w:tcW w:w="7920" w:type="dxa"/>
            <w:vAlign w:val="bottom"/>
          </w:tcPr>
          <w:p>
            <w:pPr>
              <w:spacing w:after="0"/>
              <w:rPr>
                <w:sz w:val="20"/>
                <w:szCs w:val="20"/>
                <w:color w:val="auto"/>
              </w:rPr>
            </w:pPr>
            <w:r>
              <w:rPr>
                <w:rFonts w:ascii="Arial" w:cs="Arial" w:eastAsia="Arial" w:hAnsi="Arial"/>
                <w:sz w:val="18"/>
                <w:szCs w:val="18"/>
                <w:color w:val="auto"/>
              </w:rPr>
              <w:t>Proceeds from the exercise of common stock options and employee stock purchases</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2,968</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3,962</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color w:val="auto"/>
              </w:rPr>
              <w:t>Net cash (used in) provided by financing activities</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1,685</w:t>
            </w:r>
          </w:p>
        </w:tc>
        <w:tc>
          <w:tcPr>
            <w:tcW w:w="0" w:type="dxa"/>
            <w:vAlign w:val="bottom"/>
          </w:tcPr>
          <w:p>
            <w:pPr>
              <w:spacing w:after="0"/>
              <w:rPr>
                <w:sz w:val="1"/>
                <w:szCs w:val="1"/>
                <w:color w:val="auto"/>
              </w:rPr>
            </w:pPr>
          </w:p>
        </w:tc>
      </w:tr>
      <w:tr>
        <w:trPr>
          <w:trHeight w:val="218"/>
        </w:trPr>
        <w:tc>
          <w:tcPr>
            <w:tcW w:w="7920" w:type="dxa"/>
            <w:vAlign w:val="bottom"/>
          </w:tcPr>
          <w:p>
            <w:pPr>
              <w:spacing w:after="0"/>
              <w:rPr>
                <w:sz w:val="20"/>
                <w:szCs w:val="20"/>
                <w:color w:val="auto"/>
              </w:rPr>
            </w:pPr>
            <w:r>
              <w:rPr>
                <w:rFonts w:ascii="Arial" w:cs="Arial" w:eastAsia="Arial" w:hAnsi="Arial"/>
                <w:sz w:val="18"/>
                <w:szCs w:val="18"/>
                <w:b w:val="1"/>
                <w:bCs w:val="1"/>
                <w:color w:val="auto"/>
              </w:rPr>
              <w:t>Increase (decrease) in cash, cash equivalents and restricted cash</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(6,952)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23,593</w:t>
            </w:r>
          </w:p>
        </w:tc>
        <w:tc>
          <w:tcPr>
            <w:tcW w:w="0" w:type="dxa"/>
            <w:vAlign w:val="bottom"/>
          </w:tcPr>
          <w:p>
            <w:pPr>
              <w:spacing w:after="0"/>
              <w:rPr>
                <w:sz w:val="1"/>
                <w:szCs w:val="1"/>
                <w:color w:val="auto"/>
              </w:rPr>
            </w:pPr>
          </w:p>
        </w:tc>
      </w:tr>
      <w:tr>
        <w:trPr>
          <w:trHeight w:val="235"/>
        </w:trPr>
        <w:tc>
          <w:tcPr>
            <w:tcW w:w="7920" w:type="dxa"/>
            <w:vAlign w:val="bottom"/>
          </w:tcPr>
          <w:p>
            <w:pPr>
              <w:spacing w:after="0"/>
              <w:rPr>
                <w:sz w:val="20"/>
                <w:szCs w:val="20"/>
                <w:color w:val="auto"/>
              </w:rPr>
            </w:pPr>
            <w:r>
              <w:rPr>
                <w:rFonts w:ascii="Arial" w:cs="Arial" w:eastAsia="Arial" w:hAnsi="Arial"/>
                <w:sz w:val="18"/>
                <w:szCs w:val="18"/>
                <w:b w:val="1"/>
                <w:bCs w:val="1"/>
                <w:color w:val="auto"/>
              </w:rPr>
              <w:t>Effect of foreign currency on cash, cash equivalents and restricted cash</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8"/>
        </w:trPr>
        <w:tc>
          <w:tcPr>
            <w:tcW w:w="7920" w:type="dxa"/>
            <w:vAlign w:val="bottom"/>
          </w:tcPr>
          <w:p>
            <w:pPr>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(7,060)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23,643</w:t>
            </w:r>
          </w:p>
        </w:tc>
        <w:tc>
          <w:tcPr>
            <w:tcW w:w="0" w:type="dxa"/>
            <w:vAlign w:val="bottom"/>
          </w:tcPr>
          <w:p>
            <w:pPr>
              <w:spacing w:after="0"/>
              <w:rPr>
                <w:sz w:val="1"/>
                <w:szCs w:val="1"/>
                <w:color w:val="auto"/>
              </w:rPr>
            </w:pPr>
          </w:p>
        </w:tc>
      </w:tr>
      <w:tr>
        <w:trPr>
          <w:trHeight w:val="235"/>
        </w:trPr>
        <w:tc>
          <w:tcPr>
            <w:tcW w:w="792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217,330</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154,996</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210,270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178,639</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400" w:top="1025" w:right="39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color w:val="auto"/>
        </w:rPr>
        <w:t>CASH, CASH EQUIVALENTS AND RESTRICTED CASH</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gridSpan w:val="2"/>
          </w:tcPr>
          <w:p>
            <w:pPr>
              <w:ind w:left="160"/>
              <w:spacing w:after="0"/>
              <w:rPr>
                <w:sz w:val="20"/>
                <w:szCs w:val="20"/>
                <w:color w:val="auto"/>
              </w:rPr>
            </w:pPr>
            <w:r>
              <w:rPr>
                <w:rFonts w:ascii="Arial" w:cs="Arial" w:eastAsia="Arial" w:hAnsi="Arial"/>
                <w:sz w:val="18"/>
                <w:szCs w:val="18"/>
                <w:color w:val="auto"/>
              </w:rPr>
              <w:t>March 31,</w:t>
            </w:r>
          </w:p>
        </w:tc>
        <w:tc>
          <w:tcPr>
            <w:tcW w:w="160" w:type="dxa"/>
            <w:vAlign w:val="bottom"/>
          </w:tcPr>
          <w:p>
            <w:pPr>
              <w:spacing w:after="0"/>
              <w:rPr>
                <w:sz w:val="19"/>
                <w:szCs w:val="19"/>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December 31,</w:t>
            </w:r>
          </w:p>
        </w:tc>
      </w:tr>
      <w:tr>
        <w:trPr>
          <w:trHeight w:val="242"/>
        </w:trPr>
        <w:tc>
          <w:tcPr>
            <w:tcW w:w="78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2023</w:t>
            </w:r>
          </w:p>
        </w:tc>
      </w:tr>
      <w:tr>
        <w:trPr>
          <w:trHeight w:val="224"/>
        </w:trPr>
        <w:tc>
          <w:tcPr>
            <w:tcW w:w="78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209,188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216,454</w:t>
            </w:r>
          </w:p>
        </w:tc>
      </w:tr>
      <w:tr>
        <w:trPr>
          <w:trHeight w:val="235"/>
        </w:trPr>
        <w:tc>
          <w:tcPr>
            <w:tcW w:w="7880" w:type="dxa"/>
            <w:vAlign w:val="bottom"/>
          </w:tcPr>
          <w:p>
            <w:pPr>
              <w:spacing w:after="0"/>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w:t>
            </w:r>
          </w:p>
        </w:tc>
      </w:tr>
      <w:tr>
        <w:trPr>
          <w:trHeight w:val="223"/>
        </w:trPr>
        <w:tc>
          <w:tcPr>
            <w:tcW w:w="7880" w:type="dxa"/>
            <w:vAlign w:val="bottom"/>
          </w:tcPr>
          <w:p>
            <w:pPr>
              <w:spacing w:after="0"/>
              <w:rPr>
                <w:sz w:val="20"/>
                <w:szCs w:val="20"/>
                <w:color w:val="auto"/>
              </w:rPr>
            </w:pPr>
            <w:r>
              <w:rPr>
                <w:rFonts w:ascii="Arial" w:cs="Arial" w:eastAsia="Arial" w:hAnsi="Arial"/>
                <w:sz w:val="18"/>
                <w:szCs w:val="18"/>
                <w:color w:val="auto"/>
              </w:rPr>
              <w:t>Total cash, cash equivalents and restricted cash</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210,270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217,330</w:t>
            </w:r>
          </w:p>
        </w:tc>
      </w:tr>
      <w:tr>
        <w:trPr>
          <w:trHeight w:val="21"/>
        </w:trPr>
        <w:tc>
          <w:tcPr>
            <w:tcW w:w="7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20"/>
          </w:cols>
          <w:pgMar w:left="340" w:top="1025"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80" w:type="dxa"/>
            <w:vAlign w:val="bottom"/>
            <w:gridSpan w:val="3"/>
          </w:tcPr>
          <w:p>
            <w:pPr>
              <w:spacing w:after="0"/>
              <w:rPr>
                <w:sz w:val="20"/>
                <w:szCs w:val="20"/>
                <w:color w:val="auto"/>
              </w:rPr>
            </w:pPr>
            <w:r>
              <w:rPr>
                <w:rFonts w:ascii="Arial" w:cs="Arial" w:eastAsia="Arial" w:hAnsi="Arial"/>
                <w:sz w:val="14"/>
                <w:szCs w:val="14"/>
                <w:b w:val="1"/>
                <w:bCs w:val="1"/>
                <w:color w:val="auto"/>
              </w:rPr>
              <w:t>Reconciliation of U.S. GAAP to Non-GAAP Financial Measures</w:t>
            </w: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20" w:type="dxa"/>
            <w:vAlign w:val="bottom"/>
          </w:tcPr>
          <w:p>
            <w:pPr>
              <w:spacing w:after="0"/>
              <w:rPr>
                <w:sz w:val="20"/>
                <w:szCs w:val="20"/>
                <w:color w:val="auto"/>
              </w:rPr>
            </w:pPr>
            <w:r>
              <w:rPr>
                <w:rFonts w:ascii="Arial" w:cs="Arial" w:eastAsia="Arial" w:hAnsi="Arial"/>
                <w:sz w:val="14"/>
                <w:szCs w:val="14"/>
                <w:color w:val="auto"/>
              </w:rPr>
              <w:t>(Unaudited)</w:t>
            </w: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tcPr>
          <w:p>
            <w:pPr>
              <w:spacing w:after="0"/>
              <w:rPr>
                <w:sz w:val="20"/>
                <w:szCs w:val="20"/>
                <w:color w:val="auto"/>
              </w:rPr>
            </w:pPr>
            <w:r>
              <w:rPr>
                <w:rFonts w:ascii="Arial" w:cs="Arial" w:eastAsia="Arial" w:hAnsi="Arial"/>
                <w:sz w:val="14"/>
                <w:szCs w:val="14"/>
                <w:color w:val="auto"/>
              </w:rPr>
              <w:t>(In thousands)</w:t>
            </w: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Identified Expenses</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3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vMerge w:val="restart"/>
          </w:tcPr>
          <w:p>
            <w:pPr>
              <w:jc w:val="right"/>
              <w:ind w:right="548"/>
              <w:spacing w:after="0"/>
              <w:rPr>
                <w:sz w:val="20"/>
                <w:szCs w:val="20"/>
                <w:color w:val="auto"/>
              </w:rPr>
            </w:pPr>
            <w:r>
              <w:rPr>
                <w:rFonts w:ascii="Arial" w:cs="Arial" w:eastAsia="Arial" w:hAnsi="Arial"/>
                <w:sz w:val="14"/>
                <w:szCs w:val="14"/>
                <w:b w:val="1"/>
                <w:bCs w:val="1"/>
                <w:color w:val="auto"/>
              </w:rPr>
              <w:t>GAAP</w:t>
            </w:r>
          </w:p>
        </w:tc>
        <w:tc>
          <w:tcPr>
            <w:tcW w:w="1500" w:type="dxa"/>
            <w:vAlign w:val="bottom"/>
            <w:gridSpan w:val="2"/>
          </w:tcPr>
          <w:p>
            <w:pPr>
              <w:jc w:val="right"/>
              <w:ind w:right="28"/>
              <w:spacing w:after="0" w:line="147" w:lineRule="exact"/>
              <w:rPr>
                <w:sz w:val="20"/>
                <w:szCs w:val="20"/>
                <w:color w:val="auto"/>
              </w:rPr>
            </w:pPr>
            <w:r>
              <w:rPr>
                <w:rFonts w:ascii="Arial" w:cs="Arial" w:eastAsia="Arial" w:hAnsi="Arial"/>
                <w:sz w:val="14"/>
                <w:szCs w:val="14"/>
                <w:b w:val="1"/>
                <w:bCs w:val="1"/>
                <w:color w:val="auto"/>
              </w:rPr>
              <w:t>Acquisition Related</w:t>
            </w:r>
          </w:p>
        </w:tc>
        <w:tc>
          <w:tcPr>
            <w:tcW w:w="200" w:type="dxa"/>
            <w:vAlign w:val="bottom"/>
          </w:tcPr>
          <w:p>
            <w:pPr>
              <w:spacing w:after="0"/>
              <w:rPr>
                <w:sz w:val="12"/>
                <w:szCs w:val="12"/>
                <w:color w:val="auto"/>
              </w:rPr>
            </w:pPr>
          </w:p>
        </w:tc>
        <w:tc>
          <w:tcPr>
            <w:tcW w:w="1460" w:type="dxa"/>
            <w:vAlign w:val="bottom"/>
          </w:tcPr>
          <w:p>
            <w:pPr>
              <w:jc w:val="right"/>
              <w:ind w:right="148"/>
              <w:spacing w:after="0" w:line="147" w:lineRule="exact"/>
              <w:rPr>
                <w:sz w:val="20"/>
                <w:szCs w:val="20"/>
                <w:color w:val="auto"/>
              </w:rPr>
            </w:pPr>
            <w:r>
              <w:rPr>
                <w:rFonts w:ascii="Arial" w:cs="Arial" w:eastAsia="Arial" w:hAnsi="Arial"/>
                <w:sz w:val="14"/>
                <w:szCs w:val="14"/>
                <w:b w:val="1"/>
                <w:bCs w:val="1"/>
                <w:color w:val="auto"/>
              </w:rPr>
              <w:t>Intangible Assets</w:t>
            </w:r>
          </w:p>
        </w:tc>
        <w:tc>
          <w:tcPr>
            <w:tcW w:w="180" w:type="dxa"/>
            <w:vAlign w:val="bottom"/>
          </w:tcPr>
          <w:p>
            <w:pPr>
              <w:spacing w:after="0"/>
              <w:rPr>
                <w:sz w:val="12"/>
                <w:szCs w:val="12"/>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Other (4)</w:t>
            </w:r>
          </w:p>
        </w:tc>
        <w:tc>
          <w:tcPr>
            <w:tcW w:w="220" w:type="dxa"/>
            <w:vAlign w:val="bottom"/>
          </w:tcPr>
          <w:p>
            <w:pPr>
              <w:spacing w:after="0"/>
              <w:rPr>
                <w:sz w:val="12"/>
                <w:szCs w:val="12"/>
                <w:color w:val="auto"/>
              </w:rPr>
            </w:pPr>
          </w:p>
        </w:tc>
        <w:tc>
          <w:tcPr>
            <w:tcW w:w="19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Total Non-GAAP Measure</w:t>
            </w:r>
          </w:p>
        </w:tc>
        <w:tc>
          <w:tcPr>
            <w:tcW w:w="0" w:type="dxa"/>
            <w:vAlign w:val="bottom"/>
          </w:tcPr>
          <w:p>
            <w:pPr>
              <w:spacing w:after="0"/>
              <w:rPr>
                <w:sz w:val="1"/>
                <w:szCs w:val="1"/>
                <w:color w:val="auto"/>
              </w:rPr>
            </w:pPr>
          </w:p>
        </w:tc>
      </w:tr>
      <w:tr>
        <w:trPr>
          <w:trHeight w:val="185"/>
        </w:trPr>
        <w:tc>
          <w:tcPr>
            <w:tcW w:w="3220" w:type="dxa"/>
            <w:vAlign w:val="bottom"/>
            <w:vMerge w:val="restart"/>
          </w:tcPr>
          <w:p>
            <w:pPr>
              <w:spacing w:after="0"/>
              <w:rPr>
                <w:sz w:val="20"/>
                <w:szCs w:val="20"/>
                <w:color w:val="auto"/>
              </w:rPr>
            </w:pPr>
            <w:r>
              <w:rPr>
                <w:rFonts w:ascii="Arial" w:cs="Arial" w:eastAsia="Arial" w:hAnsi="Arial"/>
                <w:sz w:val="14"/>
                <w:szCs w:val="14"/>
                <w:b w:val="1"/>
                <w:bCs w:val="1"/>
                <w:color w:val="auto"/>
              </w:rPr>
              <w:t>Three Months Ended March 31, 2024</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Expenses (1)</w:t>
            </w:r>
          </w:p>
        </w:tc>
        <w:tc>
          <w:tcPr>
            <w:tcW w:w="16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Amortization Expense</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2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220" w:type="dxa"/>
            <w:vAlign w:val="bottom"/>
          </w:tcPr>
          <w:p>
            <w:pPr>
              <w:spacing w:after="0"/>
              <w:rPr>
                <w:sz w:val="20"/>
                <w:szCs w:val="20"/>
                <w:color w:val="auto"/>
              </w:rPr>
            </w:pPr>
            <w:r>
              <w:rPr>
                <w:rFonts w:ascii="Arial" w:cs="Arial" w:eastAsia="Arial" w:hAnsi="Arial"/>
                <w:sz w:val="14"/>
                <w:szCs w:val="14"/>
                <w:color w:val="auto"/>
              </w:rPr>
              <w:t>Total revenue</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96,844</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ind w:left="60"/>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960" w:type="dxa"/>
            <w:vAlign w:val="bottom"/>
          </w:tcPr>
          <w:p>
            <w:pPr>
              <w:jc w:val="right"/>
              <w:ind w:right="128"/>
              <w:spacing w:after="0"/>
              <w:rPr>
                <w:sz w:val="20"/>
                <w:szCs w:val="20"/>
                <w:color w:val="auto"/>
              </w:rPr>
            </w:pPr>
            <w:r>
              <w:rPr>
                <w:rFonts w:ascii="Arial" w:cs="Arial" w:eastAsia="Arial" w:hAnsi="Arial"/>
                <w:sz w:val="14"/>
                <w:szCs w:val="14"/>
                <w:color w:val="auto"/>
              </w:rPr>
              <w:t>96,844</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20"/>
                <w:szCs w:val="20"/>
                <w:color w:val="auto"/>
              </w:rPr>
            </w:pPr>
            <w:r>
              <w:rPr>
                <w:rFonts w:ascii="Arial" w:cs="Arial" w:eastAsia="Arial" w:hAnsi="Arial"/>
                <w:sz w:val="14"/>
                <w:szCs w:val="14"/>
                <w:color w:val="auto"/>
              </w:rPr>
              <w:t>Cost of testing revenue</w:t>
            </w:r>
          </w:p>
        </w:tc>
        <w:tc>
          <w:tcPr>
            <w:tcW w:w="300" w:type="dxa"/>
            <w:vAlign w:val="bottom"/>
          </w:tcPr>
          <w:p>
            <w:pPr>
              <w:spacing w:after="0"/>
              <w:rPr>
                <w:sz w:val="17"/>
                <w:szCs w:val="17"/>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25,979</w:t>
            </w:r>
          </w:p>
        </w:tc>
        <w:tc>
          <w:tcPr>
            <w:tcW w:w="180" w:type="dxa"/>
            <w:vAlign w:val="bottom"/>
          </w:tcPr>
          <w:p>
            <w:pPr>
              <w:spacing w:after="0"/>
              <w:rPr>
                <w:sz w:val="17"/>
                <w:szCs w:val="17"/>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60</w:t>
            </w:r>
          </w:p>
        </w:tc>
        <w:tc>
          <w:tcPr>
            <w:tcW w:w="200" w:type="dxa"/>
            <w:vAlign w:val="bottom"/>
          </w:tcPr>
          <w:p>
            <w:pPr>
              <w:spacing w:after="0"/>
              <w:rPr>
                <w:sz w:val="17"/>
                <w:szCs w:val="17"/>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6</w:t>
            </w:r>
          </w:p>
        </w:tc>
        <w:tc>
          <w:tcPr>
            <w:tcW w:w="220" w:type="dxa"/>
            <w:vAlign w:val="bottom"/>
          </w:tcPr>
          <w:p>
            <w:pPr>
              <w:spacing w:after="0"/>
              <w:rPr>
                <w:sz w:val="17"/>
                <w:szCs w:val="17"/>
                <w:color w:val="auto"/>
              </w:rPr>
            </w:pPr>
          </w:p>
        </w:tc>
        <w:tc>
          <w:tcPr>
            <w:tcW w:w="1960" w:type="dxa"/>
            <w:vAlign w:val="bottom"/>
          </w:tcPr>
          <w:p>
            <w:pPr>
              <w:jc w:val="right"/>
              <w:ind w:right="128"/>
              <w:spacing w:after="0"/>
              <w:rPr>
                <w:sz w:val="20"/>
                <w:szCs w:val="20"/>
                <w:color w:val="auto"/>
              </w:rPr>
            </w:pPr>
            <w:r>
              <w:rPr>
                <w:rFonts w:ascii="Arial" w:cs="Arial" w:eastAsia="Arial" w:hAnsi="Arial"/>
                <w:sz w:val="14"/>
                <w:szCs w:val="14"/>
                <w:color w:val="auto"/>
              </w:rPr>
              <w:t>25,913</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20"/>
                <w:szCs w:val="20"/>
                <w:color w:val="auto"/>
              </w:rPr>
            </w:pPr>
            <w:r>
              <w:rPr>
                <w:rFonts w:ascii="Arial" w:cs="Arial" w:eastAsia="Arial" w:hAnsi="Arial"/>
                <w:sz w:val="14"/>
                <w:szCs w:val="14"/>
                <w:color w:val="auto"/>
              </w:rPr>
              <w:t>Cost of product revenue</w:t>
            </w:r>
          </w:p>
        </w:tc>
        <w:tc>
          <w:tcPr>
            <w:tcW w:w="300" w:type="dxa"/>
            <w:vAlign w:val="bottom"/>
          </w:tcPr>
          <w:p>
            <w:pPr>
              <w:spacing w:after="0"/>
              <w:rPr>
                <w:sz w:val="17"/>
                <w:szCs w:val="17"/>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2,644</w:t>
            </w:r>
          </w:p>
        </w:tc>
        <w:tc>
          <w:tcPr>
            <w:tcW w:w="180" w:type="dxa"/>
            <w:vAlign w:val="bottom"/>
          </w:tcPr>
          <w:p>
            <w:pPr>
              <w:spacing w:after="0"/>
              <w:rPr>
                <w:sz w:val="17"/>
                <w:szCs w:val="17"/>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960" w:type="dxa"/>
            <w:vAlign w:val="bottom"/>
          </w:tcPr>
          <w:p>
            <w:pPr>
              <w:jc w:val="right"/>
              <w:ind w:right="128"/>
              <w:spacing w:after="0"/>
              <w:rPr>
                <w:sz w:val="20"/>
                <w:szCs w:val="20"/>
                <w:color w:val="auto"/>
              </w:rPr>
            </w:pPr>
            <w:r>
              <w:rPr>
                <w:rFonts w:ascii="Arial" w:cs="Arial" w:eastAsia="Arial" w:hAnsi="Arial"/>
                <w:sz w:val="14"/>
                <w:szCs w:val="14"/>
                <w:color w:val="auto"/>
              </w:rPr>
              <w:t>2,644</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20"/>
                <w:szCs w:val="20"/>
                <w:color w:val="auto"/>
              </w:rPr>
            </w:pPr>
            <w:r>
              <w:rPr>
                <w:rFonts w:ascii="Arial" w:cs="Arial" w:eastAsia="Arial" w:hAnsi="Arial"/>
                <w:sz w:val="14"/>
                <w:szCs w:val="14"/>
                <w:color w:val="auto"/>
              </w:rPr>
              <w:t>Cost of biopharmaceutical and other revenue</w:t>
            </w:r>
          </w:p>
        </w:tc>
        <w:tc>
          <w:tcPr>
            <w:tcW w:w="300" w:type="dxa"/>
            <w:vAlign w:val="bottom"/>
          </w:tcPr>
          <w:p>
            <w:pPr>
              <w:spacing w:after="0"/>
              <w:rPr>
                <w:sz w:val="17"/>
                <w:szCs w:val="17"/>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2,838</w:t>
            </w:r>
          </w:p>
        </w:tc>
        <w:tc>
          <w:tcPr>
            <w:tcW w:w="180" w:type="dxa"/>
            <w:vAlign w:val="bottom"/>
          </w:tcPr>
          <w:p>
            <w:pPr>
              <w:spacing w:after="0"/>
              <w:rPr>
                <w:sz w:val="17"/>
                <w:szCs w:val="17"/>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960" w:type="dxa"/>
            <w:vAlign w:val="bottom"/>
          </w:tcPr>
          <w:p>
            <w:pPr>
              <w:jc w:val="right"/>
              <w:ind w:right="128"/>
              <w:spacing w:after="0"/>
              <w:rPr>
                <w:sz w:val="20"/>
                <w:szCs w:val="20"/>
                <w:color w:val="auto"/>
              </w:rPr>
            </w:pPr>
            <w:r>
              <w:rPr>
                <w:rFonts w:ascii="Arial" w:cs="Arial" w:eastAsia="Arial" w:hAnsi="Arial"/>
                <w:sz w:val="14"/>
                <w:szCs w:val="14"/>
                <w:color w:val="auto"/>
              </w:rPr>
              <w:t>2,838</w:t>
            </w:r>
          </w:p>
        </w:tc>
        <w:tc>
          <w:tcPr>
            <w:tcW w:w="0" w:type="dxa"/>
            <w:vAlign w:val="bottom"/>
          </w:tcPr>
          <w:p>
            <w:pPr>
              <w:spacing w:after="0"/>
              <w:rPr>
                <w:sz w:val="1"/>
                <w:szCs w:val="1"/>
                <w:color w:val="auto"/>
              </w:rPr>
            </w:pPr>
          </w:p>
        </w:tc>
      </w:tr>
      <w:tr>
        <w:trPr>
          <w:trHeight w:val="204"/>
        </w:trPr>
        <w:tc>
          <w:tcPr>
            <w:tcW w:w="3220" w:type="dxa"/>
            <w:vAlign w:val="bottom"/>
          </w:tcPr>
          <w:p>
            <w:pPr>
              <w:spacing w:after="0"/>
              <w:rPr>
                <w:sz w:val="20"/>
                <w:szCs w:val="20"/>
                <w:color w:val="auto"/>
              </w:rPr>
            </w:pPr>
            <w:r>
              <w:rPr>
                <w:rFonts w:ascii="Arial" w:cs="Arial" w:eastAsia="Arial" w:hAnsi="Arial"/>
                <w:sz w:val="14"/>
                <w:szCs w:val="14"/>
                <w:color w:val="auto"/>
              </w:rPr>
              <w:t>Intangible asset amortization (2)</w:t>
            </w: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2,915</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2,915</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3220" w:type="dxa"/>
            <w:vAlign w:val="bottom"/>
          </w:tcPr>
          <w:p>
            <w:pPr>
              <w:ind w:left="100"/>
              <w:spacing w:after="0"/>
              <w:rPr>
                <w:sz w:val="20"/>
                <w:szCs w:val="20"/>
                <w:color w:val="auto"/>
              </w:rPr>
            </w:pPr>
            <w:r>
              <w:rPr>
                <w:rFonts w:ascii="Arial" w:cs="Arial" w:eastAsia="Arial" w:hAnsi="Arial"/>
                <w:sz w:val="14"/>
                <w:szCs w:val="14"/>
                <w:color w:val="auto"/>
              </w:rPr>
              <w:t>Gross margin $</w:t>
            </w:r>
          </w:p>
        </w:tc>
        <w:tc>
          <w:tcPr>
            <w:tcW w:w="300" w:type="dxa"/>
            <w:vAlign w:val="bottom"/>
          </w:tcPr>
          <w:p>
            <w:pPr>
              <w:spacing w:after="0"/>
              <w:rPr>
                <w:sz w:val="16"/>
                <w:szCs w:val="16"/>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62,468</w:t>
            </w:r>
          </w:p>
        </w:tc>
        <w:tc>
          <w:tcPr>
            <w:tcW w:w="180" w:type="dxa"/>
            <w:vAlign w:val="bottom"/>
          </w:tcPr>
          <w:p>
            <w:pPr>
              <w:spacing w:after="0"/>
              <w:rPr>
                <w:sz w:val="16"/>
                <w:szCs w:val="16"/>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60</w:t>
            </w:r>
          </w:p>
        </w:tc>
        <w:tc>
          <w:tcPr>
            <w:tcW w:w="200" w:type="dxa"/>
            <w:vAlign w:val="bottom"/>
          </w:tcPr>
          <w:p>
            <w:pPr>
              <w:spacing w:after="0"/>
              <w:rPr>
                <w:sz w:val="16"/>
                <w:szCs w:val="16"/>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2,915</w:t>
            </w:r>
          </w:p>
        </w:tc>
        <w:tc>
          <w:tcPr>
            <w:tcW w:w="1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6</w:t>
            </w:r>
          </w:p>
        </w:tc>
        <w:tc>
          <w:tcPr>
            <w:tcW w:w="220" w:type="dxa"/>
            <w:vAlign w:val="bottom"/>
          </w:tcPr>
          <w:p>
            <w:pPr>
              <w:spacing w:after="0"/>
              <w:rPr>
                <w:sz w:val="16"/>
                <w:szCs w:val="16"/>
                <w:color w:val="auto"/>
              </w:rPr>
            </w:pPr>
          </w:p>
        </w:tc>
        <w:tc>
          <w:tcPr>
            <w:tcW w:w="1960" w:type="dxa"/>
            <w:vAlign w:val="bottom"/>
          </w:tcPr>
          <w:p>
            <w:pPr>
              <w:jc w:val="right"/>
              <w:ind w:right="128"/>
              <w:spacing w:after="0"/>
              <w:rPr>
                <w:sz w:val="20"/>
                <w:szCs w:val="20"/>
                <w:color w:val="auto"/>
              </w:rPr>
            </w:pPr>
            <w:r>
              <w:rPr>
                <w:rFonts w:ascii="Arial" w:cs="Arial" w:eastAsia="Arial" w:hAnsi="Arial"/>
                <w:sz w:val="14"/>
                <w:szCs w:val="14"/>
                <w:color w:val="auto"/>
              </w:rPr>
              <w:t>65,449</w:t>
            </w:r>
          </w:p>
        </w:tc>
        <w:tc>
          <w:tcPr>
            <w:tcW w:w="0" w:type="dxa"/>
            <w:vAlign w:val="bottom"/>
          </w:tcPr>
          <w:p>
            <w:pPr>
              <w:spacing w:after="0"/>
              <w:rPr>
                <w:sz w:val="1"/>
                <w:szCs w:val="1"/>
                <w:color w:val="auto"/>
              </w:rPr>
            </w:pPr>
          </w:p>
        </w:tc>
      </w:tr>
      <w:tr>
        <w:trPr>
          <w:trHeight w:val="203"/>
        </w:trPr>
        <w:tc>
          <w:tcPr>
            <w:tcW w:w="3220" w:type="dxa"/>
            <w:vAlign w:val="bottom"/>
          </w:tcPr>
          <w:p>
            <w:pPr>
              <w:ind w:left="100"/>
              <w:spacing w:after="0"/>
              <w:rPr>
                <w:sz w:val="20"/>
                <w:szCs w:val="20"/>
                <w:color w:val="auto"/>
              </w:rPr>
            </w:pPr>
            <w:r>
              <w:rPr>
                <w:rFonts w:ascii="Arial" w:cs="Arial" w:eastAsia="Arial" w:hAnsi="Arial"/>
                <w:sz w:val="14"/>
                <w:szCs w:val="14"/>
                <w:color w:val="auto"/>
              </w:rPr>
              <w:t>Gross margin %</w:t>
            </w:r>
          </w:p>
        </w:tc>
        <w:tc>
          <w:tcPr>
            <w:tcW w:w="300" w:type="dxa"/>
            <w:vAlign w:val="bottom"/>
          </w:tcPr>
          <w:p>
            <w:pPr>
              <w:spacing w:after="0"/>
              <w:rPr>
                <w:sz w:val="17"/>
                <w:szCs w:val="17"/>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65 %</w:t>
            </w: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68 %</w:t>
            </w:r>
          </w:p>
        </w:tc>
        <w:tc>
          <w:tcPr>
            <w:tcW w:w="0" w:type="dxa"/>
            <w:vAlign w:val="bottom"/>
          </w:tcPr>
          <w:p>
            <w:pPr>
              <w:spacing w:after="0"/>
              <w:rPr>
                <w:sz w:val="1"/>
                <w:szCs w:val="1"/>
                <w:color w:val="auto"/>
              </w:rPr>
            </w:pPr>
          </w:p>
        </w:tc>
      </w:tr>
      <w:tr>
        <w:trPr>
          <w:trHeight w:val="459"/>
        </w:trPr>
        <w:tc>
          <w:tcPr>
            <w:tcW w:w="3220" w:type="dxa"/>
            <w:vAlign w:val="bottom"/>
          </w:tcPr>
          <w:p>
            <w:pPr>
              <w:spacing w:after="0"/>
              <w:rPr>
                <w:sz w:val="20"/>
                <w:szCs w:val="20"/>
                <w:color w:val="auto"/>
              </w:rPr>
            </w:pPr>
            <w:r>
              <w:rPr>
                <w:rFonts w:ascii="Arial" w:cs="Arial" w:eastAsia="Arial" w:hAnsi="Arial"/>
                <w:sz w:val="14"/>
                <w:szCs w:val="14"/>
                <w:color w:val="auto"/>
              </w:rPr>
              <w:t>Research and development</w:t>
            </w:r>
          </w:p>
        </w:tc>
        <w:tc>
          <w:tcPr>
            <w:tcW w:w="300" w:type="dxa"/>
            <w:vAlign w:val="bottom"/>
          </w:tcPr>
          <w:p>
            <w:pPr>
              <w:spacing w:after="0"/>
              <w:rPr>
                <w:sz w:val="24"/>
                <w:szCs w:val="24"/>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15,965</w:t>
            </w:r>
          </w:p>
        </w:tc>
        <w:tc>
          <w:tcPr>
            <w:tcW w:w="180" w:type="dxa"/>
            <w:vAlign w:val="bottom"/>
          </w:tcPr>
          <w:p>
            <w:pPr>
              <w:spacing w:after="0"/>
              <w:rPr>
                <w:sz w:val="24"/>
                <w:szCs w:val="24"/>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461</w:t>
            </w:r>
          </w:p>
        </w:tc>
        <w:tc>
          <w:tcPr>
            <w:tcW w:w="200" w:type="dxa"/>
            <w:vAlign w:val="bottom"/>
          </w:tcPr>
          <w:p>
            <w:pPr>
              <w:spacing w:after="0"/>
              <w:rPr>
                <w:sz w:val="24"/>
                <w:szCs w:val="24"/>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278</w:t>
            </w:r>
          </w:p>
        </w:tc>
        <w:tc>
          <w:tcPr>
            <w:tcW w:w="220" w:type="dxa"/>
            <w:vAlign w:val="bottom"/>
          </w:tcPr>
          <w:p>
            <w:pPr>
              <w:spacing w:after="0"/>
              <w:rPr>
                <w:sz w:val="24"/>
                <w:szCs w:val="24"/>
                <w:color w:val="auto"/>
              </w:rPr>
            </w:pPr>
          </w:p>
        </w:tc>
        <w:tc>
          <w:tcPr>
            <w:tcW w:w="1960" w:type="dxa"/>
            <w:vAlign w:val="bottom"/>
          </w:tcPr>
          <w:p>
            <w:pPr>
              <w:jc w:val="right"/>
              <w:ind w:right="128"/>
              <w:spacing w:after="0"/>
              <w:rPr>
                <w:sz w:val="20"/>
                <w:szCs w:val="20"/>
                <w:color w:val="auto"/>
              </w:rPr>
            </w:pPr>
            <w:r>
              <w:rPr>
                <w:rFonts w:ascii="Arial" w:cs="Arial" w:eastAsia="Arial" w:hAnsi="Arial"/>
                <w:sz w:val="14"/>
                <w:szCs w:val="14"/>
                <w:color w:val="auto"/>
              </w:rPr>
              <w:t>15,226</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20"/>
                <w:szCs w:val="20"/>
                <w:color w:val="auto"/>
              </w:rPr>
            </w:pPr>
            <w:r>
              <w:rPr>
                <w:rFonts w:ascii="Arial" w:cs="Arial" w:eastAsia="Arial" w:hAnsi="Arial"/>
                <w:sz w:val="14"/>
                <w:szCs w:val="14"/>
                <w:color w:val="auto"/>
              </w:rPr>
              <w:t>Selling and marketing</w:t>
            </w:r>
          </w:p>
        </w:tc>
        <w:tc>
          <w:tcPr>
            <w:tcW w:w="300" w:type="dxa"/>
            <w:vAlign w:val="bottom"/>
          </w:tcPr>
          <w:p>
            <w:pPr>
              <w:spacing w:after="0"/>
              <w:rPr>
                <w:sz w:val="17"/>
                <w:szCs w:val="17"/>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23,782</w:t>
            </w:r>
          </w:p>
        </w:tc>
        <w:tc>
          <w:tcPr>
            <w:tcW w:w="18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(1,141)</w:t>
            </w:r>
          </w:p>
        </w:tc>
        <w:tc>
          <w:tcPr>
            <w:tcW w:w="200" w:type="dxa"/>
            <w:vAlign w:val="bottom"/>
          </w:tcPr>
          <w:p>
            <w:pPr>
              <w:spacing w:after="0"/>
              <w:rPr>
                <w:sz w:val="17"/>
                <w:szCs w:val="17"/>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900</w:t>
            </w:r>
          </w:p>
        </w:tc>
        <w:tc>
          <w:tcPr>
            <w:tcW w:w="220" w:type="dxa"/>
            <w:vAlign w:val="bottom"/>
          </w:tcPr>
          <w:p>
            <w:pPr>
              <w:spacing w:after="0"/>
              <w:rPr>
                <w:sz w:val="17"/>
                <w:szCs w:val="17"/>
                <w:color w:val="auto"/>
              </w:rPr>
            </w:pPr>
          </w:p>
        </w:tc>
        <w:tc>
          <w:tcPr>
            <w:tcW w:w="1960" w:type="dxa"/>
            <w:vAlign w:val="bottom"/>
          </w:tcPr>
          <w:p>
            <w:pPr>
              <w:jc w:val="right"/>
              <w:ind w:right="128"/>
              <w:spacing w:after="0"/>
              <w:rPr>
                <w:sz w:val="20"/>
                <w:szCs w:val="20"/>
                <w:color w:val="auto"/>
              </w:rPr>
            </w:pPr>
            <w:r>
              <w:rPr>
                <w:rFonts w:ascii="Arial" w:cs="Arial" w:eastAsia="Arial" w:hAnsi="Arial"/>
                <w:sz w:val="14"/>
                <w:szCs w:val="14"/>
                <w:color w:val="auto"/>
              </w:rPr>
              <w:t>24,023</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20"/>
                <w:szCs w:val="20"/>
                <w:color w:val="auto"/>
              </w:rPr>
            </w:pPr>
            <w:r>
              <w:rPr>
                <w:rFonts w:ascii="Arial" w:cs="Arial" w:eastAsia="Arial" w:hAnsi="Arial"/>
                <w:sz w:val="14"/>
                <w:szCs w:val="14"/>
                <w:color w:val="auto"/>
              </w:rPr>
              <w:t>General and administrative</w:t>
            </w:r>
          </w:p>
        </w:tc>
        <w:tc>
          <w:tcPr>
            <w:tcW w:w="300" w:type="dxa"/>
            <w:vAlign w:val="bottom"/>
          </w:tcPr>
          <w:p>
            <w:pPr>
              <w:spacing w:after="0"/>
              <w:rPr>
                <w:sz w:val="17"/>
                <w:szCs w:val="17"/>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26,210</w:t>
            </w:r>
          </w:p>
        </w:tc>
        <w:tc>
          <w:tcPr>
            <w:tcW w:w="180" w:type="dxa"/>
            <w:vAlign w:val="bottom"/>
          </w:tcPr>
          <w:p>
            <w:pPr>
              <w:spacing w:after="0"/>
              <w:rPr>
                <w:sz w:val="17"/>
                <w:szCs w:val="17"/>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3,578</w:t>
            </w:r>
          </w:p>
        </w:tc>
        <w:tc>
          <w:tcPr>
            <w:tcW w:w="200" w:type="dxa"/>
            <w:vAlign w:val="bottom"/>
          </w:tcPr>
          <w:p>
            <w:pPr>
              <w:spacing w:after="0"/>
              <w:rPr>
                <w:sz w:val="17"/>
                <w:szCs w:val="17"/>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266</w:t>
            </w:r>
          </w:p>
        </w:tc>
        <w:tc>
          <w:tcPr>
            <w:tcW w:w="220" w:type="dxa"/>
            <w:vAlign w:val="bottom"/>
          </w:tcPr>
          <w:p>
            <w:pPr>
              <w:spacing w:after="0"/>
              <w:rPr>
                <w:sz w:val="17"/>
                <w:szCs w:val="17"/>
                <w:color w:val="auto"/>
              </w:rPr>
            </w:pPr>
          </w:p>
        </w:tc>
        <w:tc>
          <w:tcPr>
            <w:tcW w:w="1960" w:type="dxa"/>
            <w:vAlign w:val="bottom"/>
          </w:tcPr>
          <w:p>
            <w:pPr>
              <w:jc w:val="right"/>
              <w:ind w:right="128"/>
              <w:spacing w:after="0"/>
              <w:rPr>
                <w:sz w:val="20"/>
                <w:szCs w:val="20"/>
                <w:color w:val="auto"/>
              </w:rPr>
            </w:pPr>
            <w:r>
              <w:rPr>
                <w:rFonts w:ascii="Arial" w:cs="Arial" w:eastAsia="Arial" w:hAnsi="Arial"/>
                <w:sz w:val="14"/>
                <w:szCs w:val="14"/>
                <w:color w:val="auto"/>
              </w:rPr>
              <w:t>22,366</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20"/>
                <w:szCs w:val="20"/>
                <w:color w:val="auto"/>
              </w:rPr>
            </w:pPr>
            <w:r>
              <w:rPr>
                <w:rFonts w:ascii="Arial" w:cs="Arial" w:eastAsia="Arial" w:hAnsi="Arial"/>
                <w:sz w:val="14"/>
                <w:szCs w:val="14"/>
                <w:color w:val="auto"/>
              </w:rPr>
              <w:t>Impairment of long-lived assets</w:t>
            </w:r>
          </w:p>
        </w:tc>
        <w:tc>
          <w:tcPr>
            <w:tcW w:w="300" w:type="dxa"/>
            <w:vAlign w:val="bottom"/>
          </w:tcPr>
          <w:p>
            <w:pPr>
              <w:spacing w:after="0"/>
              <w:rPr>
                <w:sz w:val="17"/>
                <w:szCs w:val="17"/>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429</w:t>
            </w:r>
          </w:p>
        </w:tc>
        <w:tc>
          <w:tcPr>
            <w:tcW w:w="180" w:type="dxa"/>
            <w:vAlign w:val="bottom"/>
          </w:tcPr>
          <w:p>
            <w:pPr>
              <w:spacing w:after="0"/>
              <w:rPr>
                <w:sz w:val="17"/>
                <w:szCs w:val="17"/>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429</w:t>
            </w:r>
          </w:p>
        </w:tc>
        <w:tc>
          <w:tcPr>
            <w:tcW w:w="200" w:type="dxa"/>
            <w:vAlign w:val="bottom"/>
          </w:tcPr>
          <w:p>
            <w:pPr>
              <w:spacing w:after="0"/>
              <w:rPr>
                <w:sz w:val="17"/>
                <w:szCs w:val="17"/>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9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3220" w:type="dxa"/>
            <w:vAlign w:val="bottom"/>
          </w:tcPr>
          <w:p>
            <w:pPr>
              <w:spacing w:after="0"/>
              <w:rPr>
                <w:sz w:val="20"/>
                <w:szCs w:val="20"/>
                <w:color w:val="auto"/>
              </w:rPr>
            </w:pPr>
            <w:r>
              <w:rPr>
                <w:rFonts w:ascii="Arial" w:cs="Arial" w:eastAsia="Arial" w:hAnsi="Arial"/>
                <w:sz w:val="14"/>
                <w:szCs w:val="14"/>
                <w:color w:val="auto"/>
              </w:rPr>
              <w:t>Intangible asset amortization</w:t>
            </w: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738</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738</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3220" w:type="dxa"/>
            <w:vAlign w:val="bottom"/>
          </w:tcPr>
          <w:p>
            <w:pPr>
              <w:ind w:left="100"/>
              <w:spacing w:after="0" w:line="139" w:lineRule="exact"/>
              <w:rPr>
                <w:sz w:val="20"/>
                <w:szCs w:val="20"/>
                <w:color w:val="auto"/>
              </w:rPr>
            </w:pPr>
            <w:r>
              <w:rPr>
                <w:rFonts w:ascii="Arial" w:cs="Arial" w:eastAsia="Arial" w:hAnsi="Arial"/>
                <w:sz w:val="14"/>
                <w:szCs w:val="14"/>
                <w:color w:val="auto"/>
              </w:rPr>
              <w:t>Total operating expenses excluding cost of</w:t>
            </w:r>
          </w:p>
        </w:tc>
        <w:tc>
          <w:tcPr>
            <w:tcW w:w="300" w:type="dxa"/>
            <w:vAlign w:val="bottom"/>
          </w:tcPr>
          <w:p>
            <w:pPr>
              <w:spacing w:after="0"/>
              <w:rPr>
                <w:sz w:val="12"/>
                <w:szCs w:val="12"/>
                <w:color w:val="auto"/>
              </w:rPr>
            </w:pPr>
          </w:p>
        </w:tc>
        <w:tc>
          <w:tcPr>
            <w:tcW w:w="1260" w:type="dxa"/>
            <w:vAlign w:val="bottom"/>
            <w:vMerge w:val="restart"/>
          </w:tcPr>
          <w:p>
            <w:pPr>
              <w:jc w:val="right"/>
              <w:ind w:right="208"/>
              <w:spacing w:after="0"/>
              <w:rPr>
                <w:sz w:val="20"/>
                <w:szCs w:val="20"/>
                <w:color w:val="auto"/>
              </w:rPr>
            </w:pPr>
            <w:r>
              <w:rPr>
                <w:rFonts w:ascii="Arial" w:cs="Arial" w:eastAsia="Arial" w:hAnsi="Arial"/>
                <w:sz w:val="14"/>
                <w:szCs w:val="14"/>
                <w:color w:val="auto"/>
              </w:rPr>
              <w:t>67,124</w:t>
            </w:r>
          </w:p>
        </w:tc>
        <w:tc>
          <w:tcPr>
            <w:tcW w:w="180" w:type="dxa"/>
            <w:vAlign w:val="bottom"/>
          </w:tcPr>
          <w:p>
            <w:pPr>
              <w:spacing w:after="0"/>
              <w:rPr>
                <w:sz w:val="12"/>
                <w:szCs w:val="12"/>
                <w:color w:val="auto"/>
              </w:rPr>
            </w:pP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3,327</w:t>
            </w:r>
          </w:p>
        </w:tc>
        <w:tc>
          <w:tcPr>
            <w:tcW w:w="200" w:type="dxa"/>
            <w:vAlign w:val="bottom"/>
          </w:tcPr>
          <w:p>
            <w:pPr>
              <w:spacing w:after="0"/>
              <w:rPr>
                <w:sz w:val="12"/>
                <w:szCs w:val="12"/>
                <w:color w:val="auto"/>
              </w:rPr>
            </w:pPr>
          </w:p>
        </w:tc>
        <w:tc>
          <w:tcPr>
            <w:tcW w:w="1460" w:type="dxa"/>
            <w:vAlign w:val="bottom"/>
            <w:vMerge w:val="restart"/>
          </w:tcPr>
          <w:p>
            <w:pPr>
              <w:jc w:val="right"/>
              <w:ind w:right="28"/>
              <w:spacing w:after="0"/>
              <w:rPr>
                <w:sz w:val="20"/>
                <w:szCs w:val="20"/>
                <w:color w:val="auto"/>
              </w:rPr>
            </w:pPr>
            <w:r>
              <w:rPr>
                <w:rFonts w:ascii="Arial" w:cs="Arial" w:eastAsia="Arial" w:hAnsi="Arial"/>
                <w:sz w:val="14"/>
                <w:szCs w:val="14"/>
                <w:color w:val="auto"/>
              </w:rPr>
              <w:t>738</w:t>
            </w:r>
          </w:p>
        </w:tc>
        <w:tc>
          <w:tcPr>
            <w:tcW w:w="180" w:type="dxa"/>
            <w:vAlign w:val="bottom"/>
          </w:tcPr>
          <w:p>
            <w:pPr>
              <w:spacing w:after="0"/>
              <w:rPr>
                <w:sz w:val="12"/>
                <w:szCs w:val="12"/>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1,444</w:t>
            </w:r>
          </w:p>
        </w:tc>
        <w:tc>
          <w:tcPr>
            <w:tcW w:w="220" w:type="dxa"/>
            <w:vAlign w:val="bottom"/>
          </w:tcPr>
          <w:p>
            <w:pPr>
              <w:spacing w:after="0"/>
              <w:rPr>
                <w:sz w:val="12"/>
                <w:szCs w:val="12"/>
                <w:color w:val="auto"/>
              </w:rPr>
            </w:pPr>
          </w:p>
        </w:tc>
        <w:tc>
          <w:tcPr>
            <w:tcW w:w="1960" w:type="dxa"/>
            <w:vAlign w:val="bottom"/>
            <w:vMerge w:val="restart"/>
          </w:tcPr>
          <w:p>
            <w:pPr>
              <w:jc w:val="right"/>
              <w:ind w:right="128"/>
              <w:spacing w:after="0"/>
              <w:rPr>
                <w:sz w:val="20"/>
                <w:szCs w:val="20"/>
                <w:color w:val="auto"/>
              </w:rPr>
            </w:pPr>
            <w:r>
              <w:rPr>
                <w:rFonts w:ascii="Arial" w:cs="Arial" w:eastAsia="Arial" w:hAnsi="Arial"/>
                <w:sz w:val="14"/>
                <w:szCs w:val="14"/>
                <w:color w:val="auto"/>
              </w:rPr>
              <w:t>61,615</w:t>
            </w:r>
          </w:p>
        </w:tc>
        <w:tc>
          <w:tcPr>
            <w:tcW w:w="0" w:type="dxa"/>
            <w:vAlign w:val="bottom"/>
          </w:tcPr>
          <w:p>
            <w:pPr>
              <w:spacing w:after="0"/>
              <w:rPr>
                <w:sz w:val="1"/>
                <w:szCs w:val="1"/>
                <w:color w:val="auto"/>
              </w:rPr>
            </w:pPr>
          </w:p>
        </w:tc>
      </w:tr>
      <w:tr>
        <w:trPr>
          <w:trHeight w:val="185"/>
        </w:trPr>
        <w:tc>
          <w:tcPr>
            <w:tcW w:w="3220" w:type="dxa"/>
            <w:vAlign w:val="bottom"/>
          </w:tcPr>
          <w:p>
            <w:pPr>
              <w:ind w:left="100"/>
              <w:spacing w:after="0"/>
              <w:rPr>
                <w:sz w:val="20"/>
                <w:szCs w:val="20"/>
                <w:color w:val="auto"/>
              </w:rPr>
            </w:pPr>
            <w:r>
              <w:rPr>
                <w:rFonts w:ascii="Arial" w:cs="Arial" w:eastAsia="Arial" w:hAnsi="Arial"/>
                <w:sz w:val="14"/>
                <w:szCs w:val="14"/>
                <w:color w:val="auto"/>
              </w:rPr>
              <w:t>revenue (3)</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20" w:type="dxa"/>
            <w:vAlign w:val="bottom"/>
          </w:tcPr>
          <w:p>
            <w:pPr>
              <w:spacing w:after="0"/>
              <w:rPr>
                <w:sz w:val="20"/>
                <w:szCs w:val="20"/>
                <w:color w:val="auto"/>
              </w:rPr>
            </w:pPr>
            <w:r>
              <w:rPr>
                <w:rFonts w:ascii="Arial" w:cs="Arial" w:eastAsia="Arial" w:hAnsi="Arial"/>
                <w:sz w:val="14"/>
                <w:szCs w:val="14"/>
                <w:color w:val="auto"/>
              </w:rPr>
              <w:t>Loss from operations</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(4,656)</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3,387</w:t>
            </w: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3,653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1,450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3,834</w:t>
            </w:r>
          </w:p>
        </w:tc>
        <w:tc>
          <w:tcPr>
            <w:tcW w:w="0" w:type="dxa"/>
            <w:vAlign w:val="bottom"/>
          </w:tcPr>
          <w:p>
            <w:pPr>
              <w:spacing w:after="0"/>
              <w:rPr>
                <w:sz w:val="1"/>
                <w:szCs w:val="1"/>
                <w:color w:val="auto"/>
              </w:rPr>
            </w:pPr>
          </w:p>
        </w:tc>
      </w:tr>
      <w:tr>
        <w:trPr>
          <w:trHeight w:val="20"/>
        </w:trPr>
        <w:tc>
          <w:tcPr>
            <w:tcW w:w="3220" w:type="dxa"/>
            <w:vAlign w:val="bottom"/>
            <w:vMerge w:val="restart"/>
          </w:tcPr>
          <w:p>
            <w:pPr>
              <w:spacing w:after="0"/>
              <w:rPr>
                <w:sz w:val="20"/>
                <w:szCs w:val="20"/>
                <w:color w:val="auto"/>
              </w:rPr>
            </w:pPr>
            <w:r>
              <w:rPr>
                <w:rFonts w:ascii="Arial" w:cs="Arial" w:eastAsia="Arial" w:hAnsi="Arial"/>
                <w:sz w:val="14"/>
                <w:szCs w:val="14"/>
                <w:b w:val="1"/>
                <w:bCs w:val="1"/>
                <w:color w:val="auto"/>
              </w:rPr>
              <w:t>Three Months Ended March 31, 2023</w:t>
            </w: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3"/>
        </w:trPr>
        <w:tc>
          <w:tcPr>
            <w:tcW w:w="32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220" w:type="dxa"/>
            <w:vAlign w:val="bottom"/>
          </w:tcPr>
          <w:p>
            <w:pPr>
              <w:spacing w:after="0"/>
              <w:rPr>
                <w:sz w:val="20"/>
                <w:szCs w:val="20"/>
                <w:color w:val="auto"/>
              </w:rPr>
            </w:pPr>
            <w:r>
              <w:rPr>
                <w:rFonts w:ascii="Arial" w:cs="Arial" w:eastAsia="Arial" w:hAnsi="Arial"/>
                <w:sz w:val="14"/>
                <w:szCs w:val="14"/>
                <w:color w:val="auto"/>
              </w:rPr>
              <w:t>Total revenue</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82,422</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ind w:left="60"/>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960" w:type="dxa"/>
            <w:vAlign w:val="bottom"/>
          </w:tcPr>
          <w:p>
            <w:pPr>
              <w:jc w:val="right"/>
              <w:ind w:right="128"/>
              <w:spacing w:after="0"/>
              <w:rPr>
                <w:sz w:val="20"/>
                <w:szCs w:val="20"/>
                <w:color w:val="auto"/>
              </w:rPr>
            </w:pPr>
            <w:r>
              <w:rPr>
                <w:rFonts w:ascii="Arial" w:cs="Arial" w:eastAsia="Arial" w:hAnsi="Arial"/>
                <w:sz w:val="14"/>
                <w:szCs w:val="14"/>
                <w:color w:val="auto"/>
              </w:rPr>
              <w:t>82,422</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20"/>
                <w:szCs w:val="20"/>
                <w:color w:val="auto"/>
              </w:rPr>
            </w:pPr>
            <w:r>
              <w:rPr>
                <w:rFonts w:ascii="Arial" w:cs="Arial" w:eastAsia="Arial" w:hAnsi="Arial"/>
                <w:sz w:val="14"/>
                <w:szCs w:val="14"/>
                <w:color w:val="auto"/>
              </w:rPr>
              <w:t>Cost of testing revenue</w:t>
            </w:r>
          </w:p>
        </w:tc>
        <w:tc>
          <w:tcPr>
            <w:tcW w:w="300" w:type="dxa"/>
            <w:vAlign w:val="bottom"/>
          </w:tcPr>
          <w:p>
            <w:pPr>
              <w:spacing w:after="0"/>
              <w:rPr>
                <w:sz w:val="17"/>
                <w:szCs w:val="17"/>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19,648</w:t>
            </w:r>
          </w:p>
        </w:tc>
        <w:tc>
          <w:tcPr>
            <w:tcW w:w="180" w:type="dxa"/>
            <w:vAlign w:val="bottom"/>
          </w:tcPr>
          <w:p>
            <w:pPr>
              <w:spacing w:after="0"/>
              <w:rPr>
                <w:sz w:val="17"/>
                <w:szCs w:val="17"/>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83</w:t>
            </w:r>
          </w:p>
        </w:tc>
        <w:tc>
          <w:tcPr>
            <w:tcW w:w="200" w:type="dxa"/>
            <w:vAlign w:val="bottom"/>
          </w:tcPr>
          <w:p>
            <w:pPr>
              <w:spacing w:after="0"/>
              <w:rPr>
                <w:sz w:val="17"/>
                <w:szCs w:val="17"/>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960" w:type="dxa"/>
            <w:vAlign w:val="bottom"/>
          </w:tcPr>
          <w:p>
            <w:pPr>
              <w:jc w:val="right"/>
              <w:ind w:right="128"/>
              <w:spacing w:after="0"/>
              <w:rPr>
                <w:sz w:val="20"/>
                <w:szCs w:val="20"/>
                <w:color w:val="auto"/>
              </w:rPr>
            </w:pPr>
            <w:r>
              <w:rPr>
                <w:rFonts w:ascii="Arial" w:cs="Arial" w:eastAsia="Arial" w:hAnsi="Arial"/>
                <w:sz w:val="14"/>
                <w:szCs w:val="14"/>
                <w:color w:val="auto"/>
              </w:rPr>
              <w:t>19,565</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20"/>
                <w:szCs w:val="20"/>
                <w:color w:val="auto"/>
              </w:rPr>
            </w:pPr>
            <w:r>
              <w:rPr>
                <w:rFonts w:ascii="Arial" w:cs="Arial" w:eastAsia="Arial" w:hAnsi="Arial"/>
                <w:sz w:val="14"/>
                <w:szCs w:val="14"/>
                <w:color w:val="auto"/>
              </w:rPr>
              <w:t>Cost of product revenue</w:t>
            </w:r>
          </w:p>
        </w:tc>
        <w:tc>
          <w:tcPr>
            <w:tcW w:w="300" w:type="dxa"/>
            <w:vAlign w:val="bottom"/>
          </w:tcPr>
          <w:p>
            <w:pPr>
              <w:spacing w:after="0"/>
              <w:rPr>
                <w:sz w:val="17"/>
                <w:szCs w:val="17"/>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2,162</w:t>
            </w:r>
          </w:p>
        </w:tc>
        <w:tc>
          <w:tcPr>
            <w:tcW w:w="180" w:type="dxa"/>
            <w:vAlign w:val="bottom"/>
          </w:tcPr>
          <w:p>
            <w:pPr>
              <w:spacing w:after="0"/>
              <w:rPr>
                <w:sz w:val="17"/>
                <w:szCs w:val="17"/>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960" w:type="dxa"/>
            <w:vAlign w:val="bottom"/>
          </w:tcPr>
          <w:p>
            <w:pPr>
              <w:jc w:val="right"/>
              <w:ind w:right="128"/>
              <w:spacing w:after="0"/>
              <w:rPr>
                <w:sz w:val="20"/>
                <w:szCs w:val="20"/>
                <w:color w:val="auto"/>
              </w:rPr>
            </w:pPr>
            <w:r>
              <w:rPr>
                <w:rFonts w:ascii="Arial" w:cs="Arial" w:eastAsia="Arial" w:hAnsi="Arial"/>
                <w:sz w:val="14"/>
                <w:szCs w:val="14"/>
                <w:color w:val="auto"/>
              </w:rPr>
              <w:t>2,162</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20"/>
                <w:szCs w:val="20"/>
                <w:color w:val="auto"/>
              </w:rPr>
            </w:pPr>
            <w:r>
              <w:rPr>
                <w:rFonts w:ascii="Arial" w:cs="Arial" w:eastAsia="Arial" w:hAnsi="Arial"/>
                <w:sz w:val="14"/>
                <w:szCs w:val="14"/>
                <w:color w:val="auto"/>
              </w:rPr>
              <w:t>Cost of biopharmaceutical and other revenue</w:t>
            </w:r>
          </w:p>
        </w:tc>
        <w:tc>
          <w:tcPr>
            <w:tcW w:w="300" w:type="dxa"/>
            <w:vAlign w:val="bottom"/>
          </w:tcPr>
          <w:p>
            <w:pPr>
              <w:spacing w:after="0"/>
              <w:rPr>
                <w:sz w:val="17"/>
                <w:szCs w:val="17"/>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4,419</w:t>
            </w:r>
          </w:p>
        </w:tc>
        <w:tc>
          <w:tcPr>
            <w:tcW w:w="180" w:type="dxa"/>
            <w:vAlign w:val="bottom"/>
          </w:tcPr>
          <w:p>
            <w:pPr>
              <w:spacing w:after="0"/>
              <w:rPr>
                <w:sz w:val="17"/>
                <w:szCs w:val="17"/>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43</w:t>
            </w:r>
          </w:p>
        </w:tc>
        <w:tc>
          <w:tcPr>
            <w:tcW w:w="200" w:type="dxa"/>
            <w:vAlign w:val="bottom"/>
          </w:tcPr>
          <w:p>
            <w:pPr>
              <w:spacing w:after="0"/>
              <w:rPr>
                <w:sz w:val="17"/>
                <w:szCs w:val="17"/>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960" w:type="dxa"/>
            <w:vAlign w:val="bottom"/>
          </w:tcPr>
          <w:p>
            <w:pPr>
              <w:jc w:val="right"/>
              <w:ind w:right="128"/>
              <w:spacing w:after="0"/>
              <w:rPr>
                <w:sz w:val="20"/>
                <w:szCs w:val="20"/>
                <w:color w:val="auto"/>
              </w:rPr>
            </w:pPr>
            <w:r>
              <w:rPr>
                <w:rFonts w:ascii="Arial" w:cs="Arial" w:eastAsia="Arial" w:hAnsi="Arial"/>
                <w:sz w:val="14"/>
                <w:szCs w:val="14"/>
                <w:color w:val="auto"/>
              </w:rPr>
              <w:t>4,376</w:t>
            </w:r>
          </w:p>
        </w:tc>
        <w:tc>
          <w:tcPr>
            <w:tcW w:w="0" w:type="dxa"/>
            <w:vAlign w:val="bottom"/>
          </w:tcPr>
          <w:p>
            <w:pPr>
              <w:spacing w:after="0"/>
              <w:rPr>
                <w:sz w:val="1"/>
                <w:szCs w:val="1"/>
                <w:color w:val="auto"/>
              </w:rPr>
            </w:pPr>
          </w:p>
        </w:tc>
      </w:tr>
      <w:tr>
        <w:trPr>
          <w:trHeight w:val="204"/>
        </w:trPr>
        <w:tc>
          <w:tcPr>
            <w:tcW w:w="3220" w:type="dxa"/>
            <w:vAlign w:val="bottom"/>
          </w:tcPr>
          <w:p>
            <w:pPr>
              <w:spacing w:after="0"/>
              <w:rPr>
                <w:sz w:val="20"/>
                <w:szCs w:val="20"/>
                <w:color w:val="auto"/>
              </w:rPr>
            </w:pPr>
            <w:r>
              <w:rPr>
                <w:rFonts w:ascii="Arial" w:cs="Arial" w:eastAsia="Arial" w:hAnsi="Arial"/>
                <w:sz w:val="14"/>
                <w:szCs w:val="14"/>
                <w:color w:val="auto"/>
              </w:rPr>
              <w:t>Intangible asset amortization (2)</w:t>
            </w: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4,804</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4,804</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3220" w:type="dxa"/>
            <w:vAlign w:val="bottom"/>
          </w:tcPr>
          <w:p>
            <w:pPr>
              <w:ind w:left="100"/>
              <w:spacing w:after="0"/>
              <w:rPr>
                <w:sz w:val="20"/>
                <w:szCs w:val="20"/>
                <w:color w:val="auto"/>
              </w:rPr>
            </w:pPr>
            <w:r>
              <w:rPr>
                <w:rFonts w:ascii="Arial" w:cs="Arial" w:eastAsia="Arial" w:hAnsi="Arial"/>
                <w:sz w:val="14"/>
                <w:szCs w:val="14"/>
                <w:color w:val="auto"/>
              </w:rPr>
              <w:t>Gross margin $</w:t>
            </w:r>
          </w:p>
        </w:tc>
        <w:tc>
          <w:tcPr>
            <w:tcW w:w="300" w:type="dxa"/>
            <w:vAlign w:val="bottom"/>
          </w:tcPr>
          <w:p>
            <w:pPr>
              <w:spacing w:after="0"/>
              <w:rPr>
                <w:sz w:val="16"/>
                <w:szCs w:val="16"/>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51,389</w:t>
            </w:r>
          </w:p>
        </w:tc>
        <w:tc>
          <w:tcPr>
            <w:tcW w:w="180" w:type="dxa"/>
            <w:vAlign w:val="bottom"/>
          </w:tcPr>
          <w:p>
            <w:pPr>
              <w:spacing w:after="0"/>
              <w:rPr>
                <w:sz w:val="16"/>
                <w:szCs w:val="16"/>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126</w:t>
            </w:r>
          </w:p>
        </w:tc>
        <w:tc>
          <w:tcPr>
            <w:tcW w:w="200" w:type="dxa"/>
            <w:vAlign w:val="bottom"/>
          </w:tcPr>
          <w:p>
            <w:pPr>
              <w:spacing w:after="0"/>
              <w:rPr>
                <w:sz w:val="16"/>
                <w:szCs w:val="16"/>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4,804</w:t>
            </w:r>
          </w:p>
        </w:tc>
        <w:tc>
          <w:tcPr>
            <w:tcW w:w="1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960" w:type="dxa"/>
            <w:vAlign w:val="bottom"/>
          </w:tcPr>
          <w:p>
            <w:pPr>
              <w:jc w:val="right"/>
              <w:ind w:right="128"/>
              <w:spacing w:after="0"/>
              <w:rPr>
                <w:sz w:val="20"/>
                <w:szCs w:val="20"/>
                <w:color w:val="auto"/>
              </w:rPr>
            </w:pPr>
            <w:r>
              <w:rPr>
                <w:rFonts w:ascii="Arial" w:cs="Arial" w:eastAsia="Arial" w:hAnsi="Arial"/>
                <w:sz w:val="14"/>
                <w:szCs w:val="14"/>
                <w:color w:val="auto"/>
              </w:rPr>
              <w:t>56,319</w:t>
            </w:r>
          </w:p>
        </w:tc>
        <w:tc>
          <w:tcPr>
            <w:tcW w:w="0" w:type="dxa"/>
            <w:vAlign w:val="bottom"/>
          </w:tcPr>
          <w:p>
            <w:pPr>
              <w:spacing w:after="0"/>
              <w:rPr>
                <w:sz w:val="1"/>
                <w:szCs w:val="1"/>
                <w:color w:val="auto"/>
              </w:rPr>
            </w:pPr>
          </w:p>
        </w:tc>
      </w:tr>
      <w:tr>
        <w:trPr>
          <w:trHeight w:val="203"/>
        </w:trPr>
        <w:tc>
          <w:tcPr>
            <w:tcW w:w="3220" w:type="dxa"/>
            <w:vAlign w:val="bottom"/>
          </w:tcPr>
          <w:p>
            <w:pPr>
              <w:ind w:left="100"/>
              <w:spacing w:after="0"/>
              <w:rPr>
                <w:sz w:val="20"/>
                <w:szCs w:val="20"/>
                <w:color w:val="auto"/>
              </w:rPr>
            </w:pPr>
            <w:r>
              <w:rPr>
                <w:rFonts w:ascii="Arial" w:cs="Arial" w:eastAsia="Arial" w:hAnsi="Arial"/>
                <w:sz w:val="14"/>
                <w:szCs w:val="14"/>
                <w:color w:val="auto"/>
              </w:rPr>
              <w:t>Gross margin %</w:t>
            </w:r>
          </w:p>
        </w:tc>
        <w:tc>
          <w:tcPr>
            <w:tcW w:w="300" w:type="dxa"/>
            <w:vAlign w:val="bottom"/>
          </w:tcPr>
          <w:p>
            <w:pPr>
              <w:spacing w:after="0"/>
              <w:rPr>
                <w:sz w:val="17"/>
                <w:szCs w:val="17"/>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62 %</w:t>
            </w: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68 %</w:t>
            </w:r>
          </w:p>
        </w:tc>
        <w:tc>
          <w:tcPr>
            <w:tcW w:w="0" w:type="dxa"/>
            <w:vAlign w:val="bottom"/>
          </w:tcPr>
          <w:p>
            <w:pPr>
              <w:spacing w:after="0"/>
              <w:rPr>
                <w:sz w:val="1"/>
                <w:szCs w:val="1"/>
                <w:color w:val="auto"/>
              </w:rPr>
            </w:pPr>
          </w:p>
        </w:tc>
      </w:tr>
      <w:tr>
        <w:trPr>
          <w:trHeight w:val="459"/>
        </w:trPr>
        <w:tc>
          <w:tcPr>
            <w:tcW w:w="3220" w:type="dxa"/>
            <w:vAlign w:val="bottom"/>
          </w:tcPr>
          <w:p>
            <w:pPr>
              <w:spacing w:after="0"/>
              <w:rPr>
                <w:sz w:val="20"/>
                <w:szCs w:val="20"/>
                <w:color w:val="auto"/>
              </w:rPr>
            </w:pPr>
            <w:r>
              <w:rPr>
                <w:rFonts w:ascii="Arial" w:cs="Arial" w:eastAsia="Arial" w:hAnsi="Arial"/>
                <w:sz w:val="14"/>
                <w:szCs w:val="14"/>
                <w:color w:val="auto"/>
              </w:rPr>
              <w:t>Research and development</w:t>
            </w:r>
          </w:p>
        </w:tc>
        <w:tc>
          <w:tcPr>
            <w:tcW w:w="300" w:type="dxa"/>
            <w:vAlign w:val="bottom"/>
          </w:tcPr>
          <w:p>
            <w:pPr>
              <w:spacing w:after="0"/>
              <w:rPr>
                <w:sz w:val="24"/>
                <w:szCs w:val="24"/>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12,769</w:t>
            </w:r>
          </w:p>
        </w:tc>
        <w:tc>
          <w:tcPr>
            <w:tcW w:w="180" w:type="dxa"/>
            <w:vAlign w:val="bottom"/>
          </w:tcPr>
          <w:p>
            <w:pPr>
              <w:spacing w:after="0"/>
              <w:rPr>
                <w:sz w:val="24"/>
                <w:szCs w:val="24"/>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200" w:type="dxa"/>
            <w:vAlign w:val="bottom"/>
          </w:tcPr>
          <w:p>
            <w:pPr>
              <w:spacing w:after="0"/>
              <w:rPr>
                <w:sz w:val="24"/>
                <w:szCs w:val="24"/>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960" w:type="dxa"/>
            <w:vAlign w:val="bottom"/>
          </w:tcPr>
          <w:p>
            <w:pPr>
              <w:jc w:val="right"/>
              <w:ind w:right="128"/>
              <w:spacing w:after="0"/>
              <w:rPr>
                <w:sz w:val="20"/>
                <w:szCs w:val="20"/>
                <w:color w:val="auto"/>
              </w:rPr>
            </w:pPr>
            <w:r>
              <w:rPr>
                <w:rFonts w:ascii="Arial" w:cs="Arial" w:eastAsia="Arial" w:hAnsi="Arial"/>
                <w:sz w:val="14"/>
                <w:szCs w:val="14"/>
                <w:color w:val="auto"/>
              </w:rPr>
              <w:t>12,745</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20"/>
                <w:szCs w:val="20"/>
                <w:color w:val="auto"/>
              </w:rPr>
            </w:pPr>
            <w:r>
              <w:rPr>
                <w:rFonts w:ascii="Arial" w:cs="Arial" w:eastAsia="Arial" w:hAnsi="Arial"/>
                <w:sz w:val="14"/>
                <w:szCs w:val="14"/>
                <w:color w:val="auto"/>
              </w:rPr>
              <w:t>Selling and marketing</w:t>
            </w:r>
          </w:p>
        </w:tc>
        <w:tc>
          <w:tcPr>
            <w:tcW w:w="300" w:type="dxa"/>
            <w:vAlign w:val="bottom"/>
          </w:tcPr>
          <w:p>
            <w:pPr>
              <w:spacing w:after="0"/>
              <w:rPr>
                <w:sz w:val="17"/>
                <w:szCs w:val="17"/>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26,130</w:t>
            </w:r>
          </w:p>
        </w:tc>
        <w:tc>
          <w:tcPr>
            <w:tcW w:w="180" w:type="dxa"/>
            <w:vAlign w:val="bottom"/>
          </w:tcPr>
          <w:p>
            <w:pPr>
              <w:spacing w:after="0"/>
              <w:rPr>
                <w:sz w:val="17"/>
                <w:szCs w:val="17"/>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890</w:t>
            </w:r>
          </w:p>
        </w:tc>
        <w:tc>
          <w:tcPr>
            <w:tcW w:w="200" w:type="dxa"/>
            <w:vAlign w:val="bottom"/>
          </w:tcPr>
          <w:p>
            <w:pPr>
              <w:spacing w:after="0"/>
              <w:rPr>
                <w:sz w:val="17"/>
                <w:szCs w:val="17"/>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960" w:type="dxa"/>
            <w:vAlign w:val="bottom"/>
          </w:tcPr>
          <w:p>
            <w:pPr>
              <w:jc w:val="right"/>
              <w:ind w:right="128"/>
              <w:spacing w:after="0"/>
              <w:rPr>
                <w:sz w:val="20"/>
                <w:szCs w:val="20"/>
                <w:color w:val="auto"/>
              </w:rPr>
            </w:pPr>
            <w:r>
              <w:rPr>
                <w:rFonts w:ascii="Arial" w:cs="Arial" w:eastAsia="Arial" w:hAnsi="Arial"/>
                <w:sz w:val="14"/>
                <w:szCs w:val="14"/>
                <w:color w:val="auto"/>
              </w:rPr>
              <w:t>25,240</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20"/>
                <w:szCs w:val="20"/>
                <w:color w:val="auto"/>
              </w:rPr>
            </w:pPr>
            <w:r>
              <w:rPr>
                <w:rFonts w:ascii="Arial" w:cs="Arial" w:eastAsia="Arial" w:hAnsi="Arial"/>
                <w:sz w:val="14"/>
                <w:szCs w:val="14"/>
                <w:color w:val="auto"/>
              </w:rPr>
              <w:t>General and administrative</w:t>
            </w:r>
          </w:p>
        </w:tc>
        <w:tc>
          <w:tcPr>
            <w:tcW w:w="300" w:type="dxa"/>
            <w:vAlign w:val="bottom"/>
          </w:tcPr>
          <w:p>
            <w:pPr>
              <w:spacing w:after="0"/>
              <w:rPr>
                <w:sz w:val="17"/>
                <w:szCs w:val="17"/>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21,053</w:t>
            </w:r>
          </w:p>
        </w:tc>
        <w:tc>
          <w:tcPr>
            <w:tcW w:w="180" w:type="dxa"/>
            <w:vAlign w:val="bottom"/>
          </w:tcPr>
          <w:p>
            <w:pPr>
              <w:spacing w:after="0"/>
              <w:rPr>
                <w:sz w:val="17"/>
                <w:szCs w:val="17"/>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1,036</w:t>
            </w:r>
          </w:p>
        </w:tc>
        <w:tc>
          <w:tcPr>
            <w:tcW w:w="200" w:type="dxa"/>
            <w:vAlign w:val="bottom"/>
          </w:tcPr>
          <w:p>
            <w:pPr>
              <w:spacing w:after="0"/>
              <w:rPr>
                <w:sz w:val="17"/>
                <w:szCs w:val="17"/>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(66)</w:t>
            </w:r>
          </w:p>
        </w:tc>
        <w:tc>
          <w:tcPr>
            <w:tcW w:w="220" w:type="dxa"/>
            <w:vAlign w:val="bottom"/>
          </w:tcPr>
          <w:p>
            <w:pPr>
              <w:spacing w:after="0"/>
              <w:rPr>
                <w:sz w:val="17"/>
                <w:szCs w:val="17"/>
                <w:color w:val="auto"/>
              </w:rPr>
            </w:pPr>
          </w:p>
        </w:tc>
        <w:tc>
          <w:tcPr>
            <w:tcW w:w="1960" w:type="dxa"/>
            <w:vAlign w:val="bottom"/>
          </w:tcPr>
          <w:p>
            <w:pPr>
              <w:jc w:val="right"/>
              <w:ind w:right="128"/>
              <w:spacing w:after="0"/>
              <w:rPr>
                <w:sz w:val="20"/>
                <w:szCs w:val="20"/>
                <w:color w:val="auto"/>
              </w:rPr>
            </w:pPr>
            <w:r>
              <w:rPr>
                <w:rFonts w:ascii="Arial" w:cs="Arial" w:eastAsia="Arial" w:hAnsi="Arial"/>
                <w:sz w:val="14"/>
                <w:szCs w:val="14"/>
                <w:color w:val="auto"/>
              </w:rPr>
              <w:t>20,083</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20"/>
                <w:szCs w:val="20"/>
                <w:color w:val="auto"/>
              </w:rPr>
            </w:pPr>
            <w:r>
              <w:rPr>
                <w:rFonts w:ascii="Arial" w:cs="Arial" w:eastAsia="Arial" w:hAnsi="Arial"/>
                <w:sz w:val="14"/>
                <w:szCs w:val="14"/>
                <w:color w:val="auto"/>
              </w:rPr>
              <w:t>Impairment of long-lived assets</w:t>
            </w:r>
          </w:p>
        </w:tc>
        <w:tc>
          <w:tcPr>
            <w:tcW w:w="300" w:type="dxa"/>
            <w:vAlign w:val="bottom"/>
          </w:tcPr>
          <w:p>
            <w:pPr>
              <w:spacing w:after="0"/>
              <w:rPr>
                <w:sz w:val="17"/>
                <w:szCs w:val="17"/>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1,410</w:t>
            </w:r>
          </w:p>
        </w:tc>
        <w:tc>
          <w:tcPr>
            <w:tcW w:w="180" w:type="dxa"/>
            <w:vAlign w:val="bottom"/>
          </w:tcPr>
          <w:p>
            <w:pPr>
              <w:spacing w:after="0"/>
              <w:rPr>
                <w:sz w:val="17"/>
                <w:szCs w:val="17"/>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1,410</w:t>
            </w:r>
          </w:p>
        </w:tc>
        <w:tc>
          <w:tcPr>
            <w:tcW w:w="220" w:type="dxa"/>
            <w:vAlign w:val="bottom"/>
          </w:tcPr>
          <w:p>
            <w:pPr>
              <w:spacing w:after="0"/>
              <w:rPr>
                <w:sz w:val="17"/>
                <w:szCs w:val="17"/>
                <w:color w:val="auto"/>
              </w:rPr>
            </w:pPr>
          </w:p>
        </w:tc>
        <w:tc>
          <w:tcPr>
            <w:tcW w:w="19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3220" w:type="dxa"/>
            <w:vAlign w:val="bottom"/>
          </w:tcPr>
          <w:p>
            <w:pPr>
              <w:spacing w:after="0"/>
              <w:rPr>
                <w:sz w:val="20"/>
                <w:szCs w:val="20"/>
                <w:color w:val="auto"/>
              </w:rPr>
            </w:pPr>
            <w:r>
              <w:rPr>
                <w:rFonts w:ascii="Arial" w:cs="Arial" w:eastAsia="Arial" w:hAnsi="Arial"/>
                <w:sz w:val="14"/>
                <w:szCs w:val="14"/>
                <w:color w:val="auto"/>
              </w:rPr>
              <w:t>Intangible asset amortization</w:t>
            </w: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525</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525</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3220" w:type="dxa"/>
            <w:vAlign w:val="bottom"/>
          </w:tcPr>
          <w:p>
            <w:pPr>
              <w:ind w:left="100"/>
              <w:spacing w:after="0" w:line="139" w:lineRule="exact"/>
              <w:rPr>
                <w:sz w:val="20"/>
                <w:szCs w:val="20"/>
                <w:color w:val="auto"/>
              </w:rPr>
            </w:pPr>
            <w:r>
              <w:rPr>
                <w:rFonts w:ascii="Arial" w:cs="Arial" w:eastAsia="Arial" w:hAnsi="Arial"/>
                <w:sz w:val="14"/>
                <w:szCs w:val="14"/>
                <w:color w:val="auto"/>
              </w:rPr>
              <w:t>Total operating expenses excluding cost of</w:t>
            </w:r>
          </w:p>
        </w:tc>
        <w:tc>
          <w:tcPr>
            <w:tcW w:w="300" w:type="dxa"/>
            <w:vAlign w:val="bottom"/>
          </w:tcPr>
          <w:p>
            <w:pPr>
              <w:spacing w:after="0"/>
              <w:rPr>
                <w:sz w:val="12"/>
                <w:szCs w:val="12"/>
                <w:color w:val="auto"/>
              </w:rPr>
            </w:pPr>
          </w:p>
        </w:tc>
        <w:tc>
          <w:tcPr>
            <w:tcW w:w="1260" w:type="dxa"/>
            <w:vAlign w:val="bottom"/>
            <w:vMerge w:val="restart"/>
          </w:tcPr>
          <w:p>
            <w:pPr>
              <w:jc w:val="right"/>
              <w:ind w:right="208"/>
              <w:spacing w:after="0"/>
              <w:rPr>
                <w:sz w:val="20"/>
                <w:szCs w:val="20"/>
                <w:color w:val="auto"/>
              </w:rPr>
            </w:pPr>
            <w:r>
              <w:rPr>
                <w:rFonts w:ascii="Arial" w:cs="Arial" w:eastAsia="Arial" w:hAnsi="Arial"/>
                <w:sz w:val="14"/>
                <w:szCs w:val="14"/>
                <w:color w:val="auto"/>
              </w:rPr>
              <w:t>61,887</w:t>
            </w:r>
          </w:p>
        </w:tc>
        <w:tc>
          <w:tcPr>
            <w:tcW w:w="180" w:type="dxa"/>
            <w:vAlign w:val="bottom"/>
          </w:tcPr>
          <w:p>
            <w:pPr>
              <w:spacing w:after="0"/>
              <w:rPr>
                <w:sz w:val="12"/>
                <w:szCs w:val="12"/>
                <w:color w:val="auto"/>
              </w:rPr>
            </w:pP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1,950</w:t>
            </w:r>
          </w:p>
        </w:tc>
        <w:tc>
          <w:tcPr>
            <w:tcW w:w="200" w:type="dxa"/>
            <w:vAlign w:val="bottom"/>
          </w:tcPr>
          <w:p>
            <w:pPr>
              <w:spacing w:after="0"/>
              <w:rPr>
                <w:sz w:val="12"/>
                <w:szCs w:val="12"/>
                <w:color w:val="auto"/>
              </w:rPr>
            </w:pPr>
          </w:p>
        </w:tc>
        <w:tc>
          <w:tcPr>
            <w:tcW w:w="1460" w:type="dxa"/>
            <w:vAlign w:val="bottom"/>
            <w:vMerge w:val="restart"/>
          </w:tcPr>
          <w:p>
            <w:pPr>
              <w:jc w:val="right"/>
              <w:ind w:right="28"/>
              <w:spacing w:after="0"/>
              <w:rPr>
                <w:sz w:val="20"/>
                <w:szCs w:val="20"/>
                <w:color w:val="auto"/>
              </w:rPr>
            </w:pPr>
            <w:r>
              <w:rPr>
                <w:rFonts w:ascii="Arial" w:cs="Arial" w:eastAsia="Arial" w:hAnsi="Arial"/>
                <w:sz w:val="14"/>
                <w:szCs w:val="14"/>
                <w:color w:val="auto"/>
              </w:rPr>
              <w:t>525</w:t>
            </w:r>
          </w:p>
        </w:tc>
        <w:tc>
          <w:tcPr>
            <w:tcW w:w="180" w:type="dxa"/>
            <w:vAlign w:val="bottom"/>
          </w:tcPr>
          <w:p>
            <w:pPr>
              <w:spacing w:after="0"/>
              <w:rPr>
                <w:sz w:val="12"/>
                <w:szCs w:val="12"/>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1,344</w:t>
            </w:r>
          </w:p>
        </w:tc>
        <w:tc>
          <w:tcPr>
            <w:tcW w:w="220" w:type="dxa"/>
            <w:vAlign w:val="bottom"/>
          </w:tcPr>
          <w:p>
            <w:pPr>
              <w:spacing w:after="0"/>
              <w:rPr>
                <w:sz w:val="12"/>
                <w:szCs w:val="12"/>
                <w:color w:val="auto"/>
              </w:rPr>
            </w:pPr>
          </w:p>
        </w:tc>
        <w:tc>
          <w:tcPr>
            <w:tcW w:w="1960" w:type="dxa"/>
            <w:vAlign w:val="bottom"/>
            <w:vMerge w:val="restart"/>
          </w:tcPr>
          <w:p>
            <w:pPr>
              <w:jc w:val="right"/>
              <w:ind w:right="128"/>
              <w:spacing w:after="0"/>
              <w:rPr>
                <w:sz w:val="20"/>
                <w:szCs w:val="20"/>
                <w:color w:val="auto"/>
              </w:rPr>
            </w:pPr>
            <w:r>
              <w:rPr>
                <w:rFonts w:ascii="Arial" w:cs="Arial" w:eastAsia="Arial" w:hAnsi="Arial"/>
                <w:sz w:val="14"/>
                <w:szCs w:val="14"/>
                <w:color w:val="auto"/>
              </w:rPr>
              <w:t>58,068</w:t>
            </w:r>
          </w:p>
        </w:tc>
        <w:tc>
          <w:tcPr>
            <w:tcW w:w="0" w:type="dxa"/>
            <w:vAlign w:val="bottom"/>
          </w:tcPr>
          <w:p>
            <w:pPr>
              <w:spacing w:after="0"/>
              <w:rPr>
                <w:sz w:val="1"/>
                <w:szCs w:val="1"/>
                <w:color w:val="auto"/>
              </w:rPr>
            </w:pPr>
          </w:p>
        </w:tc>
      </w:tr>
      <w:tr>
        <w:trPr>
          <w:trHeight w:val="185"/>
        </w:trPr>
        <w:tc>
          <w:tcPr>
            <w:tcW w:w="3220" w:type="dxa"/>
            <w:vAlign w:val="bottom"/>
          </w:tcPr>
          <w:p>
            <w:pPr>
              <w:ind w:left="100"/>
              <w:spacing w:after="0"/>
              <w:rPr>
                <w:sz w:val="20"/>
                <w:szCs w:val="20"/>
                <w:color w:val="auto"/>
              </w:rPr>
            </w:pPr>
            <w:r>
              <w:rPr>
                <w:rFonts w:ascii="Arial" w:cs="Arial" w:eastAsia="Arial" w:hAnsi="Arial"/>
                <w:sz w:val="14"/>
                <w:szCs w:val="14"/>
                <w:color w:val="auto"/>
              </w:rPr>
              <w:t>revenue (3)</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20" w:type="dxa"/>
            <w:vAlign w:val="bottom"/>
          </w:tcPr>
          <w:p>
            <w:pPr>
              <w:spacing w:after="0"/>
              <w:rPr>
                <w:sz w:val="20"/>
                <w:szCs w:val="20"/>
                <w:color w:val="auto"/>
              </w:rPr>
            </w:pPr>
            <w:r>
              <w:rPr>
                <w:rFonts w:ascii="Arial" w:cs="Arial" w:eastAsia="Arial" w:hAnsi="Arial"/>
                <w:sz w:val="14"/>
                <w:szCs w:val="14"/>
                <w:color w:val="auto"/>
              </w:rPr>
              <w:t>Loss from operations</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(10,498)</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2,076</w:t>
            </w: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5,329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1,344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(1,749)</w:t>
            </w:r>
          </w:p>
        </w:tc>
        <w:tc>
          <w:tcPr>
            <w:tcW w:w="0" w:type="dxa"/>
            <w:vAlign w:val="bottom"/>
          </w:tcPr>
          <w:p>
            <w:pPr>
              <w:spacing w:after="0"/>
              <w:rPr>
                <w:sz w:val="1"/>
                <w:szCs w:val="1"/>
                <w:color w:val="auto"/>
              </w:rPr>
            </w:pPr>
          </w:p>
        </w:tc>
      </w:tr>
      <w:tr>
        <w:trPr>
          <w:trHeight w:val="21"/>
        </w:trPr>
        <w:tc>
          <w:tcPr>
            <w:tcW w:w="3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40" w:right="120" w:hanging="240"/>
        <w:spacing w:after="0" w:line="231" w:lineRule="auto"/>
        <w:tabs>
          <w:tab w:leader="none" w:pos="157"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transaction related expenses as well as post-combination compensation expenses. For the three months ended March 31, 2024, adjustments consist primarily of transaction related expenses associated with the acquisition of C2i Genomics ($4.6 million) and reversals of accrued compensation associated with the acquisition of HalioDx ($1.2 million). For the three months ended March, 31 2023, adjustments consist primarily of post-combination compensation expenses associated with the acquisition of HalioDx.</w:t>
      </w:r>
    </w:p>
    <w:p>
      <w:pPr>
        <w:spacing w:after="0" w:line="14" w:lineRule="exact"/>
        <w:rPr>
          <w:rFonts w:ascii="Arial" w:cs="Arial" w:eastAsia="Arial" w:hAnsi="Arial"/>
          <w:sz w:val="14"/>
          <w:szCs w:val="14"/>
          <w:color w:val="auto"/>
        </w:rPr>
      </w:pPr>
    </w:p>
    <w:p>
      <w:pPr>
        <w:ind w:left="240" w:right="340" w:hanging="240"/>
        <w:spacing w:after="0" w:line="252" w:lineRule="auto"/>
        <w:tabs>
          <w:tab w:leader="none" w:pos="157"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only amortization of intangible assets identified as developed technology assets through purchase accounting transactions, which otherwise would have been allocated to cost of revenue.</w:t>
      </w:r>
    </w:p>
    <w:p>
      <w:pPr>
        <w:ind w:left="240" w:right="220" w:hanging="240"/>
        <w:spacing w:after="0" w:line="234" w:lineRule="auto"/>
        <w:tabs>
          <w:tab w:leader="none" w:pos="157"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only amortization of intangible assets, which otherwise would have been allocated to research and development, selling and marketing or general and administrative expense and excludes the cost of revenue ($31.5 million and $26.2 million) and the amortization of intangible assets which would have been allocated to the cost of revenue ($2.9 million and $4.8 million) for the three months ended March 31, 2024 and for the three months ended March 31, 2023 respectively.</w:t>
      </w:r>
    </w:p>
    <w:p>
      <w:pPr>
        <w:spacing w:after="0" w:line="13" w:lineRule="exact"/>
        <w:rPr>
          <w:rFonts w:ascii="Arial" w:cs="Arial" w:eastAsia="Arial" w:hAnsi="Arial"/>
          <w:sz w:val="14"/>
          <w:szCs w:val="14"/>
          <w:color w:val="auto"/>
        </w:rPr>
      </w:pPr>
    </w:p>
    <w:p>
      <w:pPr>
        <w:ind w:left="240" w:right="260" w:hanging="240"/>
        <w:spacing w:after="0" w:line="264" w:lineRule="auto"/>
        <w:tabs>
          <w:tab w:leader="none" w:pos="157" w:val="left"/>
        </w:tabs>
        <w:numPr>
          <w:ilvl w:val="0"/>
          <w:numId w:val="5"/>
        </w:numPr>
        <w:rPr>
          <w:rFonts w:ascii="Arial" w:cs="Arial" w:eastAsia="Arial" w:hAnsi="Arial"/>
          <w:sz w:val="14"/>
          <w:szCs w:val="14"/>
          <w:color w:val="auto"/>
        </w:rPr>
      </w:pPr>
      <w:r>
        <w:rPr>
          <w:rFonts w:ascii="Arial" w:cs="Arial" w:eastAsia="Arial" w:hAnsi="Arial"/>
          <w:sz w:val="14"/>
          <w:szCs w:val="14"/>
          <w:color w:val="auto"/>
        </w:rPr>
        <w:t>For the three months ended March 31, 2024, includes $1.4 million expense related to restructuring costs associated with portfolio prioritization including the reduction in Envisia commercial support. For the three months ended March 31, 2023, includes $1.3 million related to impairment charges.</w:t>
      </w:r>
    </w:p>
    <w:p>
      <w:pPr>
        <w:sectPr>
          <w:pgSz w:w="11900" w:h="16838" w:orient="portrait"/>
          <w:cols w:equalWidth="0" w:num="1">
            <w:col w:w="11080"/>
          </w:cols>
          <w:pgMar w:left="420" w:top="1183" w:right="399" w:bottom="1440" w:gutter="0" w:footer="0" w:header="0"/>
        </w:sectPr>
      </w:pPr>
    </w:p>
    <w:bookmarkStart w:id="12" w:name="page13"/>
    <w:bookmarkEnd w:id="12"/>
    <w:p>
      <w:pPr>
        <w:jc w:val="right"/>
        <w:ind w:right="4259"/>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Shayla Gorman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investors@veracyte.com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619-393-1545</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Tracy Morris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media@veracyte.com</w:t>
      </w:r>
    </w:p>
    <w:p>
      <w:pPr>
        <w:spacing w:after="0"/>
        <w:rPr>
          <w:sz w:val="20"/>
          <w:szCs w:val="20"/>
          <w:color w:val="auto"/>
        </w:rPr>
      </w:pPr>
      <w:r>
        <w:rPr>
          <w:rFonts w:ascii="Arial" w:cs="Arial" w:eastAsia="Arial" w:hAnsi="Arial"/>
          <w:sz w:val="18"/>
          <w:szCs w:val="18"/>
          <w:color w:val="auto"/>
        </w:rPr>
        <w:t>650-380-4413</w:t>
      </w:r>
    </w:p>
    <w:sectPr>
      <w:pgSz w:w="11900" w:h="16838" w:orient="portrait"/>
      <w:cols w:equalWidth="0" w:num="1">
        <w:col w:w="10139"/>
      </w:cols>
      <w:pgMar w:left="320" w:top="8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2024-05-07T15:31:53Z</dcterms:created>
  <dcterms:modified xsi:type="dcterms:W3CDTF">2024-05-07T15:31:53Z</dcterms:modified>
</cp:coreProperties>
</file>