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78105</wp:posOffset>
            </wp:positionV>
            <wp:extent cx="2219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159385</wp:posOffset>
            </wp:positionV>
            <wp:extent cx="2219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1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48" w:lineRule="exact"/>
        <w:rPr>
          <w:sz w:val="24"/>
          <w:szCs w:val="24"/>
          <w:color w:val="auto"/>
        </w:rPr>
      </w:pPr>
    </w:p>
    <w:p>
      <w:pPr>
        <w:ind w:left="380" w:hanging="341"/>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2022</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9" w:lineRule="exact"/>
        <w:rPr>
          <w:sz w:val="24"/>
          <w:szCs w:val="24"/>
          <w:color w:val="auto"/>
        </w:rPr>
      </w:pPr>
    </w:p>
    <w:p>
      <w:pPr>
        <w:ind w:left="380" w:hanging="341"/>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04" w:lineRule="exact"/>
        <w:rPr>
          <w:sz w:val="24"/>
          <w:szCs w:val="24"/>
          <w:color w:val="auto"/>
        </w:rPr>
      </w:pPr>
    </w:p>
    <w:tbl>
      <w:tblPr>
        <w:tblLayout w:type="fixed"/>
        <w:tblInd w:w="3880" w:type="dxa"/>
        <w:tblCellMar>
          <w:top w:w="0" w:type="dxa"/>
          <w:left w:w="0" w:type="dxa"/>
          <w:bottom w:w="0" w:type="dxa"/>
          <w:right w:w="0" w:type="dxa"/>
        </w:tblCellMar>
      </w:tblPr>
      <w:tr>
        <w:trPr>
          <w:trHeight w:val="226"/>
        </w:trPr>
        <w:tc>
          <w:tcPr>
            <w:tcW w:w="25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9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410"/>
        </w:trPr>
        <w:tc>
          <w:tcPr>
            <w:tcW w:w="3500" w:type="dxa"/>
            <w:vAlign w:val="bottom"/>
            <w:gridSpan w:val="2"/>
          </w:tcPr>
          <w:p>
            <w:pPr>
              <w:ind w:left="520"/>
              <w:spacing w:after="0"/>
              <w:rPr>
                <w:sz w:val="20"/>
                <w:szCs w:val="20"/>
                <w:color w:val="auto"/>
              </w:rPr>
            </w:pPr>
            <w:r>
              <w:rPr>
                <w:rFonts w:ascii="Times New Roman" w:cs="Times New Roman" w:eastAsia="Times New Roman" w:hAnsi="Times New Roman"/>
                <w:sz w:val="17"/>
                <w:szCs w:val="17"/>
                <w:b w:val="1"/>
                <w:bCs w:val="1"/>
                <w:color w:val="auto"/>
              </w:rPr>
              <w:t>Commission file number 001-36156</w:t>
            </w:r>
          </w:p>
        </w:tc>
      </w:tr>
      <w:tr>
        <w:trPr>
          <w:trHeight w:val="102"/>
        </w:trPr>
        <w:tc>
          <w:tcPr>
            <w:tcW w:w="25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pacing w:after="0" w:line="194" w:lineRule="exact"/>
        <w:rPr>
          <w:sz w:val="24"/>
          <w:szCs w:val="24"/>
          <w:color w:val="auto"/>
        </w:rPr>
      </w:pPr>
    </w:p>
    <w:tbl>
      <w:tblPr>
        <w:tblLayout w:type="fixed"/>
        <w:tblInd w:w="840" w:type="dxa"/>
        <w:tblCellMar>
          <w:top w:w="0" w:type="dxa"/>
          <w:left w:w="0" w:type="dxa"/>
          <w:bottom w:w="0" w:type="dxa"/>
          <w:right w:w="0" w:type="dxa"/>
        </w:tblCellMar>
      </w:tblPr>
      <w:tr>
        <w:trPr>
          <w:trHeight w:val="353"/>
        </w:trPr>
        <w:tc>
          <w:tcPr>
            <w:tcW w:w="2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00" w:type="dxa"/>
            <w:vAlign w:val="bottom"/>
            <w:gridSpan w:val="2"/>
          </w:tcPr>
          <w:p>
            <w:pPr>
              <w:jc w:val="center"/>
              <w:ind w:right="2415"/>
              <w:spacing w:after="0"/>
              <w:rPr>
                <w:sz w:val="20"/>
                <w:szCs w:val="20"/>
                <w:color w:val="auto"/>
              </w:rPr>
            </w:pPr>
            <w:r>
              <w:rPr>
                <w:rFonts w:ascii="Times New Roman" w:cs="Times New Roman" w:eastAsia="Times New Roman" w:hAnsi="Times New Roman"/>
                <w:sz w:val="27"/>
                <w:szCs w:val="27"/>
                <w:b w:val="1"/>
                <w:bCs w:val="1"/>
                <w:color w:val="auto"/>
              </w:rPr>
              <w:t>VERACYTE, INC.</w:t>
            </w:r>
          </w:p>
        </w:tc>
      </w:tr>
      <w:tr>
        <w:trPr>
          <w:trHeight w:val="222"/>
        </w:trPr>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00" w:type="dxa"/>
            <w:vAlign w:val="bottom"/>
            <w:gridSpan w:val="2"/>
          </w:tcPr>
          <w:p>
            <w:pPr>
              <w:jc w:val="center"/>
              <w:ind w:right="2415"/>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r>
      <w:tr>
        <w:trPr>
          <w:trHeight w:val="255"/>
        </w:trPr>
        <w:tc>
          <w:tcPr>
            <w:tcW w:w="2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500" w:type="dxa"/>
            <w:vAlign w:val="bottom"/>
            <w:tcBorders>
              <w:bottom w:val="single" w:sz="8" w:color="auto"/>
            </w:tcBorders>
          </w:tcPr>
          <w:p>
            <w:pPr>
              <w:spacing w:after="0"/>
              <w:rPr>
                <w:sz w:val="22"/>
                <w:szCs w:val="22"/>
                <w:color w:val="auto"/>
              </w:rPr>
            </w:pPr>
          </w:p>
        </w:tc>
        <w:tc>
          <w:tcPr>
            <w:tcW w:w="2600" w:type="dxa"/>
            <w:vAlign w:val="bottom"/>
          </w:tcPr>
          <w:p>
            <w:pPr>
              <w:spacing w:after="0"/>
              <w:rPr>
                <w:sz w:val="22"/>
                <w:szCs w:val="22"/>
                <w:color w:val="auto"/>
              </w:rPr>
            </w:pPr>
          </w:p>
        </w:tc>
      </w:tr>
      <w:tr>
        <w:trPr>
          <w:trHeight w:val="322"/>
        </w:trPr>
        <w:tc>
          <w:tcPr>
            <w:tcW w:w="2540" w:type="dxa"/>
            <w:vAlign w:val="bottom"/>
          </w:tcPr>
          <w:p>
            <w:pPr>
              <w:jc w:val="center"/>
              <w:ind w:right="395"/>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6600" w:type="dxa"/>
            <w:vAlign w:val="bottom"/>
            <w:gridSpan w:val="3"/>
          </w:tcPr>
          <w:p>
            <w:pPr>
              <w:jc w:val="center"/>
              <w:ind w:left="5235"/>
              <w:spacing w:after="0"/>
              <w:rPr>
                <w:sz w:val="20"/>
                <w:szCs w:val="20"/>
                <w:color w:val="auto"/>
              </w:rPr>
            </w:pPr>
            <w:r>
              <w:rPr>
                <w:rFonts w:ascii="Times New Roman" w:cs="Times New Roman" w:eastAsia="Times New Roman" w:hAnsi="Times New Roman"/>
                <w:sz w:val="17"/>
                <w:szCs w:val="17"/>
                <w:b w:val="1"/>
                <w:bCs w:val="1"/>
                <w:color w:val="auto"/>
              </w:rPr>
              <w:t>20-5455398</w:t>
            </w:r>
          </w:p>
        </w:tc>
      </w:tr>
      <w:tr>
        <w:trPr>
          <w:trHeight w:val="218"/>
        </w:trPr>
        <w:tc>
          <w:tcPr>
            <w:tcW w:w="2540" w:type="dxa"/>
            <w:vAlign w:val="bottom"/>
          </w:tcPr>
          <w:p>
            <w:pPr>
              <w:jc w:val="center"/>
              <w:ind w:right="395"/>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0" w:type="dxa"/>
            <w:vAlign w:val="bottom"/>
          </w:tcPr>
          <w:p>
            <w:pPr>
              <w:jc w:val="center"/>
              <w:ind w:left="1235"/>
              <w:spacing w:after="0"/>
              <w:rPr>
                <w:sz w:val="20"/>
                <w:szCs w:val="20"/>
                <w:color w:val="auto"/>
              </w:rPr>
            </w:pPr>
            <w:r>
              <w:rPr>
                <w:rFonts w:ascii="Times New Roman" w:cs="Times New Roman" w:eastAsia="Times New Roman" w:hAnsi="Times New Roman"/>
                <w:sz w:val="17"/>
                <w:szCs w:val="17"/>
                <w:color w:val="auto"/>
                <w:w w:val="99"/>
              </w:rPr>
              <w:t>(I.R.S. Employer</w:t>
            </w:r>
          </w:p>
        </w:tc>
      </w:tr>
      <w:tr>
        <w:trPr>
          <w:trHeight w:val="222"/>
        </w:trPr>
        <w:tc>
          <w:tcPr>
            <w:tcW w:w="2540" w:type="dxa"/>
            <w:vAlign w:val="bottom"/>
          </w:tcPr>
          <w:p>
            <w:pPr>
              <w:jc w:val="center"/>
              <w:ind w:right="395"/>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0" w:type="dxa"/>
            <w:vAlign w:val="bottom"/>
          </w:tcPr>
          <w:p>
            <w:pPr>
              <w:jc w:val="center"/>
              <w:ind w:left="1235"/>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65"/>
        </w:trPr>
        <w:tc>
          <w:tcPr>
            <w:tcW w:w="2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00" w:type="dxa"/>
            <w:vAlign w:val="bottom"/>
            <w:gridSpan w:val="2"/>
          </w:tcPr>
          <w:p>
            <w:pPr>
              <w:jc w:val="center"/>
              <w:ind w:right="2415"/>
              <w:spacing w:after="0"/>
              <w:rPr>
                <w:sz w:val="20"/>
                <w:szCs w:val="20"/>
                <w:color w:val="auto"/>
              </w:rPr>
            </w:pPr>
            <w:r>
              <w:rPr>
                <w:rFonts w:ascii="Times New Roman" w:cs="Times New Roman" w:eastAsia="Times New Roman" w:hAnsi="Times New Roman"/>
                <w:sz w:val="17"/>
                <w:szCs w:val="17"/>
                <w:b w:val="1"/>
                <w:bCs w:val="1"/>
                <w:color w:val="auto"/>
              </w:rPr>
              <w:t>6000 Shoreline Court, Suite 300</w:t>
            </w:r>
          </w:p>
        </w:tc>
      </w:tr>
      <w:tr>
        <w:trPr>
          <w:trHeight w:val="209"/>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00" w:type="dxa"/>
            <w:vAlign w:val="bottom"/>
            <w:gridSpan w:val="2"/>
          </w:tcPr>
          <w:p>
            <w:pPr>
              <w:jc w:val="center"/>
              <w:ind w:right="2415"/>
              <w:spacing w:after="0"/>
              <w:rPr>
                <w:sz w:val="20"/>
                <w:szCs w:val="20"/>
                <w:color w:val="auto"/>
              </w:rPr>
            </w:pPr>
            <w:r>
              <w:rPr>
                <w:rFonts w:ascii="Times New Roman" w:cs="Times New Roman" w:eastAsia="Times New Roman" w:hAnsi="Times New Roman"/>
                <w:sz w:val="17"/>
                <w:szCs w:val="17"/>
                <w:b w:val="1"/>
                <w:bCs w:val="1"/>
                <w:color w:val="auto"/>
              </w:rPr>
              <w:t>South San Francisco, California 94080</w:t>
            </w:r>
          </w:p>
        </w:tc>
      </w:tr>
      <w:tr>
        <w:trPr>
          <w:trHeight w:val="222"/>
        </w:trPr>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00" w:type="dxa"/>
            <w:vAlign w:val="bottom"/>
            <w:gridSpan w:val="2"/>
          </w:tcPr>
          <w:p>
            <w:pPr>
              <w:jc w:val="center"/>
              <w:ind w:right="2415"/>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tc>
      </w:tr>
      <w:tr>
        <w:trPr>
          <w:trHeight w:val="393"/>
        </w:trPr>
        <w:tc>
          <w:tcPr>
            <w:tcW w:w="2540" w:type="dxa"/>
            <w:vAlign w:val="bottom"/>
          </w:tcPr>
          <w:p>
            <w:pPr>
              <w:spacing w:after="0"/>
              <w:rPr>
                <w:sz w:val="24"/>
                <w:szCs w:val="24"/>
                <w:color w:val="auto"/>
              </w:rPr>
            </w:pPr>
          </w:p>
        </w:tc>
        <w:tc>
          <w:tcPr>
            <w:tcW w:w="4000" w:type="dxa"/>
            <w:vAlign w:val="bottom"/>
            <w:gridSpan w:val="2"/>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rPr>
              <w:t>(650) 243-6300</w:t>
            </w:r>
          </w:p>
        </w:tc>
        <w:tc>
          <w:tcPr>
            <w:tcW w:w="2600" w:type="dxa"/>
            <w:vAlign w:val="bottom"/>
          </w:tcPr>
          <w:p>
            <w:pPr>
              <w:spacing w:after="0"/>
              <w:rPr>
                <w:sz w:val="24"/>
                <w:szCs w:val="24"/>
                <w:color w:val="auto"/>
              </w:rPr>
            </w:pPr>
          </w:p>
        </w:tc>
      </w:tr>
      <w:tr>
        <w:trPr>
          <w:trHeight w:val="222"/>
        </w:trPr>
        <w:tc>
          <w:tcPr>
            <w:tcW w:w="2540" w:type="dxa"/>
            <w:vAlign w:val="bottom"/>
          </w:tcPr>
          <w:p>
            <w:pPr>
              <w:spacing w:after="0"/>
              <w:rPr>
                <w:sz w:val="19"/>
                <w:szCs w:val="19"/>
                <w:color w:val="auto"/>
              </w:rPr>
            </w:pPr>
          </w:p>
        </w:tc>
        <w:tc>
          <w:tcPr>
            <w:tcW w:w="6600" w:type="dxa"/>
            <w:vAlign w:val="bottom"/>
            <w:gridSpan w:val="3"/>
          </w:tcPr>
          <w:p>
            <w:pPr>
              <w:jc w:val="center"/>
              <w:ind w:right="1915"/>
              <w:spacing w:after="0"/>
              <w:rPr>
                <w:sz w:val="20"/>
                <w:szCs w:val="20"/>
                <w:color w:val="auto"/>
              </w:rPr>
            </w:pPr>
            <w:r>
              <w:rPr>
                <w:rFonts w:ascii="Times New Roman" w:cs="Times New Roman" w:eastAsia="Times New Roman" w:hAnsi="Times New Roman"/>
                <w:sz w:val="17"/>
                <w:szCs w:val="17"/>
                <w:color w:val="auto"/>
                <w:w w:val="9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170180</wp:posOffset>
            </wp:positionV>
            <wp:extent cx="2219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4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500" w:type="dxa"/>
            <w:vAlign w:val="bottom"/>
          </w:tcPr>
          <w:p>
            <w:pPr>
              <w:spacing w:after="0"/>
              <w:rPr>
                <w:sz w:val="19"/>
                <w:szCs w:val="19"/>
                <w:color w:val="auto"/>
              </w:rPr>
            </w:pPr>
          </w:p>
        </w:tc>
      </w:tr>
      <w:tr>
        <w:trPr>
          <w:trHeight w:val="524"/>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100" w:type="dxa"/>
            <w:vAlign w:val="bottom"/>
          </w:tcPr>
          <w:p>
            <w:pPr>
              <w:spacing w:after="0"/>
              <w:rPr>
                <w:sz w:val="24"/>
                <w:szCs w:val="24"/>
                <w:color w:val="auto"/>
              </w:rPr>
            </w:pPr>
          </w:p>
        </w:tc>
        <w:tc>
          <w:tcPr>
            <w:tcW w:w="398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350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Name of each exchange on which registered</w:t>
            </w:r>
          </w:p>
        </w:tc>
      </w:tr>
      <w:tr>
        <w:trPr>
          <w:trHeight w:val="215"/>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100" w:type="dxa"/>
            <w:vAlign w:val="bottom"/>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VCYT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274" w:lineRule="exact"/>
        <w:rPr>
          <w:sz w:val="24"/>
          <w:szCs w:val="24"/>
          <w:color w:val="auto"/>
        </w:rPr>
      </w:pPr>
    </w:p>
    <w:p>
      <w:pPr>
        <w:ind w:right="100" w:firstLine="423"/>
        <w:spacing w:after="0" w:line="21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1" w:lineRule="exact"/>
        <w:rPr>
          <w:sz w:val="24"/>
          <w:szCs w:val="24"/>
          <w:color w:val="auto"/>
        </w:rPr>
      </w:pPr>
    </w:p>
    <w:p>
      <w:pPr>
        <w:ind w:right="500" w:firstLine="423"/>
        <w:spacing w:after="0" w:line="21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635000</wp:posOffset>
            </wp:positionV>
            <wp:extent cx="716470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right="220" w:firstLine="423"/>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0"/>
          <w:szCs w:val="20"/>
          <w:color w:val="auto"/>
        </w:rPr>
      </w:pPr>
    </w:p>
    <w:tbl>
      <w:tblPr>
        <w:tblLayout w:type="fixed"/>
        <w:tblInd w:w="1200" w:type="dxa"/>
        <w:tblCellMar>
          <w:top w:w="0" w:type="dxa"/>
          <w:left w:w="0" w:type="dxa"/>
          <w:bottom w:w="0" w:type="dxa"/>
          <w:right w:w="0" w:type="dxa"/>
        </w:tblCellMar>
      </w:tblPr>
      <w:tr>
        <w:trPr>
          <w:trHeight w:val="218"/>
        </w:trPr>
        <w:tc>
          <w:tcPr>
            <w:tcW w:w="2200" w:type="dxa"/>
            <w:vAlign w:val="bottom"/>
          </w:tcPr>
          <w:p>
            <w:pPr>
              <w:jc w:val="center"/>
              <w:ind w:right="595"/>
              <w:spacing w:after="0"/>
              <w:rPr>
                <w:sz w:val="20"/>
                <w:szCs w:val="20"/>
                <w:color w:val="auto"/>
              </w:rPr>
            </w:pPr>
            <w:r>
              <w:rPr>
                <w:rFonts w:ascii="Times New Roman" w:cs="Times New Roman" w:eastAsia="Times New Roman" w:hAnsi="Times New Roman"/>
                <w:sz w:val="17"/>
                <w:szCs w:val="17"/>
                <w:color w:val="auto"/>
                <w:w w:val="99"/>
              </w:rPr>
              <w:t>Large accelerated filer</w:t>
            </w:r>
          </w:p>
        </w:tc>
        <w:tc>
          <w:tcPr>
            <w:tcW w:w="2680" w:type="dxa"/>
            <w:vAlign w:val="bottom"/>
          </w:tcPr>
          <w:p>
            <w:pPr>
              <w:jc w:val="center"/>
              <w:ind w:right="1135"/>
              <w:spacing w:after="0"/>
              <w:rPr>
                <w:sz w:val="20"/>
                <w:szCs w:val="20"/>
                <w:color w:val="auto"/>
              </w:rPr>
            </w:pPr>
            <w:r>
              <w:rPr>
                <w:rFonts w:ascii="Arial" w:cs="Arial" w:eastAsia="Arial" w:hAnsi="Arial"/>
                <w:sz w:val="17"/>
                <w:szCs w:val="17"/>
                <w:color w:val="auto"/>
              </w:rPr>
              <w:t>x</w:t>
            </w:r>
          </w:p>
        </w:tc>
        <w:tc>
          <w:tcPr>
            <w:tcW w:w="4300" w:type="dxa"/>
            <w:vAlign w:val="bottom"/>
          </w:tcPr>
          <w:p>
            <w:pPr>
              <w:jc w:val="center"/>
              <w:ind w:left="1235"/>
              <w:spacing w:after="0"/>
              <w:rPr>
                <w:sz w:val="20"/>
                <w:szCs w:val="20"/>
                <w:color w:val="auto"/>
              </w:rPr>
            </w:pPr>
            <w:r>
              <w:rPr>
                <w:rFonts w:ascii="Times New Roman" w:cs="Times New Roman" w:eastAsia="Times New Roman" w:hAnsi="Times New Roman"/>
                <w:sz w:val="17"/>
                <w:szCs w:val="17"/>
                <w:color w:val="auto"/>
              </w:rPr>
              <w:t>Accelerated filer</w:t>
            </w:r>
          </w:p>
        </w:tc>
        <w:tc>
          <w:tcPr>
            <w:tcW w:w="7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18"/>
        </w:trPr>
        <w:tc>
          <w:tcPr>
            <w:tcW w:w="2200" w:type="dxa"/>
            <w:vAlign w:val="bottom"/>
          </w:tcPr>
          <w:p>
            <w:pPr>
              <w:jc w:val="center"/>
              <w:ind w:right="555"/>
              <w:spacing w:after="0"/>
              <w:rPr>
                <w:sz w:val="20"/>
                <w:szCs w:val="20"/>
                <w:color w:val="auto"/>
              </w:rPr>
            </w:pPr>
            <w:r>
              <w:rPr>
                <w:rFonts w:ascii="Times New Roman" w:cs="Times New Roman" w:eastAsia="Times New Roman" w:hAnsi="Times New Roman"/>
                <w:sz w:val="17"/>
                <w:szCs w:val="17"/>
                <w:color w:val="auto"/>
                <w:w w:val="99"/>
              </w:rPr>
              <w:t>Non-accelerated filer</w:t>
            </w:r>
          </w:p>
        </w:tc>
        <w:tc>
          <w:tcPr>
            <w:tcW w:w="2680" w:type="dxa"/>
            <w:vAlign w:val="bottom"/>
          </w:tcPr>
          <w:p>
            <w:pPr>
              <w:jc w:val="center"/>
              <w:ind w:right="1135"/>
              <w:spacing w:after="0" w:line="171" w:lineRule="exact"/>
              <w:rPr>
                <w:sz w:val="20"/>
                <w:szCs w:val="20"/>
                <w:color w:val="auto"/>
              </w:rPr>
            </w:pPr>
            <w:r>
              <w:rPr>
                <w:rFonts w:ascii="MS PGothic" w:cs="MS PGothic" w:eastAsia="MS PGothic" w:hAnsi="MS PGothic"/>
                <w:sz w:val="17"/>
                <w:szCs w:val="17"/>
                <w:color w:val="auto"/>
                <w:w w:val="82"/>
              </w:rPr>
              <w:t>☐</w:t>
            </w:r>
          </w:p>
        </w:tc>
        <w:tc>
          <w:tcPr>
            <w:tcW w:w="4300" w:type="dxa"/>
            <w:vAlign w:val="bottom"/>
          </w:tcPr>
          <w:p>
            <w:pPr>
              <w:jc w:val="center"/>
              <w:ind w:left="1195"/>
              <w:spacing w:after="0"/>
              <w:rPr>
                <w:sz w:val="20"/>
                <w:szCs w:val="20"/>
                <w:color w:val="auto"/>
              </w:rPr>
            </w:pPr>
            <w:r>
              <w:rPr>
                <w:rFonts w:ascii="Times New Roman" w:cs="Times New Roman" w:eastAsia="Times New Roman" w:hAnsi="Times New Roman"/>
                <w:sz w:val="17"/>
                <w:szCs w:val="17"/>
                <w:color w:val="auto"/>
                <w:w w:val="99"/>
              </w:rPr>
              <w:t>Smaller reporting company</w:t>
            </w:r>
          </w:p>
        </w:tc>
        <w:tc>
          <w:tcPr>
            <w:tcW w:w="7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8"/>
        </w:trPr>
        <w:tc>
          <w:tcPr>
            <w:tcW w:w="22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4300" w:type="dxa"/>
            <w:vAlign w:val="bottom"/>
          </w:tcPr>
          <w:p>
            <w:pPr>
              <w:jc w:val="center"/>
              <w:ind w:left="1195"/>
              <w:spacing w:after="0"/>
              <w:rPr>
                <w:sz w:val="20"/>
                <w:szCs w:val="20"/>
                <w:color w:val="auto"/>
              </w:rPr>
            </w:pPr>
            <w:r>
              <w:rPr>
                <w:rFonts w:ascii="Times New Roman" w:cs="Times New Roman" w:eastAsia="Times New Roman" w:hAnsi="Times New Roman"/>
                <w:sz w:val="17"/>
                <w:szCs w:val="17"/>
                <w:color w:val="auto"/>
                <w:w w:val="99"/>
              </w:rPr>
              <w:t>Emerging growth company</w:t>
            </w:r>
          </w:p>
        </w:tc>
        <w:tc>
          <w:tcPr>
            <w:tcW w:w="7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47" w:lineRule="exact"/>
        <w:rPr>
          <w:sz w:val="20"/>
          <w:szCs w:val="20"/>
          <w:color w:val="auto"/>
        </w:rPr>
      </w:pPr>
    </w:p>
    <w:p>
      <w:pPr>
        <w:ind w:right="80" w:firstLine="346"/>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2" w:lineRule="exact"/>
        <w:rPr>
          <w:sz w:val="20"/>
          <w:szCs w:val="20"/>
          <w:color w:val="auto"/>
        </w:rPr>
      </w:pPr>
    </w:p>
    <w:p>
      <w:pPr>
        <w:ind w:left="340" w:right="2540"/>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x</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October 28, 2022, there were 71,752,896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824865</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3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313"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60" w:type="dxa"/>
            <w:vAlign w:val="bottom"/>
            <w:gridSpan w:val="4"/>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No.</w:t>
            </w:r>
          </w:p>
        </w:tc>
        <w:tc>
          <w:tcPr>
            <w:tcW w:w="0" w:type="dxa"/>
            <w:vAlign w:val="bottom"/>
          </w:tcPr>
          <w:p>
            <w:pPr>
              <w:spacing w:after="0"/>
              <w:rPr>
                <w:sz w:val="1"/>
                <w:szCs w:val="1"/>
                <w:color w:val="auto"/>
              </w:rPr>
            </w:pPr>
          </w:p>
        </w:tc>
      </w:tr>
      <w:tr>
        <w:trPr>
          <w:trHeight w:val="202"/>
        </w:trPr>
        <w:tc>
          <w:tcPr>
            <w:tcW w:w="7280" w:type="dxa"/>
            <w:vAlign w:val="bottom"/>
            <w:gridSpan w:val="26"/>
          </w:tcPr>
          <w:p>
            <w:pPr>
              <w:spacing w:after="0"/>
              <w:rPr>
                <w:sz w:val="20"/>
                <w:szCs w:val="20"/>
                <w:color w:val="auto"/>
              </w:rPr>
            </w:pPr>
            <w:r>
              <w:rPr>
                <w:rFonts w:ascii="Times New Roman" w:cs="Times New Roman" w:eastAsia="Times New Roman" w:hAnsi="Times New Roman"/>
                <w:sz w:val="17"/>
                <w:szCs w:val="17"/>
                <w:b w:val="1"/>
                <w:bCs w:val="1"/>
                <w:color w:val="0000FF"/>
              </w:rPr>
              <w:t>PART I. — FINANCIAL INFORMATION</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p>
        </w:tc>
        <w:tc>
          <w:tcPr>
            <w:tcW w:w="71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1. Condensed Consolidated Financial Statements (Unaudited)</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September 30, 2022 and</w:t>
            </w:r>
          </w:p>
        </w:tc>
        <w:tc>
          <w:tcPr>
            <w:tcW w:w="14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Borders>
              <w:top w:val="single" w:sz="8" w:color="0000FF"/>
              <w:bottom w:val="single" w:sz="8" w:color="0000FF"/>
            </w:tcBorders>
            <w:gridSpan w:val="5"/>
          </w:tcPr>
          <w:p>
            <w:pPr>
              <w:spacing w:after="0" w:line="133" w:lineRule="exact"/>
              <w:rPr>
                <w:sz w:val="20"/>
                <w:szCs w:val="20"/>
                <w:color w:val="auto"/>
              </w:rPr>
            </w:pPr>
            <w:r>
              <w:rPr>
                <w:rFonts w:ascii="Times New Roman" w:cs="Times New Roman" w:eastAsia="Times New Roman" w:hAnsi="Times New Roman"/>
                <w:sz w:val="15"/>
                <w:szCs w:val="15"/>
                <w:color w:val="0000FF"/>
              </w:rPr>
              <w:t>December 31, 2021</w:t>
            </w:r>
          </w:p>
        </w:tc>
        <w:tc>
          <w:tcPr>
            <w:tcW w:w="3500" w:type="dxa"/>
            <w:vAlign w:val="bottom"/>
            <w:tcBorders>
              <w:top w:val="single" w:sz="8" w:color="0000FF"/>
            </w:tcBorders>
            <w:gridSpan w:val="13"/>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4"/>
            <w:vMerge w:val="restart"/>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for the Three and Nine Month</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gridSpan w:val="24"/>
            <w:vMerge w:val="continue"/>
          </w:tcPr>
          <w:p>
            <w:pPr>
              <w:spacing w:after="0"/>
              <w:rPr>
                <w:sz w:val="17"/>
                <w:szCs w:val="17"/>
                <w:color w:val="auto"/>
              </w:rPr>
            </w:pPr>
          </w:p>
        </w:tc>
        <w:tc>
          <w:tcPr>
            <w:tcW w:w="14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2</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12"/>
          </w:tcPr>
          <w:p>
            <w:pPr>
              <w:spacing w:after="0" w:line="133" w:lineRule="exact"/>
              <w:rPr>
                <w:sz w:val="20"/>
                <w:szCs w:val="20"/>
                <w:color w:val="auto"/>
              </w:rPr>
            </w:pPr>
            <w:r>
              <w:rPr>
                <w:rFonts w:ascii="Times New Roman" w:cs="Times New Roman" w:eastAsia="Times New Roman" w:hAnsi="Times New Roman"/>
                <w:sz w:val="15"/>
                <w:szCs w:val="15"/>
                <w:color w:val="0000FF"/>
              </w:rPr>
              <w:t>Periods Ended September 30, 2022 and 2021</w:t>
            </w:r>
          </w:p>
        </w:tc>
        <w:tc>
          <w:tcPr>
            <w:tcW w:w="2480" w:type="dxa"/>
            <w:vAlign w:val="bottom"/>
            <w:tcBorders>
              <w:top w:val="single" w:sz="8" w:color="0000FF"/>
            </w:tcBorders>
            <w:gridSpan w:val="8"/>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4"/>
            <w:vMerge w:val="restart"/>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 for the Three and Nine</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gridSpan w:val="24"/>
            <w:vMerge w:val="continue"/>
          </w:tcPr>
          <w:p>
            <w:pPr>
              <w:spacing w:after="0"/>
              <w:rPr>
                <w:sz w:val="17"/>
                <w:szCs w:val="17"/>
                <w:color w:val="auto"/>
              </w:rPr>
            </w:pPr>
          </w:p>
        </w:tc>
        <w:tc>
          <w:tcPr>
            <w:tcW w:w="14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760" w:type="dxa"/>
            <w:vAlign w:val="bottom"/>
            <w:tcBorders>
              <w:top w:val="single" w:sz="8" w:color="0000FF"/>
            </w:tcBorders>
            <w:gridSpan w:val="23"/>
          </w:tcPr>
          <w:p>
            <w:pPr>
              <w:spacing w:after="0" w:line="133" w:lineRule="exact"/>
              <w:rPr>
                <w:sz w:val="20"/>
                <w:szCs w:val="20"/>
                <w:color w:val="auto"/>
              </w:rPr>
            </w:pPr>
            <w:r>
              <w:rPr>
                <w:rFonts w:ascii="Times New Roman" w:cs="Times New Roman" w:eastAsia="Times New Roman" w:hAnsi="Times New Roman"/>
                <w:sz w:val="15"/>
                <w:szCs w:val="15"/>
                <w:color w:val="0000FF"/>
              </w:rPr>
              <w:t>Month Periods Ended September 30, 2022 and 2021</w:t>
            </w:r>
          </w:p>
        </w:tc>
        <w:tc>
          <w:tcPr>
            <w:tcW w:w="120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Nine</w:t>
            </w:r>
          </w:p>
        </w:tc>
        <w:tc>
          <w:tcPr>
            <w:tcW w:w="14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740" w:type="dxa"/>
            <w:vAlign w:val="bottom"/>
            <w:tcBorders>
              <w:top w:val="single" w:sz="8" w:color="0000FF"/>
            </w:tcBorders>
            <w:gridSpan w:val="22"/>
          </w:tcPr>
          <w:p>
            <w:pPr>
              <w:spacing w:after="0" w:line="133" w:lineRule="exact"/>
              <w:rPr>
                <w:sz w:val="20"/>
                <w:szCs w:val="20"/>
                <w:color w:val="auto"/>
              </w:rPr>
            </w:pPr>
            <w:r>
              <w:rPr>
                <w:rFonts w:ascii="Times New Roman" w:cs="Times New Roman" w:eastAsia="Times New Roman" w:hAnsi="Times New Roman"/>
                <w:sz w:val="15"/>
                <w:szCs w:val="15"/>
                <w:color w:val="0000FF"/>
              </w:rPr>
              <w:t>Month Periods Ended September 30, 2022 and 2021</w:t>
            </w:r>
          </w:p>
        </w:tc>
        <w:tc>
          <w:tcPr>
            <w:tcW w:w="1220" w:type="dxa"/>
            <w:vAlign w:val="bottom"/>
            <w:gridSpan w:val="2"/>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Nine Month Periods</w:t>
            </w:r>
          </w:p>
        </w:tc>
        <w:tc>
          <w:tcPr>
            <w:tcW w:w="14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tcBorders>
              <w:top w:val="single" w:sz="8" w:color="0000FF"/>
            </w:tcBorders>
            <w:gridSpan w:val="9"/>
          </w:tcPr>
          <w:p>
            <w:pPr>
              <w:spacing w:after="0" w:line="133" w:lineRule="exact"/>
              <w:rPr>
                <w:sz w:val="20"/>
                <w:szCs w:val="20"/>
                <w:color w:val="auto"/>
              </w:rPr>
            </w:pPr>
            <w:r>
              <w:rPr>
                <w:rFonts w:ascii="Times New Roman" w:cs="Times New Roman" w:eastAsia="Times New Roman" w:hAnsi="Times New Roman"/>
                <w:sz w:val="15"/>
                <w:szCs w:val="15"/>
                <w:color w:val="0000FF"/>
              </w:rPr>
              <w:t>Ended September 30, 2022 and 2021</w:t>
            </w:r>
          </w:p>
        </w:tc>
        <w:tc>
          <w:tcPr>
            <w:tcW w:w="2920" w:type="dxa"/>
            <w:vAlign w:val="bottom"/>
            <w:tcBorders>
              <w:top w:val="single" w:sz="8" w:color="0000FF"/>
            </w:tcBorders>
            <w:gridSpan w:val="10"/>
          </w:tcPr>
          <w:p>
            <w:pPr>
              <w:spacing w:after="0"/>
              <w:rPr>
                <w:sz w:val="12"/>
                <w:szCs w:val="12"/>
                <w:color w:val="auto"/>
              </w:rPr>
            </w:pPr>
          </w:p>
        </w:tc>
        <w:tc>
          <w:tcPr>
            <w:tcW w:w="220" w:type="dxa"/>
            <w:vAlign w:val="bottom"/>
            <w:gridSpan w:val="2"/>
          </w:tcPr>
          <w:p>
            <w:pPr>
              <w:spacing w:after="0"/>
              <w:rPr>
                <w:sz w:val="12"/>
                <w:szCs w:val="12"/>
                <w:color w:val="auto"/>
              </w:rPr>
            </w:pPr>
          </w:p>
        </w:tc>
        <w:tc>
          <w:tcPr>
            <w:tcW w:w="1300" w:type="dxa"/>
            <w:vAlign w:val="bottom"/>
            <w:gridSpan w:val="3"/>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60" w:type="dxa"/>
            <w:vAlign w:val="bottom"/>
            <w:gridSpan w:val="2"/>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130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1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w:t>
            </w:r>
          </w:p>
        </w:tc>
        <w:tc>
          <w:tcPr>
            <w:tcW w:w="1260" w:type="dxa"/>
            <w:vAlign w:val="bottom"/>
            <w:vMerge w:val="restart"/>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5"/>
                <w:szCs w:val="15"/>
                <w:color w:val="0000FF"/>
              </w:rPr>
              <w:t>Operations</w:t>
            </w:r>
          </w:p>
        </w:tc>
        <w:tc>
          <w:tcPr>
            <w:tcW w:w="180" w:type="dxa"/>
            <w:vAlign w:val="bottom"/>
            <w:tcBorders>
              <w:top w:val="single" w:sz="8" w:color="0000FF"/>
              <w:bottom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gridSpan w:val="2"/>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gridSpan w:val="6"/>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gridSpan w:val="4"/>
          </w:tcPr>
          <w:p>
            <w:pPr>
              <w:spacing w:after="0"/>
              <w:rPr>
                <w:sz w:val="13"/>
                <w:szCs w:val="13"/>
                <w:color w:val="auto"/>
              </w:rPr>
            </w:pPr>
          </w:p>
        </w:tc>
        <w:tc>
          <w:tcPr>
            <w:tcW w:w="1300" w:type="dxa"/>
            <w:vAlign w:val="bottom"/>
            <w:gridSpan w:val="3"/>
          </w:tcPr>
          <w:p>
            <w:pPr>
              <w:spacing w:after="0"/>
              <w:rPr>
                <w:sz w:val="13"/>
                <w:szCs w:val="13"/>
                <w:color w:val="auto"/>
              </w:rPr>
            </w:pPr>
          </w:p>
        </w:tc>
        <w:tc>
          <w:tcPr>
            <w:tcW w:w="1260" w:type="dxa"/>
            <w:vAlign w:val="bottom"/>
            <w:vMerge w:val="continue"/>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2480" w:type="dxa"/>
            <w:vAlign w:val="bottom"/>
            <w:gridSpan w:val="7"/>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2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4940" w:type="dxa"/>
            <w:vAlign w:val="bottom"/>
            <w:gridSpan w:val="16"/>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80" w:type="dxa"/>
            <w:vAlign w:val="bottom"/>
            <w:gridSpan w:val="26"/>
          </w:tcPr>
          <w:p>
            <w:pPr>
              <w:spacing w:after="0"/>
              <w:rPr>
                <w:sz w:val="20"/>
                <w:szCs w:val="20"/>
                <w:color w:val="auto"/>
              </w:rPr>
            </w:pPr>
            <w:r>
              <w:rPr>
                <w:rFonts w:ascii="Times New Roman" w:cs="Times New Roman" w:eastAsia="Times New Roman" w:hAnsi="Times New Roman"/>
                <w:sz w:val="17"/>
                <w:szCs w:val="17"/>
                <w:b w:val="1"/>
                <w:bCs w:val="1"/>
                <w:color w:val="0000FF"/>
              </w:rPr>
              <w:t>PART II. — OTHER INFORMATION</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Borders>
              <w:top w:val="single" w:sz="8" w:color="0000FF"/>
            </w:tcBorders>
          </w:tcPr>
          <w:p>
            <w:pPr>
              <w:spacing w:after="0"/>
              <w:rPr>
                <w:sz w:val="20"/>
                <w:szCs w:val="20"/>
                <w:color w:val="auto"/>
              </w:rPr>
            </w:pPr>
          </w:p>
        </w:tc>
        <w:tc>
          <w:tcPr>
            <w:tcW w:w="15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Item 1A. Risk Factors</w:t>
            </w:r>
          </w:p>
        </w:tc>
        <w:tc>
          <w:tcPr>
            <w:tcW w:w="1200" w:type="dxa"/>
            <w:vAlign w:val="bottom"/>
            <w:tcBorders>
              <w:top w:val="single" w:sz="8" w:color="0000FF"/>
            </w:tcBorders>
            <w:gridSpan w:val="5"/>
          </w:tcPr>
          <w:p>
            <w:pPr>
              <w:spacing w:after="0"/>
              <w:rPr>
                <w:sz w:val="20"/>
                <w:szCs w:val="20"/>
                <w:color w:val="auto"/>
              </w:rPr>
            </w:pPr>
          </w:p>
        </w:tc>
        <w:tc>
          <w:tcPr>
            <w:tcW w:w="4440" w:type="dxa"/>
            <w:vAlign w:val="bottom"/>
            <w:gridSpan w:val="15"/>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46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2500" w:type="dxa"/>
            <w:vAlign w:val="bottom"/>
            <w:gridSpan w:val="8"/>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2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w w:val="99"/>
              </w:rPr>
              <w:t>Item 3. Defaults Upon Senior Securities</w:t>
            </w:r>
          </w:p>
        </w:tc>
        <w:tc>
          <w:tcPr>
            <w:tcW w:w="4420" w:type="dxa"/>
            <w:vAlign w:val="bottom"/>
            <w:gridSpan w:val="14"/>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71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9"/>
              </w:rPr>
              <w:t>Item 5. Other Information</w:t>
            </w:r>
          </w:p>
        </w:tc>
        <w:tc>
          <w:tcPr>
            <w:tcW w:w="420" w:type="dxa"/>
            <w:vAlign w:val="bottom"/>
            <w:tcBorders>
              <w:top w:val="single" w:sz="8" w:color="0000FF"/>
            </w:tcBorders>
          </w:tcPr>
          <w:p>
            <w:pPr>
              <w:spacing w:after="0"/>
              <w:rPr>
                <w:sz w:val="20"/>
                <w:szCs w:val="20"/>
                <w:color w:val="auto"/>
              </w:rPr>
            </w:pPr>
          </w:p>
        </w:tc>
        <w:tc>
          <w:tcPr>
            <w:tcW w:w="4960" w:type="dxa"/>
            <w:vAlign w:val="bottom"/>
            <w:gridSpan w:val="17"/>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1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Item 6. Exhibits</w:t>
            </w:r>
          </w:p>
        </w:tc>
        <w:tc>
          <w:tcPr>
            <w:tcW w:w="6060" w:type="dxa"/>
            <w:vAlign w:val="bottom"/>
            <w:gridSpan w:val="21"/>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SIGNATURES</w:t>
            </w:r>
          </w:p>
        </w:tc>
        <w:tc>
          <w:tcPr>
            <w:tcW w:w="6220" w:type="dxa"/>
            <w:vAlign w:val="bottom"/>
            <w:gridSpan w:val="22"/>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44"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84"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171" w:lineRule="exact"/>
        <w:rPr>
          <w:sz w:val="20"/>
          <w:szCs w:val="20"/>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total revenue and total test volume;</w:t>
      </w:r>
    </w:p>
    <w:p>
      <w:pPr>
        <w:spacing w:after="0" w:line="99" w:lineRule="exact"/>
        <w:rPr>
          <w:rFonts w:ascii="Times New Roman" w:cs="Times New Roman" w:eastAsia="Times New Roman" w:hAnsi="Times New Roman"/>
          <w:sz w:val="17"/>
          <w:szCs w:val="17"/>
          <w:color w:val="auto"/>
        </w:rPr>
      </w:pPr>
    </w:p>
    <w:p>
      <w:pPr>
        <w:ind w:left="620" w:right="200" w:hanging="310"/>
        <w:spacing w:after="0" w:line="252" w:lineRule="auto"/>
        <w:tabs>
          <w:tab w:leader="none" w:pos="6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with respect to our future research and development, general and administrative and selling and marketing expenses and our anticipated uses of our funds;</w:t>
      </w:r>
    </w:p>
    <w:p>
      <w:pPr>
        <w:spacing w:after="0" w:line="63"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COVID-19 pandemic on our business and the U.S. and global economy;</w:t>
      </w:r>
    </w:p>
    <w:p>
      <w:pPr>
        <w:spacing w:after="0" w:line="99" w:lineRule="exact"/>
        <w:rPr>
          <w:rFonts w:ascii="Times New Roman" w:cs="Times New Roman" w:eastAsia="Times New Roman" w:hAnsi="Times New Roman"/>
          <w:sz w:val="17"/>
          <w:szCs w:val="17"/>
          <w:color w:val="auto"/>
        </w:rPr>
      </w:pPr>
    </w:p>
    <w:p>
      <w:pPr>
        <w:ind w:left="620" w:right="500" w:hanging="310"/>
        <w:spacing w:after="0" w:line="252" w:lineRule="auto"/>
        <w:tabs>
          <w:tab w:leader="none" w:pos="6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successfully integrate HalioDx, Decipher Biosciences, and the assets acquired from NanoString Technologies, Inc. into our business;</w:t>
      </w:r>
    </w:p>
    <w:p>
      <w:pPr>
        <w:spacing w:after="0" w:line="63"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deploy the nCounter Analysis System successfully and run our tests on this platform worldwide;</w:t>
      </w:r>
    </w:p>
    <w:p>
      <w:pPr>
        <w:spacing w:after="0" w:line="8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biopharma partnerships and agreements;</w:t>
      </w:r>
    </w:p>
    <w:p>
      <w:pPr>
        <w:spacing w:after="0" w:line="9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anticipated cash needs and our estimates regarding our capital requirements and profitability;</w:t>
      </w:r>
    </w:p>
    <w:p>
      <w:pPr>
        <w:spacing w:after="0" w:line="137" w:lineRule="exact"/>
        <w:rPr>
          <w:rFonts w:ascii="Times New Roman" w:cs="Times New Roman" w:eastAsia="Times New Roman" w:hAnsi="Times New Roman"/>
          <w:sz w:val="17"/>
          <w:szCs w:val="17"/>
          <w:color w:val="auto"/>
        </w:rPr>
      </w:pPr>
    </w:p>
    <w:p>
      <w:pPr>
        <w:ind w:left="620" w:right="100" w:hanging="310"/>
        <w:spacing w:after="0" w:line="226" w:lineRule="auto"/>
        <w:tabs>
          <w:tab w:leader="none" w:pos="615" w:val="left"/>
        </w:tabs>
        <w:numPr>
          <w:ilvl w:val="0"/>
          <w:numId w:val="3"/>
        </w:numPr>
        <w:rPr>
          <w:rFonts w:ascii="Arial" w:cs="Arial" w:eastAsia="Arial" w:hAnsi="Arial"/>
          <w:sz w:val="20"/>
          <w:szCs w:val="20"/>
          <w:color w:val="auto"/>
        </w:rPr>
      </w:pPr>
      <w:r>
        <w:rPr>
          <w:rFonts w:ascii="Times New Roman" w:cs="Times New Roman" w:eastAsia="Times New Roman" w:hAnsi="Times New Roman"/>
          <w:sz w:val="17"/>
          <w:szCs w:val="17"/>
          <w:color w:val="auto"/>
        </w:rPr>
        <w:t>the impact of the conflict in Ukraine, supply chain disruptions, inflation and foreign exchange fluctuations, and market volatility resulting from the above, on our business;</w:t>
      </w:r>
    </w:p>
    <w:p>
      <w:pPr>
        <w:spacing w:after="0" w:line="73" w:lineRule="exact"/>
        <w:rPr>
          <w:rFonts w:ascii="Arial" w:cs="Arial" w:eastAsia="Arial" w:hAnsi="Arial"/>
          <w:sz w:val="20"/>
          <w:szCs w:val="20"/>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Medicare and commercial payer coverage for each of our tests;</w:t>
      </w:r>
    </w:p>
    <w:p>
      <w:pPr>
        <w:spacing w:after="0" w:line="9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sales, marketing and distribution capabilities and strategy;</w:t>
      </w:r>
    </w:p>
    <w:p>
      <w:pPr>
        <w:spacing w:after="0" w:line="8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w:t>
      </w:r>
    </w:p>
    <w:p>
      <w:pPr>
        <w:spacing w:after="0" w:line="9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government laws and regulations; and</w:t>
      </w:r>
    </w:p>
    <w:p>
      <w:pPr>
        <w:spacing w:after="0" w:line="9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w:t>
      </w:r>
    </w:p>
    <w:p>
      <w:pPr>
        <w:spacing w:after="0" w:line="330"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 Condensed Consolidated Financial Statements-(Unaudited)</w:t>
      </w: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 thousands, except share and par value amounts)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00" w:type="dxa"/>
            <w:vAlign w:val="bottom"/>
          </w:tcPr>
          <w:p>
            <w:pPr>
              <w:spacing w:after="0"/>
              <w:rPr>
                <w:sz w:val="17"/>
                <w:szCs w:val="17"/>
                <w:color w:val="auto"/>
              </w:rPr>
            </w:pPr>
          </w:p>
        </w:tc>
        <w:tc>
          <w:tcPr>
            <w:tcW w:w="164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0" w:type="dxa"/>
            <w:vAlign w:val="bottom"/>
          </w:tcPr>
          <w:p>
            <w:pPr>
              <w:spacing w:after="0"/>
              <w:rPr>
                <w:sz w:val="1"/>
                <w:szCs w:val="1"/>
                <w:color w:val="auto"/>
              </w:rPr>
            </w:pPr>
          </w:p>
        </w:tc>
      </w:tr>
      <w:tr>
        <w:trPr>
          <w:trHeight w:val="199"/>
        </w:trPr>
        <w:tc>
          <w:tcPr>
            <w:tcW w:w="74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(See Note 1)</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173,197</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Short-term investments</w:t>
            </w:r>
          </w:p>
        </w:tc>
        <w:tc>
          <w:tcPr>
            <w:tcW w:w="18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3,964</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receivable</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41,461</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Supplies and inventory</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11,225</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14,538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13,255</w:t>
            </w:r>
          </w:p>
        </w:tc>
        <w:tc>
          <w:tcPr>
            <w:tcW w:w="0" w:type="dxa"/>
            <w:vAlign w:val="bottom"/>
          </w:tcPr>
          <w:p>
            <w:pPr>
              <w:spacing w:after="0"/>
              <w:rPr>
                <w:sz w:val="1"/>
                <w:szCs w:val="1"/>
                <w:color w:val="auto"/>
              </w:rPr>
            </w:pPr>
          </w:p>
        </w:tc>
      </w:tr>
      <w:tr>
        <w:trPr>
          <w:trHeight w:val="195"/>
        </w:trPr>
        <w:tc>
          <w:tcPr>
            <w:tcW w:w="7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current assets</w:t>
            </w:r>
          </w:p>
        </w:tc>
        <w:tc>
          <w:tcPr>
            <w:tcW w:w="1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238,516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243,102</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15,098</w:t>
            </w: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assets, operating leases</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16,043</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176,542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202,731</w:t>
            </w: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676,885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707,904</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2,143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2,198</w:t>
            </w:r>
          </w:p>
        </w:tc>
        <w:tc>
          <w:tcPr>
            <w:tcW w:w="0" w:type="dxa"/>
            <w:vAlign w:val="bottom"/>
          </w:tcPr>
          <w:p>
            <w:pPr>
              <w:spacing w:after="0"/>
              <w:rPr>
                <w:sz w:val="1"/>
                <w:szCs w:val="1"/>
                <w:color w:val="auto"/>
              </w:rPr>
            </w:pPr>
          </w:p>
        </w:tc>
      </w:tr>
      <w:tr>
        <w:trPr>
          <w:trHeight w:val="225"/>
        </w:trPr>
        <w:tc>
          <w:tcPr>
            <w:tcW w:w="7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1,125,957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1,187,825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4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11,114</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12,360</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liabilities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39,475</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1,127</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deferred revenue</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4,646</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portion of acquisition-related contingent consideration</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2,682</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3,630</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Current portion of other liabilities</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0" w:type="dxa"/>
            <w:vAlign w:val="bottom"/>
          </w:tcPr>
          <w:p>
            <w:pPr>
              <w:spacing w:after="0"/>
              <w:rPr>
                <w:sz w:val="1"/>
                <w:szCs w:val="1"/>
                <w:color w:val="auto"/>
              </w:rPr>
            </w:pPr>
          </w:p>
        </w:tc>
      </w:tr>
      <w:tr>
        <w:trPr>
          <w:trHeight w:val="200"/>
        </w:trPr>
        <w:tc>
          <w:tcPr>
            <w:tcW w:w="7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64,151</w:t>
            </w: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revenue, net of current portion</w:t>
            </w:r>
          </w:p>
        </w:tc>
        <w:tc>
          <w:tcPr>
            <w:tcW w:w="18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5,592</w:t>
            </w: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Acquisition-related contingent consideration, net of current portion</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5,722</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14,096</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1,407</w:t>
            </w:r>
          </w:p>
        </w:tc>
        <w:tc>
          <w:tcPr>
            <w:tcW w:w="0" w:type="dxa"/>
            <w:vAlign w:val="bottom"/>
          </w:tcPr>
          <w:p>
            <w:pPr>
              <w:spacing w:after="0"/>
              <w:rPr>
                <w:sz w:val="1"/>
                <w:szCs w:val="1"/>
                <w:color w:val="auto"/>
              </w:rPr>
            </w:pPr>
          </w:p>
        </w:tc>
      </w:tr>
      <w:tr>
        <w:trPr>
          <w:trHeight w:val="200"/>
        </w:trPr>
        <w:tc>
          <w:tcPr>
            <w:tcW w:w="7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77,780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91,311</w:t>
            </w:r>
          </w:p>
        </w:tc>
        <w:tc>
          <w:tcPr>
            <w:tcW w:w="0" w:type="dxa"/>
            <w:vAlign w:val="bottom"/>
          </w:tcPr>
          <w:p>
            <w:pPr>
              <w:spacing w:after="0"/>
              <w:rPr>
                <w:sz w:val="1"/>
                <w:szCs w:val="1"/>
                <w:color w:val="auto"/>
              </w:rPr>
            </w:pPr>
          </w:p>
        </w:tc>
      </w:tr>
      <w:tr>
        <w:trPr>
          <w:trHeight w:val="18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7400" w:type="dxa"/>
            <w:vAlign w:val="bottom"/>
          </w:tcPr>
          <w:p>
            <w:pPr>
              <w:ind w:left="180"/>
              <w:spacing w:after="0" w:line="154" w:lineRule="exact"/>
              <w:rPr>
                <w:sz w:val="20"/>
                <w:szCs w:val="20"/>
                <w:color w:val="auto"/>
              </w:rPr>
            </w:pPr>
            <w:r>
              <w:rPr>
                <w:rFonts w:ascii="Times New Roman" w:cs="Times New Roman" w:eastAsia="Times New Roman" w:hAnsi="Times New Roman"/>
                <w:sz w:val="15"/>
                <w:szCs w:val="15"/>
                <w:color w:val="auto"/>
              </w:rPr>
              <w:t>Preferred stock, $0.001 par value; 5,000,000 shares authorized, no shares issued and outstanding as of September 30,</w:t>
            </w:r>
          </w:p>
        </w:tc>
        <w:tc>
          <w:tcPr>
            <w:tcW w:w="180" w:type="dxa"/>
            <w:vAlign w:val="bottom"/>
          </w:tcPr>
          <w:p>
            <w:pPr>
              <w:spacing w:after="0"/>
              <w:rPr>
                <w:sz w:val="13"/>
                <w:szCs w:val="13"/>
                <w:color w:val="auto"/>
              </w:rPr>
            </w:pPr>
          </w:p>
        </w:tc>
        <w:tc>
          <w:tcPr>
            <w:tcW w:w="1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7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2022 and December 31, 2021</w:t>
            </w:r>
          </w:p>
        </w:tc>
        <w:tc>
          <w:tcPr>
            <w:tcW w:w="18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80"/>
              <w:spacing w:after="0" w:line="157" w:lineRule="exact"/>
              <w:rPr>
                <w:sz w:val="20"/>
                <w:szCs w:val="20"/>
                <w:color w:val="auto"/>
              </w:rPr>
            </w:pPr>
            <w:r>
              <w:rPr>
                <w:rFonts w:ascii="Times New Roman" w:cs="Times New Roman" w:eastAsia="Times New Roman" w:hAnsi="Times New Roman"/>
                <w:sz w:val="15"/>
                <w:szCs w:val="15"/>
                <w:color w:val="auto"/>
              </w:rPr>
              <w:t>Common stock, $0.001 par value; 125,000,000 shares authorized, 71,741,517 and 71,123,108 shares issued and</w:t>
            </w:r>
          </w:p>
        </w:tc>
        <w:tc>
          <w:tcPr>
            <w:tcW w:w="18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204"/>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outstanding as of September 30, 2022 and December 31, 2021, respectively</w:t>
            </w:r>
          </w:p>
        </w:tc>
        <w:tc>
          <w:tcPr>
            <w:tcW w:w="18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1,492,044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1,468,683</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Accumulated deficit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(389,873)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(357,157)</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(54,066)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(15,083)</w:t>
            </w:r>
          </w:p>
        </w:tc>
        <w:tc>
          <w:tcPr>
            <w:tcW w:w="0" w:type="dxa"/>
            <w:vAlign w:val="bottom"/>
          </w:tcPr>
          <w:p>
            <w:pPr>
              <w:spacing w:after="0"/>
              <w:rPr>
                <w:sz w:val="1"/>
                <w:szCs w:val="1"/>
                <w:color w:val="auto"/>
              </w:rPr>
            </w:pPr>
          </w:p>
        </w:tc>
      </w:tr>
      <w:tr>
        <w:trPr>
          <w:trHeight w:val="19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1,048,177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1,096,514</w:t>
            </w:r>
          </w:p>
        </w:tc>
        <w:tc>
          <w:tcPr>
            <w:tcW w:w="0" w:type="dxa"/>
            <w:vAlign w:val="bottom"/>
          </w:tcPr>
          <w:p>
            <w:pPr>
              <w:spacing w:after="0"/>
              <w:rPr>
                <w:sz w:val="1"/>
                <w:szCs w:val="1"/>
                <w:color w:val="auto"/>
              </w:rPr>
            </w:pPr>
          </w:p>
        </w:tc>
      </w:tr>
      <w:tr>
        <w:trPr>
          <w:trHeight w:val="200"/>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1,125,957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1,187,825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80" w:type="dxa"/>
            <w:vAlign w:val="bottom"/>
            <w:gridSpan w:val="5"/>
          </w:tcPr>
          <w:p>
            <w:pPr>
              <w:ind w:left="2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20" w:type="dxa"/>
            <w:vAlign w:val="bottom"/>
          </w:tcPr>
          <w:p>
            <w:pPr>
              <w:spacing w:after="0"/>
              <w:rPr>
                <w:sz w:val="17"/>
                <w:szCs w:val="17"/>
                <w:color w:val="auto"/>
              </w:rPr>
            </w:pPr>
          </w:p>
        </w:tc>
        <w:tc>
          <w:tcPr>
            <w:tcW w:w="3060" w:type="dxa"/>
            <w:vAlign w:val="bottom"/>
            <w:gridSpan w:val="4"/>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99"/>
        </w:trPr>
        <w:tc>
          <w:tcPr>
            <w:tcW w:w="43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2"/>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Testing revenue</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64,577</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50,897</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180,275</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134,768</w:t>
            </w:r>
          </w:p>
        </w:tc>
      </w:tr>
      <w:tr>
        <w:trPr>
          <w:trHeight w:val="20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Product revenue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8,706</w:t>
            </w:r>
          </w:p>
        </w:tc>
      </w:tr>
      <w:tr>
        <w:trPr>
          <w:trHeight w:val="202"/>
        </w:trPr>
        <w:tc>
          <w:tcPr>
            <w:tcW w:w="4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Biopharmaceutical and other revenue</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7,701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6,514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26,563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8,704</w:t>
            </w:r>
          </w:p>
        </w:tc>
      </w:tr>
      <w:tr>
        <w:trPr>
          <w:trHeight w:val="200"/>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revenue</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75,592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60,370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216,239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152,178</w:t>
            </w:r>
          </w:p>
        </w:tc>
      </w:tr>
      <w:tr>
        <w:trPr>
          <w:trHeight w:val="182"/>
        </w:trPr>
        <w:tc>
          <w:tcPr>
            <w:tcW w:w="4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of testing revenue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42,494</w:t>
            </w:r>
          </w:p>
        </w:tc>
      </w:tr>
      <w:tr>
        <w:trPr>
          <w:trHeight w:val="202"/>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of product revenue</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4,304</w:t>
            </w:r>
          </w:p>
        </w:tc>
      </w:tr>
      <w:tr>
        <w:trPr>
          <w:trHeight w:val="20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of biopharmaceutical and other revenue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4,720</w:t>
            </w:r>
          </w:p>
        </w:tc>
      </w:tr>
      <w:tr>
        <w:trPr>
          <w:trHeight w:val="202"/>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19,591</w:t>
            </w:r>
          </w:p>
        </w:tc>
      </w:tr>
      <w:tr>
        <w:trPr>
          <w:trHeight w:val="20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Selling and marketing</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57,628</w:t>
            </w:r>
          </w:p>
        </w:tc>
      </w:tr>
      <w:tr>
        <w:trPr>
          <w:trHeight w:val="202"/>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82,504</w:t>
            </w:r>
          </w:p>
        </w:tc>
      </w:tr>
      <w:tr>
        <w:trPr>
          <w:trHeight w:val="20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Intangible asset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10,507</w:t>
            </w:r>
          </w:p>
        </w:tc>
      </w:tr>
      <w:tr>
        <w:trPr>
          <w:trHeight w:val="195"/>
        </w:trPr>
        <w:tc>
          <w:tcPr>
            <w:tcW w:w="4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85,272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77,051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251,900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221,748</w:t>
            </w:r>
          </w:p>
        </w:tc>
      </w:tr>
      <w:tr>
        <w:trPr>
          <w:trHeight w:val="20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(69,570)</w:t>
            </w:r>
          </w:p>
        </w:tc>
      </w:tr>
      <w:tr>
        <w:trPr>
          <w:trHeight w:val="202"/>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income (loss), net</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w:t>
            </w:r>
          </w:p>
        </w:tc>
      </w:tr>
      <w:tr>
        <w:trPr>
          <w:trHeight w:val="20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before income taxes</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(70,332)</w:t>
            </w:r>
          </w:p>
        </w:tc>
      </w:tr>
      <w:tr>
        <w:trPr>
          <w:trHeight w:val="202"/>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benefit</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(5,297)</w:t>
            </w:r>
          </w:p>
        </w:tc>
      </w:tr>
      <w:tr>
        <w:trPr>
          <w:trHeight w:val="22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(32,716)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(65,035)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4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per common share, basic and diluted</w:t>
            </w: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(0.46)</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(0.97)</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Shares used to compute net loss per common share, basic and diluted</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71,656,694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69,743,733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71,456,008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66,820,654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loss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Other comprehensive loss: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Change in currency translation adjustments</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31"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p>
      <w:pPr>
        <w:spacing w:after="0" w:line="9"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51" w:lineRule="exact"/>
        <w:rPr>
          <w:sz w:val="20"/>
          <w:szCs w:val="20"/>
          <w:color w:val="auto"/>
        </w:rPr>
      </w:pPr>
    </w:p>
    <w:tbl>
      <w:tblPr>
        <w:tblLayout w:type="fixed"/>
        <w:tblInd w:w="880" w:type="dxa"/>
        <w:tblCellMar>
          <w:top w:w="0" w:type="dxa"/>
          <w:left w:w="0" w:type="dxa"/>
          <w:bottom w:w="0" w:type="dxa"/>
          <w:right w:w="0" w:type="dxa"/>
        </w:tblCellMar>
      </w:tblPr>
      <w:tr>
        <w:trPr>
          <w:trHeight w:val="206"/>
        </w:trPr>
        <w:tc>
          <w:tcPr>
            <w:tcW w:w="300" w:type="dxa"/>
            <w:vAlign w:val="bottom"/>
          </w:tcPr>
          <w:p>
            <w:pPr>
              <w:spacing w:after="0"/>
              <w:rPr>
                <w:sz w:val="17"/>
                <w:szCs w:val="17"/>
                <w:color w:val="auto"/>
              </w:rPr>
            </w:pPr>
          </w:p>
        </w:tc>
        <w:tc>
          <w:tcPr>
            <w:tcW w:w="3180" w:type="dxa"/>
            <w:vAlign w:val="bottom"/>
            <w:gridSpan w:val="5"/>
          </w:tcPr>
          <w:p>
            <w:pPr>
              <w:ind w:left="2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20" w:type="dxa"/>
            <w:vAlign w:val="bottom"/>
          </w:tcPr>
          <w:p>
            <w:pPr>
              <w:spacing w:after="0"/>
              <w:rPr>
                <w:sz w:val="17"/>
                <w:szCs w:val="17"/>
                <w:color w:val="auto"/>
              </w:rPr>
            </w:pPr>
          </w:p>
        </w:tc>
        <w:tc>
          <w:tcPr>
            <w:tcW w:w="3060" w:type="dxa"/>
            <w:vAlign w:val="bottom"/>
            <w:gridSpan w:val="4"/>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99"/>
        </w:trPr>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3"/>
        </w:trPr>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(8,723)</w:t>
            </w:r>
          </w:p>
        </w:tc>
        <w:tc>
          <w:tcPr>
            <w:tcW w:w="10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(14,129)</w:t>
            </w:r>
          </w:p>
        </w:tc>
        <w:tc>
          <w:tcPr>
            <w:tcW w:w="100" w:type="dxa"/>
            <w:vAlign w:val="bottom"/>
          </w:tcPr>
          <w:p>
            <w:pPr>
              <w:spacing w:after="0"/>
              <w:rPr>
                <w:sz w:val="16"/>
                <w:szCs w:val="16"/>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(32,716)</w:t>
            </w:r>
          </w:p>
        </w:tc>
        <w:tc>
          <w:tcPr>
            <w:tcW w:w="10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(65,035)</w:t>
            </w:r>
          </w:p>
        </w:tc>
      </w:tr>
      <w:tr>
        <w:trPr>
          <w:trHeight w:val="410"/>
        </w:trPr>
        <w:tc>
          <w:tcPr>
            <w:tcW w:w="3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(8,140)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(38,983)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(8,140)</w:t>
            </w:r>
          </w:p>
        </w:tc>
      </w:tr>
      <w:tr>
        <w:trPr>
          <w:trHeight w:val="249"/>
        </w:trPr>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195"/>
        </w:trPr>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(24,739)</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(22,269)</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(71,699)</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(73,175)</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-723265</wp:posOffset>
            </wp:positionV>
            <wp:extent cx="7139305" cy="138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305" cy="138430"/>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-454660</wp:posOffset>
            </wp:positionV>
            <wp:extent cx="7139305" cy="130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130175"/>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-170180</wp:posOffset>
            </wp:positionV>
            <wp:extent cx="713930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30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620"/>
            <w:col w:w="7740"/>
          </w:cols>
          <w:pgMar w:left="320" w:top="123" w:right="339" w:bottom="1440" w:gutter="0" w:footer="0" w:header="0"/>
        </w:sectPr>
      </w:pPr>
    </w:p>
    <w:p>
      <w:pPr>
        <w:spacing w:after="0" w:line="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5"/>
                <w:szCs w:val="15"/>
                <w:color w:val="auto"/>
              </w:rPr>
            </w:pPr>
          </w:p>
        </w:tc>
        <w:tc>
          <w:tcPr>
            <w:tcW w:w="202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1"/>
        </w:trPr>
        <w:tc>
          <w:tcPr>
            <w:tcW w:w="3260" w:type="dxa"/>
            <w:vAlign w:val="bottom"/>
          </w:tcPr>
          <w:p>
            <w:pPr>
              <w:spacing w:after="0"/>
              <w:rPr>
                <w:sz w:val="12"/>
                <w:szCs w:val="12"/>
                <w:color w:val="auto"/>
              </w:rPr>
            </w:pPr>
          </w:p>
        </w:tc>
        <w:tc>
          <w:tcPr>
            <w:tcW w:w="202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2"/>
                <w:szCs w:val="12"/>
                <w:color w:val="auto"/>
              </w:rPr>
            </w:pPr>
          </w:p>
        </w:tc>
        <w:tc>
          <w:tcPr>
            <w:tcW w:w="118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54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5"/>
                <w:szCs w:val="15"/>
                <w:b w:val="1"/>
                <w:bCs w:val="1"/>
                <w:color w:val="auto"/>
              </w:rPr>
              <w:t>Accumulated Other</w:t>
            </w:r>
          </w:p>
        </w:tc>
        <w:tc>
          <w:tcPr>
            <w:tcW w:w="160" w:type="dxa"/>
            <w:vAlign w:val="bottom"/>
          </w:tcPr>
          <w:p>
            <w:pPr>
              <w:spacing w:after="0"/>
              <w:rPr>
                <w:sz w:val="12"/>
                <w:szCs w:val="12"/>
                <w:color w:val="auto"/>
              </w:rPr>
            </w:pPr>
          </w:p>
        </w:tc>
        <w:tc>
          <w:tcPr>
            <w:tcW w:w="1240" w:type="dxa"/>
            <w:vAlign w:val="bottom"/>
          </w:tcPr>
          <w:p>
            <w:pPr>
              <w:jc w:val="center"/>
              <w:ind w:right="103"/>
              <w:spacing w:after="0" w:line="133"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Comprehensive Loss</w:t>
            </w:r>
          </w:p>
        </w:tc>
        <w:tc>
          <w:tcPr>
            <w:tcW w:w="160" w:type="dxa"/>
            <w:vAlign w:val="bottom"/>
          </w:tcPr>
          <w:p>
            <w:pPr>
              <w:spacing w:after="0"/>
              <w:rPr>
                <w:sz w:val="17"/>
                <w:szCs w:val="17"/>
                <w:color w:val="auto"/>
              </w:rPr>
            </w:pPr>
          </w:p>
        </w:tc>
        <w:tc>
          <w:tcPr>
            <w:tcW w:w="124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9"/>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June 30,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71,559</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1,483,279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(381,150)</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1,064,151</w:t>
            </w:r>
          </w:p>
        </w:tc>
        <w:tc>
          <w:tcPr>
            <w:tcW w:w="0" w:type="dxa"/>
            <w:vAlign w:val="bottom"/>
          </w:tcPr>
          <w:p>
            <w:pPr>
              <w:spacing w:after="0"/>
              <w:rPr>
                <w:sz w:val="1"/>
                <w:szCs w:val="1"/>
                <w:color w:val="auto"/>
              </w:rPr>
            </w:pPr>
          </w:p>
        </w:tc>
      </w:tr>
      <w:tr>
        <w:trPr>
          <w:trHeight w:val="154"/>
        </w:trPr>
        <w:tc>
          <w:tcPr>
            <w:tcW w:w="326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623</w:t>
            </w:r>
          </w:p>
        </w:tc>
        <w:tc>
          <w:tcPr>
            <w:tcW w:w="0" w:type="dxa"/>
            <w:vAlign w:val="bottom"/>
          </w:tcPr>
          <w:p>
            <w:pPr>
              <w:spacing w:after="0"/>
              <w:rPr>
                <w:sz w:val="1"/>
                <w:szCs w:val="1"/>
                <w:color w:val="auto"/>
              </w:rPr>
            </w:pPr>
          </w:p>
        </w:tc>
      </w:tr>
      <w:tr>
        <w:trPr>
          <w:trHeight w:val="202"/>
        </w:trPr>
        <w:tc>
          <w:tcPr>
            <w:tcW w:w="32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options and vesting of restricted stock units</w:t>
            </w: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2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Issuance of common stock under employee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1,633</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purchase plan (ESPP)</w:t>
            </w: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Tax portion of vested restricted stock units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(employee)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6,815</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(ESPP)</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467</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(8,723)</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loss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(16,016)</w:t>
            </w:r>
          </w:p>
        </w:tc>
        <w:tc>
          <w:tcPr>
            <w:tcW w:w="0" w:type="dxa"/>
            <w:vAlign w:val="bottom"/>
          </w:tcPr>
          <w:p>
            <w:pPr>
              <w:spacing w:after="0"/>
              <w:rPr>
                <w:sz w:val="1"/>
                <w:szCs w:val="1"/>
                <w:color w:val="auto"/>
              </w:rPr>
            </w:pPr>
          </w:p>
        </w:tc>
      </w:tr>
      <w:tr>
        <w:trPr>
          <w:trHeight w:val="225"/>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September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1,492,044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(389,873)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1,048,177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71,123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1,468,683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(357,157)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1,096,514</w:t>
            </w:r>
          </w:p>
        </w:tc>
        <w:tc>
          <w:tcPr>
            <w:tcW w:w="0" w:type="dxa"/>
            <w:vAlign w:val="bottom"/>
          </w:tcPr>
          <w:p>
            <w:pPr>
              <w:spacing w:after="0"/>
              <w:rPr>
                <w:sz w:val="1"/>
                <w:szCs w:val="1"/>
                <w:color w:val="auto"/>
              </w:rPr>
            </w:pPr>
          </w:p>
        </w:tc>
      </w:tr>
      <w:tr>
        <w:trPr>
          <w:trHeight w:val="154"/>
        </w:trPr>
        <w:tc>
          <w:tcPr>
            <w:tcW w:w="326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upon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2,385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2,386</w:t>
            </w:r>
          </w:p>
        </w:tc>
        <w:tc>
          <w:tcPr>
            <w:tcW w:w="0" w:type="dxa"/>
            <w:vAlign w:val="bottom"/>
          </w:tcPr>
          <w:p>
            <w:pPr>
              <w:spacing w:after="0"/>
              <w:rPr>
                <w:sz w:val="1"/>
                <w:szCs w:val="1"/>
                <w:color w:val="auto"/>
              </w:rPr>
            </w:pPr>
          </w:p>
        </w:tc>
      </w:tr>
      <w:tr>
        <w:trPr>
          <w:trHeight w:val="202"/>
        </w:trPr>
        <w:tc>
          <w:tcPr>
            <w:tcW w:w="32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options and vesting of restricted stock units</w:t>
            </w: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under ESPP</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3,748</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Tax portion of vested restricted stock units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(2,639)</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(employee)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18,459</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(non-employee)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(ESPP)</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1,397</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(32,716)</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loss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(38,983)</w:t>
            </w:r>
          </w:p>
        </w:tc>
        <w:tc>
          <w:tcPr>
            <w:tcW w:w="0" w:type="dxa"/>
            <w:vAlign w:val="bottom"/>
          </w:tcPr>
          <w:p>
            <w:pPr>
              <w:spacing w:after="0"/>
              <w:rPr>
                <w:sz w:val="1"/>
                <w:szCs w:val="1"/>
                <w:color w:val="auto"/>
              </w:rPr>
            </w:pPr>
          </w:p>
        </w:tc>
      </w:tr>
      <w:tr>
        <w:trPr>
          <w:trHeight w:val="200"/>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September 30, 2022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71,742</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1,492,044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(389,873)</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(54,066)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1,048,177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3260" w:type="dxa"/>
            <w:vAlign w:val="bottom"/>
          </w:tcPr>
          <w:p>
            <w:pPr>
              <w:spacing w:after="0"/>
              <w:rPr>
                <w:sz w:val="15"/>
                <w:szCs w:val="15"/>
                <w:color w:val="auto"/>
              </w:rPr>
            </w:pPr>
          </w:p>
        </w:tc>
        <w:tc>
          <w:tcPr>
            <w:tcW w:w="202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1"/>
        </w:trPr>
        <w:tc>
          <w:tcPr>
            <w:tcW w:w="3260" w:type="dxa"/>
            <w:vAlign w:val="bottom"/>
          </w:tcPr>
          <w:p>
            <w:pPr>
              <w:spacing w:after="0"/>
              <w:rPr>
                <w:sz w:val="12"/>
                <w:szCs w:val="12"/>
                <w:color w:val="auto"/>
              </w:rPr>
            </w:pPr>
          </w:p>
        </w:tc>
        <w:tc>
          <w:tcPr>
            <w:tcW w:w="202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2"/>
                <w:szCs w:val="12"/>
                <w:color w:val="auto"/>
              </w:rPr>
            </w:pPr>
          </w:p>
        </w:tc>
        <w:tc>
          <w:tcPr>
            <w:tcW w:w="118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54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5"/>
                <w:szCs w:val="15"/>
                <w:b w:val="1"/>
                <w:bCs w:val="1"/>
                <w:color w:val="auto"/>
              </w:rPr>
              <w:t>Accumulated Other</w:t>
            </w:r>
          </w:p>
        </w:tc>
        <w:tc>
          <w:tcPr>
            <w:tcW w:w="160" w:type="dxa"/>
            <w:vAlign w:val="bottom"/>
          </w:tcPr>
          <w:p>
            <w:pPr>
              <w:spacing w:after="0"/>
              <w:rPr>
                <w:sz w:val="12"/>
                <w:szCs w:val="12"/>
                <w:color w:val="auto"/>
              </w:rPr>
            </w:pPr>
          </w:p>
        </w:tc>
        <w:tc>
          <w:tcPr>
            <w:tcW w:w="1240" w:type="dxa"/>
            <w:vAlign w:val="bottom"/>
          </w:tcPr>
          <w:p>
            <w:pPr>
              <w:jc w:val="center"/>
              <w:ind w:right="103"/>
              <w:spacing w:after="0" w:line="133"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Comprehensive 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June 30, 2021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67,472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1,303,610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(332,500)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971,177</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for acquisition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3,347</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147,086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147,089</w:t>
            </w:r>
          </w:p>
        </w:tc>
        <w:tc>
          <w:tcPr>
            <w:tcW w:w="0" w:type="dxa"/>
            <w:vAlign w:val="bottom"/>
          </w:tcPr>
          <w:p>
            <w:pPr>
              <w:spacing w:after="0"/>
              <w:rPr>
                <w:sz w:val="1"/>
                <w:szCs w:val="1"/>
                <w:color w:val="auto"/>
              </w:rPr>
            </w:pPr>
          </w:p>
        </w:tc>
      </w:tr>
      <w:tr>
        <w:trPr>
          <w:trHeight w:val="157"/>
        </w:trPr>
        <w:tc>
          <w:tcPr>
            <w:tcW w:w="32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Issuance of common stock on exercise of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2,843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2,844</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options and vesting of restricted stock units</w:t>
            </w: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under ESPP</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1,195</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portion of vested restricted stock units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(employee)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7,359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7,359</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(non-employee)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(ESPP)</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494</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(14,129)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(14,129)</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loss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(8,140)</w:t>
            </w:r>
          </w:p>
        </w:tc>
        <w:tc>
          <w:tcPr>
            <w:tcW w:w="0" w:type="dxa"/>
            <w:vAlign w:val="bottom"/>
          </w:tcPr>
          <w:p>
            <w:pPr>
              <w:spacing w:after="0"/>
              <w:rPr>
                <w:sz w:val="1"/>
                <w:szCs w:val="1"/>
                <w:color w:val="auto"/>
              </w:rPr>
            </w:pPr>
          </w:p>
        </w:tc>
      </w:tr>
      <w:tr>
        <w:trPr>
          <w:trHeight w:val="225"/>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September 30, 2021</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1,461,778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(346,629)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1,107,080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December 31, 2020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58,201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702,768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(281,594)</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421,232</w:t>
            </w:r>
          </w:p>
        </w:tc>
        <w:tc>
          <w:tcPr>
            <w:tcW w:w="0" w:type="dxa"/>
            <w:vAlign w:val="bottom"/>
          </w:tcPr>
          <w:p>
            <w:pPr>
              <w:spacing w:after="0"/>
              <w:rPr>
                <w:sz w:val="1"/>
                <w:szCs w:val="1"/>
                <w:color w:val="auto"/>
              </w:rPr>
            </w:pPr>
          </w:p>
        </w:tc>
      </w:tr>
      <w:tr>
        <w:trPr>
          <w:trHeight w:val="154"/>
        </w:trPr>
        <w:tc>
          <w:tcPr>
            <w:tcW w:w="326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Sale of common stock in a public offering, net of</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8,547</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593,812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593,821</w:t>
            </w:r>
          </w:p>
        </w:tc>
        <w:tc>
          <w:tcPr>
            <w:tcW w:w="0" w:type="dxa"/>
            <w:vAlign w:val="bottom"/>
          </w:tcPr>
          <w:p>
            <w:pPr>
              <w:spacing w:after="0"/>
              <w:rPr>
                <w:sz w:val="1"/>
                <w:szCs w:val="1"/>
                <w:color w:val="auto"/>
              </w:rPr>
            </w:pPr>
          </w:p>
        </w:tc>
      </w:tr>
      <w:tr>
        <w:trPr>
          <w:trHeight w:val="202"/>
        </w:trPr>
        <w:tc>
          <w:tcPr>
            <w:tcW w:w="32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offering costs of $38,677</w:t>
            </w: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for acquisition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3,347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147,086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147,089</w:t>
            </w:r>
          </w:p>
        </w:tc>
        <w:tc>
          <w:tcPr>
            <w:tcW w:w="0" w:type="dxa"/>
            <w:vAlign w:val="bottom"/>
          </w:tcPr>
          <w:p>
            <w:pPr>
              <w:spacing w:after="0"/>
              <w:rPr>
                <w:sz w:val="1"/>
                <w:szCs w:val="1"/>
                <w:color w:val="auto"/>
              </w:rPr>
            </w:pPr>
          </w:p>
        </w:tc>
      </w:tr>
      <w:tr>
        <w:trPr>
          <w:trHeight w:val="154"/>
        </w:trPr>
        <w:tc>
          <w:tcPr>
            <w:tcW w:w="326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upon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856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8,279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8,280</w:t>
            </w:r>
          </w:p>
        </w:tc>
        <w:tc>
          <w:tcPr>
            <w:tcW w:w="0" w:type="dxa"/>
            <w:vAlign w:val="bottom"/>
          </w:tcPr>
          <w:p>
            <w:pPr>
              <w:spacing w:after="0"/>
              <w:rPr>
                <w:sz w:val="1"/>
                <w:szCs w:val="1"/>
                <w:color w:val="auto"/>
              </w:rPr>
            </w:pPr>
          </w:p>
        </w:tc>
      </w:tr>
      <w:tr>
        <w:trPr>
          <w:trHeight w:val="202"/>
        </w:trPr>
        <w:tc>
          <w:tcPr>
            <w:tcW w:w="32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options and vesting of restricted stock units</w:t>
            </w: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under ESPP</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2,353</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Tax portion of vested restricted stock units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(8,307)</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(employee)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14,687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14,687</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(non-employee)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(ESPP)</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1,055</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(65,035)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(65,035)</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loss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(8,140)</w:t>
            </w:r>
          </w:p>
        </w:tc>
        <w:tc>
          <w:tcPr>
            <w:tcW w:w="0" w:type="dxa"/>
            <w:vAlign w:val="bottom"/>
          </w:tcPr>
          <w:p>
            <w:pPr>
              <w:spacing w:after="0"/>
              <w:rPr>
                <w:sz w:val="1"/>
                <w:szCs w:val="1"/>
                <w:color w:val="auto"/>
              </w:rPr>
            </w:pPr>
          </w:p>
        </w:tc>
      </w:tr>
      <w:tr>
        <w:trPr>
          <w:trHeight w:val="200"/>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September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71,032</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1,461,778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(346,629)</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(8,140)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1,107,080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79"/>
        </w:trPr>
        <w:tc>
          <w:tcPr>
            <w:tcW w:w="120" w:type="dxa"/>
            <w:vAlign w:val="bottom"/>
          </w:tcPr>
          <w:p>
            <w:pPr>
              <w:spacing w:after="0"/>
              <w:rPr>
                <w:sz w:val="15"/>
                <w:szCs w:val="15"/>
                <w:color w:val="auto"/>
              </w:rPr>
            </w:pPr>
          </w:p>
        </w:tc>
        <w:tc>
          <w:tcPr>
            <w:tcW w:w="73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120" w:type="dxa"/>
            <w:vAlign w:val="bottom"/>
          </w:tcPr>
          <w:p>
            <w:pPr>
              <w:spacing w:after="0"/>
              <w:rPr>
                <w:sz w:val="14"/>
                <w:szCs w:val="14"/>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2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r>
      <w:tr>
        <w:trPr>
          <w:trHeight w:val="184"/>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(32,716)</w:t>
            </w:r>
          </w:p>
        </w:tc>
        <w:tc>
          <w:tcPr>
            <w:tcW w:w="100" w:type="dxa"/>
            <w:vAlign w:val="bottom"/>
          </w:tcPr>
          <w:p>
            <w:pPr>
              <w:spacing w:after="0"/>
              <w:rPr>
                <w:sz w:val="15"/>
                <w:szCs w:val="15"/>
                <w:color w:val="auto"/>
              </w:rPr>
            </w:pP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(65,035)</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13,189</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15,787</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(5,297)</w:t>
            </w: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Interest on end-of-term debt obligation</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Noncash lease expense</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w:t>
            </w: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Revaluation of acquisition-related contingent consideration</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Effect of foreign currency on operations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(6,285)</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Supplies and inventory</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r>
      <w:tr>
        <w:trPr>
          <w:trHeight w:val="185"/>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Accrued liabilities and deferred revenue</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3,329</w:t>
            </w:r>
          </w:p>
        </w:tc>
      </w:tr>
      <w:tr>
        <w:trPr>
          <w:trHeight w:val="192"/>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(40,067)</w:t>
            </w:r>
          </w:p>
        </w:tc>
      </w:tr>
      <w:tr>
        <w:trPr>
          <w:trHeight w:val="166"/>
        </w:trPr>
        <w:tc>
          <w:tcPr>
            <w:tcW w:w="120" w:type="dxa"/>
            <w:vAlign w:val="bottom"/>
          </w:tcPr>
          <w:p>
            <w:pPr>
              <w:spacing w:after="0"/>
              <w:rPr>
                <w:sz w:val="14"/>
                <w:szCs w:val="14"/>
                <w:color w:val="auto"/>
              </w:rPr>
            </w:pPr>
          </w:p>
        </w:tc>
        <w:tc>
          <w:tcPr>
            <w:tcW w:w="73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8"/>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Decipher Biosciences, net of cash acquired</w:t>
            </w:r>
          </w:p>
        </w:tc>
        <w:tc>
          <w:tcPr>
            <w:tcW w:w="2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(574,411)</w:t>
            </w:r>
          </w:p>
        </w:tc>
      </w:tr>
      <w:tr>
        <w:trPr>
          <w:trHeight w:val="184"/>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HalioDx, net of cash acquired</w:t>
            </w:r>
          </w:p>
        </w:tc>
        <w:tc>
          <w:tcPr>
            <w:tcW w:w="220" w:type="dxa"/>
            <w:vAlign w:val="bottom"/>
          </w:tcPr>
          <w:p>
            <w:pPr>
              <w:spacing w:after="0"/>
              <w:rPr>
                <w:sz w:val="15"/>
                <w:szCs w:val="15"/>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(163,645)</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equity securities</w:t>
            </w:r>
          </w:p>
        </w:tc>
        <w:tc>
          <w:tcPr>
            <w:tcW w:w="2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85"/>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(4,535)</w:t>
            </w:r>
          </w:p>
        </w:tc>
      </w:tr>
      <w:tr>
        <w:trPr>
          <w:trHeight w:val="192"/>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(739,591)</w:t>
            </w:r>
          </w:p>
        </w:tc>
      </w:tr>
      <w:tr>
        <w:trPr>
          <w:trHeight w:val="166"/>
        </w:trPr>
        <w:tc>
          <w:tcPr>
            <w:tcW w:w="120" w:type="dxa"/>
            <w:vAlign w:val="bottom"/>
          </w:tcPr>
          <w:p>
            <w:pPr>
              <w:spacing w:after="0"/>
              <w:rPr>
                <w:sz w:val="14"/>
                <w:szCs w:val="14"/>
                <w:color w:val="auto"/>
              </w:rPr>
            </w:pPr>
          </w:p>
        </w:tc>
        <w:tc>
          <w:tcPr>
            <w:tcW w:w="73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8"/>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common stock in a public offering, net of issuance costs</w:t>
            </w:r>
          </w:p>
        </w:tc>
        <w:tc>
          <w:tcPr>
            <w:tcW w:w="2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593,821</w:t>
            </w:r>
          </w:p>
        </w:tc>
      </w:tr>
      <w:tr>
        <w:trPr>
          <w:trHeight w:val="184"/>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long-term debt</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taxes on vested restricted stock units</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(8,307)</w:t>
            </w:r>
          </w:p>
        </w:tc>
      </w:tr>
      <w:tr>
        <w:trPr>
          <w:trHeight w:val="185"/>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10,633</w:t>
            </w:r>
          </w:p>
        </w:tc>
      </w:tr>
      <w:tr>
        <w:trPr>
          <w:trHeight w:val="192"/>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596,147</w:t>
            </w:r>
          </w:p>
        </w:tc>
      </w:tr>
      <w:tr>
        <w:trPr>
          <w:trHeight w:val="177"/>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Decrease in cash, cash equivalents and restricted cash</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(183,511)</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foreign currency on cash, cash equivalents and restricted cash</w:t>
            </w: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w:t>
            </w:r>
          </w:p>
        </w:tc>
      </w:tr>
      <w:tr>
        <w:trPr>
          <w:trHeight w:val="177"/>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(185,189)</w:t>
            </w:r>
          </w:p>
        </w:tc>
      </w:tr>
      <w:tr>
        <w:trPr>
          <w:trHeight w:val="194"/>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173,946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349,967</w:t>
            </w:r>
          </w:p>
        </w:tc>
      </w:tr>
      <w:tr>
        <w:trPr>
          <w:trHeight w:val="191"/>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170,861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164,778</w:t>
            </w:r>
          </w:p>
        </w:tc>
      </w:tr>
      <w:tr>
        <w:trPr>
          <w:trHeight w:val="20"/>
        </w:trPr>
        <w:tc>
          <w:tcPr>
            <w:tcW w:w="120" w:type="dxa"/>
            <w:vAlign w:val="bottom"/>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58"/>
        </w:trPr>
        <w:tc>
          <w:tcPr>
            <w:tcW w:w="120" w:type="dxa"/>
            <w:vAlign w:val="bottom"/>
          </w:tcPr>
          <w:p>
            <w:pPr>
              <w:spacing w:after="0"/>
              <w:rPr>
                <w:sz w:val="13"/>
                <w:szCs w:val="13"/>
                <w:color w:val="auto"/>
              </w:rPr>
            </w:pPr>
          </w:p>
        </w:tc>
        <w:tc>
          <w:tcPr>
            <w:tcW w:w="73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2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184"/>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liability</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 on debt</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4"/>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tax</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5"/>
                <w:szCs w:val="15"/>
                <w:color w:val="auto"/>
              </w:rPr>
            </w:pP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acquisition of HalioDx</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147,089</w:t>
            </w:r>
          </w:p>
        </w:tc>
      </w:tr>
      <w:tr>
        <w:trPr>
          <w:trHeight w:val="283"/>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5"/>
        </w:trPr>
        <w:tc>
          <w:tcPr>
            <w:tcW w:w="1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7"/>
                <w:szCs w:val="17"/>
                <w:color w:val="auto"/>
              </w:rPr>
            </w:pPr>
          </w:p>
        </w:tc>
        <w:tc>
          <w:tcPr>
            <w:tcW w:w="16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1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5"/>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173,197</w:t>
            </w:r>
          </w:p>
        </w:tc>
      </w:tr>
      <w:tr>
        <w:trPr>
          <w:trHeight w:val="185"/>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217"/>
        </w:trPr>
        <w:tc>
          <w:tcPr>
            <w:tcW w:w="1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170,861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173,946</w:t>
            </w: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20"/>
          </w:cols>
          <w:pgMar w:left="320" w:top="123"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Description of Business and Summary of Significant Accounting Policies</w:t>
      </w:r>
    </w:p>
    <w:p>
      <w:pPr>
        <w:spacing w:after="0" w:line="218" w:lineRule="exact"/>
        <w:rPr>
          <w:sz w:val="20"/>
          <w:szCs w:val="20"/>
          <w:color w:val="auto"/>
        </w:rPr>
      </w:pPr>
    </w:p>
    <w:p>
      <w:pPr>
        <w:jc w:val="both"/>
        <w:ind w:firstLine="423"/>
        <w:spacing w:after="0" w:line="258" w:lineRule="auto"/>
        <w:rPr>
          <w:sz w:val="20"/>
          <w:szCs w:val="20"/>
          <w:color w:val="auto"/>
        </w:rPr>
      </w:pPr>
      <w:r>
        <w:rPr>
          <w:rFonts w:ascii="Times New Roman" w:cs="Times New Roman" w:eastAsia="Times New Roman" w:hAnsi="Times New Roman"/>
          <w:sz w:val="17"/>
          <w:szCs w:val="17"/>
          <w:color w:val="auto"/>
        </w:rPr>
        <w:t>Veracyte, Inc., or Veracyte, or the Company, is a global diagnostics company that improves patient care by answering important clinical questions to inform diagnosis and treatment decisions throughout the patient journey in cancer and other diseases. The Company’s menu of tests leverage advances in genomic science and machine learning technology to influence care for patients, enabling them to avoid unnecessary and potentially harmful procedures and interventions, and accelerate time to more appropriate treatment. In addition to making its tests available in the United States through its central laboratories, the Company believes its exclusive diagnostic access to the nCounter Analysis System positions the company to deliver tests to patients worldwide through laboratories and hospitals that can perform them locally.</w:t>
      </w:r>
    </w:p>
    <w:p>
      <w:pPr>
        <w:spacing w:after="0" w:line="19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7"/>
          <w:szCs w:val="17"/>
          <w:color w:val="auto"/>
        </w:rPr>
        <w:t>Veracyte was incorporated in the state of Delaware on August 15, 2006, as Calderome, Inc. Calderome operated as an incubator until early 2008. On March 4, 2008, the Company changed its name to Veracyte, Inc. The Company’s headquarters are South San Francisco, California, and it also has operations in San Diego, California; Austin, Texas; Richmond, Virginia; and Marseille, France. It performs diagnostic testing in its Clinical Laboratory Improvement Amendments of 1988, or CLIA, certified laboratories in South San Francisco, San Diego, Austin, and Richmond.</w:t>
      </w:r>
    </w:p>
    <w:p>
      <w:pPr>
        <w:spacing w:after="0" w:line="196"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7"/>
          <w:szCs w:val="17"/>
          <w:color w:val="auto"/>
        </w:rPr>
        <w:t>Veracyte’s foundational approach for its tests begins with determining what clinical questions need to be answered in order to inform what happens next for the patient. The Company deploys rigorous science and technology to develop and validate its tests and collects extensive clinical utility data to demonstrate their ability to influence care. This approach has enabled the Company to obtain Medicare reimbursement for many of its commercially available tests. The Company positions its tests to integrate seamlessly into the way physicians currently evaluate patients, to facilitate adoption.</w:t>
      </w:r>
    </w:p>
    <w:p>
      <w:pPr>
        <w:spacing w:after="0" w:line="196"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7"/>
          <w:szCs w:val="17"/>
          <w:color w:val="auto"/>
        </w:rPr>
        <w:t>Veracyte currently offers genomic tests, which it believes are changing patient care in thyroid cancer (Afirma); prostate and bladder cancers (Decipher); breast cancer (Prosigna); lung cancer (Percepta); and interstitial lung diseases, or ILD, including idiopathic pulmonary fibrosis, or IPF (Envisia). The Company’s commercially available tests in each of these indications are covered by Medicare.</w:t>
      </w:r>
    </w:p>
    <w:p>
      <w:pPr>
        <w:spacing w:after="0" w:line="193"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7"/>
          <w:szCs w:val="17"/>
          <w:color w:val="auto"/>
        </w:rPr>
        <w:t>The Company performs its genomic tests for thyroid cancer, lung cancer and IPF in its CLIA-certified laboratory in South San Francisco, California, and its genomic tests for prostate and bladder cancer in its College of American Pathologists, or CAP, accredited and CLIA-certified laboratory in San Diego, California. In 2019, the Company acquired from NanoString Technologies, Inc. or NanoString, the exclusive global diagnostics license to the nCounter Analysis System and the Prosigna Breast Cancer Prognostic Gene Signature Assay, which is commercially available, along with the LymphMark lymphoma subtyping assay, which is in development for use as a companion diagnostic with Acerta Pharma’s and AstraZeneca’s Calquence. Both tests are designed for use on the nCounter Analysis System. The Prosigna test kits and associated products are sold to laboratories and hospitals globally.</w:t>
      </w:r>
    </w:p>
    <w:p>
      <w:pPr>
        <w:spacing w:after="0" w:line="19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7"/>
          <w:szCs w:val="17"/>
          <w:color w:val="auto"/>
        </w:rPr>
        <w:t>Veracyte’s scientific approach and capabilities in genomics and immuno-oncology also provide multiple opportunities for partnerships with biopharmaceutical and diagnostic companies. In developing and commercializing its products, the Company has built or gained access to unique data and sample biorepositories, as well as proprietary technology and bioinformatics that it believes are important to the development of new targeted therapies, determining clinical trial eligibility and guiding treatment selection.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0" w:lineRule="exact"/>
        <w:rPr>
          <w:sz w:val="20"/>
          <w:szCs w:val="20"/>
          <w:color w:val="auto"/>
        </w:rPr>
      </w:pPr>
    </w:p>
    <w:p>
      <w:pPr>
        <w:jc w:val="both"/>
        <w:ind w:firstLine="307"/>
        <w:spacing w:after="0" w:line="255"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September 30, 2022, the condensed consolidated statements of operations for the three and nine months ended September 30, 2022 and 2021, the condensed consolidated statements of comprehensive loss for the three and nine months ended September 30, 2022 and 2021, the condensed consolidated statements of stockholders' equity for the three and nine months ended September 30, 2022 and 2021, and the condensed consolidated statements of cash flows for the nine months ended September 30, 2022 and 2021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2021 has been derived from audited financial statements. The results for the three and nine months ended September 30, 2022</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are not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152"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7"/>
          <w:szCs w:val="17"/>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246" w:lineRule="exact"/>
        <w:rPr>
          <w:sz w:val="20"/>
          <w:szCs w:val="20"/>
          <w:color w:val="auto"/>
        </w:rPr>
      </w:pPr>
    </w:p>
    <w:p>
      <w:pPr>
        <w:jc w:val="both"/>
        <w:ind w:firstLine="423"/>
        <w:spacing w:after="0" w:line="262"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current period presentation of the Company’s condensed consolidated financial statements and accompanying notes. Such reclassifications have no effect on previously reported results of operations, accumulated deficit, subtotals of operating, investing or financing cash flows or consolidated balance sheet totals; however, for the period December 31, 2021, the Company reclassified $4.0 million of prepaid expenses and other current assets to short-term investments in the condensed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0" w:lineRule="exact"/>
        <w:rPr>
          <w:sz w:val="20"/>
          <w:szCs w:val="20"/>
          <w:color w:val="auto"/>
        </w:rPr>
      </w:pPr>
    </w:p>
    <w:p>
      <w:pPr>
        <w:jc w:val="both"/>
        <w:ind w:firstLine="307"/>
        <w:spacing w:after="0" w:line="255" w:lineRule="auto"/>
        <w:rPr>
          <w:sz w:val="20"/>
          <w:szCs w:val="20"/>
          <w:color w:val="auto"/>
        </w:rPr>
      </w:pPr>
      <w:r>
        <w:rPr>
          <w:rFonts w:ascii="Times New Roman" w:cs="Times New Roman" w:eastAsia="Times New Roman" w:hAnsi="Times New Roman"/>
          <w:sz w:val="17"/>
          <w:szCs w:val="17"/>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and equipment; the recoverability of long-lived assets; the incremental borrowing rate for leases; accounting for acquisitions;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 and Other Risks and Uncertainties</w:t>
      </w:r>
    </w:p>
    <w:p>
      <w:pPr>
        <w:spacing w:after="0" w:line="22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7"/>
          <w:szCs w:val="17"/>
          <w:color w:val="auto"/>
        </w:rPr>
        <w:t>The worldwide spread of coronavirus, or COVID-19, has created significant uncertainty in the global economy. There have been no comparable recent events that provide guidance as to the effect the spread of COVID-19 as a global pandemic may have.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 supplies, goodwill and intangibles may be adversely affected. The Company considers the effects, to the extent knowable, of the COVID-19 pandemic in developing our estimates.</w:t>
      </w:r>
    </w:p>
    <w:p>
      <w:pPr>
        <w:spacing w:after="0" w:line="175"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7"/>
          <w:szCs w:val="17"/>
          <w:color w:val="auto"/>
        </w:rPr>
        <w:t>The majority of the Company’s cash and cash equivalents are deposited with one major financial institution in the United States. Deposits in this institution may exceed the amount of insurance provided on such deposits. The Company has not realized any losses on its deposits of cash and cash equivalents other than exchange rate losses related to foreign currency denominated accounts.</w:t>
      </w:r>
    </w:p>
    <w:p>
      <w:pPr>
        <w:spacing w:after="0" w:line="167"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7"/>
          <w:szCs w:val="17"/>
          <w:color w:val="auto"/>
        </w:rPr>
        <w:t>Several of the components of the Company’s sample collection kits and test reagents, and the nCounter system and related diagnostic kits, are obtained from single-source suppliers. If these single-source suppliers fail to satisfy the Company’s requirements on a timely basis, the Company could suffer delays in being able to deliver its diagnostic solutions, suffer a possible loss of revenue, or incur higher costs, any of which could adversely affect its operating results.</w:t>
      </w:r>
    </w:p>
    <w:p>
      <w:pPr>
        <w:spacing w:after="0" w:line="167"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Through September 30, 2022, most of the Company’s revenue has been derived from the sale of Decipher and Afirma testing. To date, Decipher and Afirma testing have been delivered primarily to physicians in the United States.</w:t>
      </w:r>
    </w:p>
    <w:p>
      <w:pPr>
        <w:spacing w:after="0" w:line="178"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7"/>
          <w:szCs w:val="17"/>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at September 30, 2022.</w:t>
      </w:r>
    </w:p>
    <w:p>
      <w:pPr>
        <w:spacing w:after="0" w:line="193"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The Company’s third-party payers and other customers in excess of 10% of total revenue and their related revenue as a percentage of total revenue were as follows: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6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bottom w:val="single" w:sz="8" w:color="auto"/>
            </w:tcBorders>
            <w:gridSpan w:val="3"/>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99"/>
        </w:trPr>
        <w:tc>
          <w:tcPr>
            <w:tcW w:w="4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Medicare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r>
      <w:tr>
        <w:trPr>
          <w:trHeight w:val="20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UnitedHealthcare</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r>
      <w:tr>
        <w:trPr>
          <w:trHeight w:val="223"/>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The Company’s third-party payers and other customers in excess of 10% of accounts receivable and their related accounts receivable balance as a percentage of total accounts receivable were as follows at the following dates: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80" w:type="dxa"/>
            <w:vAlign w:val="bottom"/>
          </w:tcPr>
          <w:p>
            <w:pPr>
              <w:spacing w:after="0"/>
              <w:rPr>
                <w:sz w:val="17"/>
                <w:szCs w:val="17"/>
                <w:color w:val="auto"/>
              </w:rPr>
            </w:pPr>
          </w:p>
        </w:tc>
        <w:tc>
          <w:tcPr>
            <w:tcW w:w="2060" w:type="dxa"/>
            <w:vAlign w:val="bottom"/>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96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Medicare</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0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r>
      <w:tr>
        <w:trPr>
          <w:trHeight w:val="200"/>
        </w:trPr>
        <w:tc>
          <w:tcPr>
            <w:tcW w:w="7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UnitedHealthcare</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9 %</w:t>
            </w: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20"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The Company considers demand deposits in a bank, money market funds and highly liquid investments with an original maturity of 90 days or less to be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w:t>
      </w:r>
    </w:p>
    <w:p>
      <w:pPr>
        <w:spacing w:after="0" w:line="220"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7"/>
          <w:szCs w:val="17"/>
          <w:color w:val="auto"/>
        </w:rPr>
        <w:t>The Company's short-term investments consist of U.S. treasury securities and time deposits with a bank with maturities at the time of purchase that were between 90 days and one year. The Company classifies these investments as held-to-maturity debt securities, which are reported at amortized cost. Discounts or premiums from the purchase of the securities are recognized as a component of interest income in other income (loss), net in the condensed consolidated statements of operations. Investments are initially recorded net of an allowance for expected credit losses, if any, which are remeasured each period and any impairments are recognized as an expense. Unrealized gains and losses are not recognized in income. As of both September 30, 2022 and December 31, 2021, no allowances for expected credit losses had been recorded and there have been no impairment or credit losses on the Company's short term investments.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220"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The Company had deposits of $0.7 million included in long-term assets as of both September 30, 2022 and December 31, 2021, restricted from withdrawal and held by banks in the form of collateral for irrevocable standby letters of credit held as security for the Company's leases.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6"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7"/>
          <w:szCs w:val="17"/>
          <w:color w:val="auto"/>
        </w:rPr>
        <w:t xml:space="preserve">The Company recognizes revenue in accordance with the provisions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are considered satisfied once the Company has completed a service or transferred control of a product to the customer.</w:t>
      </w:r>
    </w:p>
    <w:p>
      <w:pPr>
        <w:spacing w:after="0" w:line="24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Testing Revenue</w:t>
      </w:r>
    </w:p>
    <w:p>
      <w:pPr>
        <w:spacing w:after="0" w:line="231"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Company bills for testing services at the time of test completion as defined by the delivery of test results. The Company recognizes revenue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175"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The Company has changed its revenue estimates due to actual and anticipated cash collections for tests delivered in prior quarters and recognized immaterial changes in revenue, loss from operations and basic and diluted net loss per share for the three and nine months ended September 30, 2022 and 2021.</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Product Revenue</w:t>
      </w:r>
    </w:p>
    <w:p>
      <w:pPr>
        <w:spacing w:after="0" w:line="24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Company's products consist of the Prosigna breast cancer assay, the nCounter Analysis System and related diagnostic kits. Product revenue from diagnostic kits is generally recognized upon shipment. Product revenue from instruments is generally recognized when the instrument is ready for use by the end customer. Shipping and handling costs incurred for product shipments are included in product revenue. Revenue is presented net of the taxes that are collected from customers and remitted to governmental authorities.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Biopharmaceutical and Other Revenue</w:t>
      </w:r>
    </w:p>
    <w:p>
      <w:pPr>
        <w:spacing w:after="0" w:line="231"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The Company enters into arrangements for biopharmaceutical research and development, commercialization, contract manufacturing and development, and testing services, which are classified under biopharmaceutical and other revenue. Such arrangements may require the Company to deliver various rights, manufactured diagnostic test kits, services and/or samples, including intellectual property rights/licenses, biopharmaceutical research and development services, and/or commercialization services. The Company receives consideration in the form of upfront license fees; payments on delivery of data, test results or manufactured products; costs of service plus margin; and development and commercial performance milestone payments.</w:t>
      </w:r>
    </w:p>
    <w:p>
      <w:pPr>
        <w:spacing w:after="0" w:line="3" w:lineRule="exact"/>
        <w:rPr>
          <w:sz w:val="20"/>
          <w:szCs w:val="20"/>
          <w:color w:val="auto"/>
        </w:rPr>
      </w:pPr>
    </w:p>
    <w:p>
      <w:pPr>
        <w:jc w:val="both"/>
        <w:ind w:firstLine="384"/>
        <w:spacing w:after="0" w:line="253" w:lineRule="auto"/>
        <w:rPr>
          <w:sz w:val="20"/>
          <w:szCs w:val="20"/>
          <w:color w:val="auto"/>
        </w:rPr>
      </w:pPr>
      <w:r>
        <w:rPr>
          <w:rFonts w:ascii="Times New Roman" w:cs="Times New Roman" w:eastAsia="Times New Roman" w:hAnsi="Times New Roman"/>
          <w:sz w:val="17"/>
          <w:szCs w:val="17"/>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04"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At the inception of each arrangement that includes milestone payments (variable consideration), the Company evaluates whether the milestones are considered probable of being reached and estimates the amount to be included in the transaction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7"/>
          <w:szCs w:val="17"/>
          <w:color w:val="auto"/>
        </w:rPr>
        <w:t xml:space="preserve">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or ASC 808. These milestone payments are recognized in the same manner as milestone payments from customers and are classified under biopharmaceutical and other revenue.</w:t>
      </w:r>
    </w:p>
    <w:p>
      <w:pPr>
        <w:spacing w:after="0" w:line="205" w:lineRule="exact"/>
        <w:rPr>
          <w:sz w:val="20"/>
          <w:szCs w:val="20"/>
          <w:color w:val="auto"/>
        </w:rPr>
      </w:pPr>
    </w:p>
    <w:p>
      <w:pPr>
        <w:jc w:val="both"/>
        <w:ind w:right="100" w:firstLine="384"/>
        <w:spacing w:after="0" w:line="267" w:lineRule="auto"/>
        <w:rPr>
          <w:sz w:val="20"/>
          <w:szCs w:val="20"/>
          <w:color w:val="auto"/>
        </w:rPr>
      </w:pPr>
      <w:r>
        <w:rPr>
          <w:rFonts w:ascii="Times New Roman" w:cs="Times New Roman" w:eastAsia="Times New Roman" w:hAnsi="Times New Roman"/>
          <w:sz w:val="17"/>
          <w:szCs w:val="17"/>
          <w:color w:val="auto"/>
        </w:rPr>
        <w:t>Accounts receivable from biopharmaceutical and other revenue was $7.7 million at September 30, 2022 and $11.6 million at December 31, 2021. There was $3.9 million and $5.0 million of deferred revenue related to these agreements at September 30, 2022 and December 31, 2021, respectively. Revenue included in biopharmaceutical and other revenue for the three and nine months ended September 30, 2022 and 2021 was as follows (in thousands of dollars):</w:t>
      </w:r>
    </w:p>
    <w:p>
      <w:pPr>
        <w:spacing w:after="0" w:line="232" w:lineRule="exact"/>
        <w:rPr>
          <w:sz w:val="20"/>
          <w:szCs w:val="20"/>
          <w:color w:val="auto"/>
        </w:rPr>
      </w:pPr>
    </w:p>
    <w:tbl>
      <w:tblPr>
        <w:tblLayout w:type="fixed"/>
        <w:tblInd w:w="740" w:type="dxa"/>
        <w:tblCellMar>
          <w:top w:w="0" w:type="dxa"/>
          <w:left w:w="0" w:type="dxa"/>
          <w:bottom w:w="0" w:type="dxa"/>
          <w:right w:w="0" w:type="dxa"/>
        </w:tblCellMar>
      </w:tblPr>
      <w:tr>
        <w:trPr>
          <w:trHeight w:val="206"/>
        </w:trPr>
        <w:tc>
          <w:tcPr>
            <w:tcW w:w="434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99"/>
        </w:trPr>
        <w:tc>
          <w:tcPr>
            <w:tcW w:w="43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Biopharmaceutical revenue</w:t>
            </w:r>
          </w:p>
        </w:tc>
        <w:tc>
          <w:tcPr>
            <w:tcW w:w="110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6,368</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20,820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Contract manufacturing and testing</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1,333</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1,273</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5,743</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25"/>
        </w:trPr>
        <w:tc>
          <w:tcPr>
            <w:tcW w:w="4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1100" w:type="dxa"/>
            <w:vAlign w:val="bottom"/>
            <w:tcBorders>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7,701</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6,514</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26,563</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Testing Revenue</w:t>
      </w:r>
    </w:p>
    <w:p>
      <w:pPr>
        <w:spacing w:after="0" w:line="220" w:lineRule="exact"/>
        <w:rPr>
          <w:sz w:val="20"/>
          <w:szCs w:val="20"/>
          <w:color w:val="auto"/>
        </w:rPr>
      </w:pPr>
    </w:p>
    <w:p>
      <w:pPr>
        <w:jc w:val="both"/>
        <w:ind w:right="100" w:firstLine="384"/>
        <w:spacing w:after="0" w:line="267" w:lineRule="auto"/>
        <w:rPr>
          <w:sz w:val="20"/>
          <w:szCs w:val="20"/>
          <w:color w:val="auto"/>
        </w:rPr>
      </w:pPr>
      <w:r>
        <w:rPr>
          <w:rFonts w:ascii="Times New Roman" w:cs="Times New Roman" w:eastAsia="Times New Roman" w:hAnsi="Times New Roman"/>
          <w:sz w:val="17"/>
          <w:szCs w:val="17"/>
          <w:color w:val="auto"/>
        </w:rPr>
        <w:t>The components of our cost of testing services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Revenue</w:t>
      </w:r>
    </w:p>
    <w:p>
      <w:pPr>
        <w:spacing w:after="0" w:line="216" w:lineRule="exact"/>
        <w:rPr>
          <w:sz w:val="20"/>
          <w:szCs w:val="20"/>
          <w:color w:val="auto"/>
        </w:rPr>
      </w:pPr>
    </w:p>
    <w:p>
      <w:pPr>
        <w:jc w:val="both"/>
        <w:ind w:right="100" w:firstLine="384"/>
        <w:spacing w:after="0" w:line="264" w:lineRule="auto"/>
        <w:rPr>
          <w:sz w:val="20"/>
          <w:szCs w:val="20"/>
          <w:color w:val="auto"/>
        </w:rPr>
      </w:pPr>
      <w:r>
        <w:rPr>
          <w:rFonts w:ascii="Times New Roman" w:cs="Times New Roman" w:eastAsia="Times New Roman" w:hAnsi="Times New Roman"/>
          <w:sz w:val="17"/>
          <w:szCs w:val="17"/>
          <w:color w:val="auto"/>
        </w:rPr>
        <w:t xml:space="preserve">Cost of product revenue consists primarily of costs of purchasing instruments and diagnostic kits from </w:t>
      </w: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-party contract manufacturers, installation, service and packaging and delivery costs, and our internal labor expenses. In addition, cost of product includes royalty costs for licensed technologies included in the Company’s products. Cost of product revenue for instruments and diagnostic kits is recognized in the period the related revenue is recognized. Shipping and handling costs incurred for product shipments are included in cost of product in the condensed consolidated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Biopharmaceutical and Other Revenue</w:t>
      </w:r>
    </w:p>
    <w:p>
      <w:pPr>
        <w:spacing w:after="0" w:line="220" w:lineRule="exact"/>
        <w:rPr>
          <w:sz w:val="20"/>
          <w:szCs w:val="20"/>
          <w:color w:val="auto"/>
        </w:rPr>
      </w:pPr>
    </w:p>
    <w:p>
      <w:pPr>
        <w:jc w:val="both"/>
        <w:ind w:right="100" w:firstLine="384"/>
        <w:spacing w:after="0" w:line="284" w:lineRule="auto"/>
        <w:rPr>
          <w:sz w:val="20"/>
          <w:szCs w:val="20"/>
          <w:color w:val="auto"/>
        </w:rPr>
      </w:pPr>
      <w:r>
        <w:rPr>
          <w:rFonts w:ascii="Times New Roman" w:cs="Times New Roman" w:eastAsia="Times New Roman" w:hAnsi="Times New Roman"/>
          <w:sz w:val="17"/>
          <w:szCs w:val="17"/>
          <w:color w:val="auto"/>
        </w:rPr>
        <w:t>Cost of biopharmaceutical and other revenue consists of costs of performing activities under arrangements that require the Company to perform biopharmaceutical research and development, commercialization, contract manufacturing and contract testing services on behalf of a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Pension Liability</w:t>
      </w:r>
    </w:p>
    <w:p>
      <w:pPr>
        <w:spacing w:after="0" w:line="246" w:lineRule="exact"/>
        <w:rPr>
          <w:sz w:val="20"/>
          <w:szCs w:val="20"/>
          <w:color w:val="auto"/>
        </w:rPr>
      </w:pPr>
    </w:p>
    <w:p>
      <w:pPr>
        <w:jc w:val="both"/>
        <w:ind w:right="100" w:firstLine="384"/>
        <w:spacing w:after="0" w:line="267" w:lineRule="auto"/>
        <w:rPr>
          <w:sz w:val="20"/>
          <w:szCs w:val="20"/>
          <w:color w:val="auto"/>
        </w:rPr>
      </w:pPr>
      <w:r>
        <w:rPr>
          <w:rFonts w:ascii="Times New Roman" w:cs="Times New Roman" w:eastAsia="Times New Roman" w:hAnsi="Times New Roman"/>
          <w:sz w:val="17"/>
          <w:szCs w:val="17"/>
          <w:color w:val="auto"/>
        </w:rPr>
        <w:t>The Company offers a defined benefit pension plan to certain non-U.S. employees of its Veracyte SAS subsidiary. As of September 30, 2022 and December 31, 2021, the total pension obligation was $0.9 million and $1.1 million, respectively, and is included in other liabilities on the condensed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16" w:lineRule="exact"/>
        <w:rPr>
          <w:sz w:val="20"/>
          <w:szCs w:val="20"/>
          <w:color w:val="auto"/>
        </w:rPr>
      </w:pPr>
    </w:p>
    <w:p>
      <w:pPr>
        <w:jc w:val="both"/>
        <w:ind w:right="100" w:firstLine="384"/>
        <w:spacing w:after="0" w:line="253"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w:t>
      </w:r>
      <w:r>
        <w:rPr>
          <w:rFonts w:ascii="Times New Roman" w:cs="Times New Roman" w:eastAsia="Times New Roman" w:hAnsi="Times New Roman"/>
          <w:sz w:val="17"/>
          <w:szCs w:val="17"/>
          <w:i w:val="1"/>
          <w:iCs w:val="1"/>
          <w:color w:val="auto"/>
        </w:rPr>
        <w:t>Business Combinations (Topic 805): Accounting for Contract Assets and Contract Liabilities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 Customers</w:t>
      </w:r>
      <w:r>
        <w:rPr>
          <w:rFonts w:ascii="Times New Roman" w:cs="Times New Roman" w:eastAsia="Times New Roman" w:hAnsi="Times New Roman"/>
          <w:sz w:val="17"/>
          <w:szCs w:val="17"/>
          <w:color w:val="auto"/>
        </w:rPr>
        <w:t>, which requires entities to recognize and measure contract assets and contract liabilities acquired in a business combination in accordance with ASC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w:t>
      </w:r>
    </w:p>
    <w:p>
      <w:pPr>
        <w:spacing w:after="0" w:line="200" w:lineRule="exact"/>
        <w:rPr>
          <w:sz w:val="20"/>
          <w:szCs w:val="20"/>
          <w:color w:val="auto"/>
        </w:rPr>
      </w:pP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7"/>
          <w:szCs w:val="17"/>
          <w:color w:val="auto"/>
        </w:rPr>
        <w:t>new standard is effective on a prospective basis for fiscal years beginning after December 15, 2022, with early adoption permitted. The Company does not expect to have a material impact on its consolidated financial statements and related disclosures from the adoption of this guidance.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Net Loss Per Common Share</w:t>
      </w:r>
    </w:p>
    <w:p>
      <w:pPr>
        <w:spacing w:after="0" w:line="218" w:lineRule="exact"/>
        <w:rPr>
          <w:sz w:val="20"/>
          <w:szCs w:val="20"/>
          <w:color w:val="auto"/>
        </w:rPr>
      </w:pPr>
    </w:p>
    <w:p>
      <w:pPr>
        <w:jc w:val="both"/>
        <w:ind w:right="100" w:firstLine="384"/>
        <w:spacing w:after="0" w:line="262" w:lineRule="auto"/>
        <w:rPr>
          <w:sz w:val="20"/>
          <w:szCs w:val="20"/>
          <w:color w:val="auto"/>
        </w:rPr>
      </w:pPr>
      <w:r>
        <w:rPr>
          <w:rFonts w:ascii="Times New Roman" w:cs="Times New Roman" w:eastAsia="Times New Roman" w:hAnsi="Times New Roman"/>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17"/>
                <w:szCs w:val="17"/>
                <w:color w:val="auto"/>
              </w:rPr>
            </w:pPr>
          </w:p>
        </w:tc>
        <w:tc>
          <w:tcPr>
            <w:tcW w:w="3400" w:type="dxa"/>
            <w:vAlign w:val="bottom"/>
            <w:gridSpan w:val="4"/>
          </w:tcPr>
          <w:p>
            <w:pPr>
              <w:ind w:left="4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3300" w:type="dxa"/>
            <w:vAlign w:val="bottom"/>
            <w:gridSpan w:val="3"/>
          </w:tcPr>
          <w:p>
            <w:pPr>
              <w:jc w:val="right"/>
              <w:ind w:right="42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99"/>
        </w:trPr>
        <w:tc>
          <w:tcPr>
            <w:tcW w:w="454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Shares of common stock subject to outstanding options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4,043,274</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3,668,179</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3,902,116</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3,817,351</w:t>
            </w:r>
          </w:p>
        </w:tc>
      </w:tr>
      <w:tr>
        <w:trPr>
          <w:trHeight w:val="202"/>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39,177</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14,445</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40,094</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16,686</w:t>
            </w:r>
          </w:p>
        </w:tc>
      </w:tr>
      <w:tr>
        <w:trPr>
          <w:trHeight w:val="20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units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2,114,223</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1,246,888</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1,929,696</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1,011,466</w:t>
            </w:r>
          </w:p>
        </w:tc>
      </w:tr>
      <w:tr>
        <w:trPr>
          <w:trHeight w:val="200"/>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common stock equivalents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6,196,674</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4,929,512</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5,871,906</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4,845,503</w:t>
            </w:r>
          </w:p>
        </w:tc>
      </w:tr>
      <w:tr>
        <w:trPr>
          <w:trHeight w:val="20"/>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Balance Sheet Components</w:t>
      </w: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46" w:lineRule="exact"/>
        <w:rPr>
          <w:sz w:val="20"/>
          <w:szCs w:val="20"/>
          <w:color w:val="auto"/>
        </w:rPr>
      </w:pPr>
    </w:p>
    <w:p>
      <w:pPr>
        <w:jc w:val="both"/>
        <w:ind w:right="100" w:firstLine="384"/>
        <w:spacing w:after="0" w:line="267" w:lineRule="auto"/>
        <w:rPr>
          <w:sz w:val="20"/>
          <w:szCs w:val="20"/>
          <w:color w:val="auto"/>
        </w:rPr>
      </w:pPr>
      <w:r>
        <w:rPr>
          <w:rFonts w:ascii="Times New Roman" w:cs="Times New Roman" w:eastAsia="Times New Roman" w:hAnsi="Times New Roman"/>
          <w:sz w:val="17"/>
          <w:szCs w:val="17"/>
          <w:color w:val="auto"/>
        </w:rPr>
        <w:t>Goodwill was $676.9 million and $707.9 million as of September 30, 2022 and December 31, 2021, respectively. The changes in the carrying amounts of goodwill during the nine months ended September 30, 2022 were due to foreign currency translation and measurement period adjustments. The Company has not recorded any impairment related to goodwill.</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 Net</w:t>
      </w:r>
    </w:p>
    <w:p>
      <w:pPr>
        <w:spacing w:after="0" w:line="246" w:lineRule="exact"/>
        <w:rPr>
          <w:sz w:val="20"/>
          <w:szCs w:val="20"/>
          <w:color w:val="auto"/>
        </w:rPr>
      </w:pPr>
    </w:p>
    <w:p>
      <w:pPr>
        <w:jc w:val="both"/>
        <w:ind w:right="100" w:firstLine="384"/>
        <w:spacing w:after="0" w:line="284" w:lineRule="auto"/>
        <w:rPr>
          <w:sz w:val="20"/>
          <w:szCs w:val="20"/>
          <w:color w:val="auto"/>
        </w:rPr>
      </w:pPr>
      <w:r>
        <w:rPr>
          <w:rFonts w:ascii="Times New Roman" w:cs="Times New Roman" w:eastAsia="Times New Roman" w:hAnsi="Times New Roman"/>
          <w:sz w:val="17"/>
          <w:szCs w:val="17"/>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15" w:lineRule="exact"/>
        <w:rPr>
          <w:sz w:val="20"/>
          <w:szCs w:val="20"/>
          <w:color w:val="auto"/>
        </w:rPr>
      </w:pPr>
    </w:p>
    <w:tbl>
      <w:tblPr>
        <w:tblLayout w:type="fixed"/>
        <w:tblInd w:w="380" w:type="dxa"/>
        <w:tblCellMar>
          <w:top w:w="0" w:type="dxa"/>
          <w:left w:w="0" w:type="dxa"/>
          <w:bottom w:w="0" w:type="dxa"/>
          <w:right w:w="0" w:type="dxa"/>
        </w:tblCellMar>
      </w:tblPr>
      <w:tr>
        <w:trPr>
          <w:trHeight w:val="204"/>
        </w:trPr>
        <w:tc>
          <w:tcPr>
            <w:tcW w:w="3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Weighted Avera</w:t>
            </w: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10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840" w:type="dxa"/>
            <w:vAlign w:val="bottom"/>
            <w:gridSpan w:val="2"/>
          </w:tcPr>
          <w:p>
            <w:pPr>
              <w:jc w:val="center"/>
              <w:ind w:right="260"/>
              <w:spacing w:after="0" w:line="12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0"/>
                <w:szCs w:val="10"/>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0"/>
                <w:szCs w:val="10"/>
                <w:color w:val="auto"/>
              </w:rPr>
            </w:pPr>
          </w:p>
        </w:tc>
        <w:tc>
          <w:tcPr>
            <w:tcW w:w="960" w:type="dxa"/>
            <w:vAlign w:val="bottom"/>
          </w:tcPr>
          <w:p>
            <w:pPr>
              <w:jc w:val="right"/>
              <w:ind w:right="12"/>
              <w:spacing w:after="0" w:line="12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1"/>
        </w:trPr>
        <w:tc>
          <w:tcPr>
            <w:tcW w:w="3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1"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86"/>
        </w:trPr>
        <w:tc>
          <w:tcPr>
            <w:tcW w:w="3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0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Percepta product technology</w:t>
            </w: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16,000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8,800</w:t>
            </w:r>
          </w:p>
        </w:tc>
        <w:tc>
          <w:tcPr>
            <w:tcW w:w="106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Prosigna product technology</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4,120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3,548</w:t>
            </w:r>
          </w:p>
        </w:tc>
        <w:tc>
          <w:tcPr>
            <w:tcW w:w="1060" w:type="dxa"/>
            <w:vAlign w:val="bottom"/>
            <w:gridSpan w:val="2"/>
          </w:tcPr>
          <w:p>
            <w:pPr>
              <w:jc w:val="center"/>
              <w:ind w:left="203"/>
              <w:spacing w:after="0"/>
              <w:rPr>
                <w:sz w:val="20"/>
                <w:szCs w:val="20"/>
                <w:color w:val="auto"/>
              </w:rPr>
            </w:pPr>
            <w:r>
              <w:rPr>
                <w:rFonts w:ascii="Times New Roman" w:cs="Times New Roman" w:eastAsia="Times New Roman" w:hAnsi="Times New Roman"/>
                <w:sz w:val="15"/>
                <w:szCs w:val="15"/>
                <w:color w:val="auto"/>
                <w:w w:val="93"/>
              </w:rPr>
              <w:t>11</w:t>
            </w: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Prosigna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1,417</w:t>
            </w:r>
          </w:p>
        </w:tc>
        <w:tc>
          <w:tcPr>
            <w:tcW w:w="106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nCounter Dx license</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46,880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40,369</w:t>
            </w:r>
          </w:p>
        </w:tc>
        <w:tc>
          <w:tcPr>
            <w:tcW w:w="1060" w:type="dxa"/>
            <w:vAlign w:val="bottom"/>
            <w:gridSpan w:val="2"/>
          </w:tcPr>
          <w:p>
            <w:pPr>
              <w:jc w:val="center"/>
              <w:ind w:left="203"/>
              <w:spacing w:after="0"/>
              <w:rPr>
                <w:sz w:val="20"/>
                <w:szCs w:val="20"/>
                <w:color w:val="auto"/>
              </w:rPr>
            </w:pPr>
            <w:r>
              <w:rPr>
                <w:rFonts w:ascii="Times New Roman" w:cs="Times New Roman" w:eastAsia="Times New Roman" w:hAnsi="Times New Roman"/>
                <w:sz w:val="15"/>
                <w:szCs w:val="15"/>
                <w:color w:val="auto"/>
                <w:w w:val="93"/>
              </w:rPr>
              <w:t>11</w:t>
            </w: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LymphMark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990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695</w:t>
            </w:r>
          </w:p>
        </w:tc>
        <w:tc>
          <w:tcPr>
            <w:tcW w:w="106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Decipher product technology</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82,766</w:t>
            </w:r>
          </w:p>
        </w:tc>
        <w:tc>
          <w:tcPr>
            <w:tcW w:w="1060" w:type="dxa"/>
            <w:vAlign w:val="bottom"/>
            <w:gridSpan w:val="2"/>
          </w:tcPr>
          <w:p>
            <w:pPr>
              <w:jc w:val="center"/>
              <w:ind w:left="183"/>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Decipher trade names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3,357</w:t>
            </w:r>
          </w:p>
        </w:tc>
        <w:tc>
          <w:tcPr>
            <w:tcW w:w="106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HalioDx developed technology</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36,367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45,640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43,763</w:t>
            </w:r>
          </w:p>
        </w:tc>
        <w:tc>
          <w:tcPr>
            <w:tcW w:w="1060" w:type="dxa"/>
            <w:vAlign w:val="bottom"/>
            <w:gridSpan w:val="2"/>
          </w:tcPr>
          <w:p>
            <w:pPr>
              <w:jc w:val="center"/>
              <w:ind w:left="183"/>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HalioDx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4,870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4,518</w:t>
            </w:r>
          </w:p>
        </w:tc>
        <w:tc>
          <w:tcPr>
            <w:tcW w:w="106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2"/>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HalioDx customer backlog</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5,976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6,908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6,198</w:t>
            </w:r>
          </w:p>
        </w:tc>
        <w:tc>
          <w:tcPr>
            <w:tcW w:w="1060" w:type="dxa"/>
            <w:vAlign w:val="bottom"/>
            <w:tcBorders>
              <w:bottom w:val="single" w:sz="8" w:color="CCEEFF"/>
            </w:tcBorders>
            <w:gridSpan w:val="2"/>
          </w:tcPr>
          <w:p>
            <w:pPr>
              <w:jc w:val="center"/>
              <w:ind w:left="183"/>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finite-lived intangibles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210,976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169,242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221,838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195,431</w:t>
            </w:r>
          </w:p>
        </w:tc>
        <w:tc>
          <w:tcPr>
            <w:tcW w:w="106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202"/>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In-process research and development</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7,300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7,300</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intangible assets</w:t>
            </w: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218,276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176,542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229,138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202,731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During the three months ended June 30, 2022, the Company concluded it had a triggering event requiring assessment of impairment for certain of its long-lived assets in conjunction with management’s decision to cease commercialization efforts related to the Company’s stand-alone Immunoscore Colon Dx commercial offering. As a result, the Company reviewed the long-lived assets for impairment and recorded a $3.3 million impairment charge associated with its HalioDx Immunoscore Colon Dx developed technology finite-lived intangible asset. The impairment is recorded within general and administrative expense on the condensed consolidated statement of operations for the nine months ended September 30, 2022. The impairment was assessed under an income approach estimating forecasted discounted cash flows. This method is consistent with the methods the Company employed in prior periods to value other long-lived assets.</w:t>
      </w:r>
    </w:p>
    <w:p>
      <w:pPr>
        <w:spacing w:after="0" w:line="199"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Amortization of the finite-lived intangible assets is recognized on a straight-line basis. Amortization expense of $5.2 million and $5.0 million was recognized for the three months ended September 30, 2022 and 2021, respectively, and expense of $16.1 million and $10.5 million was recognized for the nine months ended September 30, 2022 and 2021, respectively.</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estimated future aggregate amortization expense as of September 30, 2022 is as follows (in thousands of dollars):</w:t>
      </w:r>
    </w:p>
    <w:p>
      <w:pPr>
        <w:spacing w:after="0" w:line="112"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5"/>
                <w:szCs w:val="15"/>
                <w:color w:val="auto"/>
              </w:rPr>
            </w:pPr>
          </w:p>
        </w:tc>
        <w:tc>
          <w:tcPr>
            <w:tcW w:w="11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8"/>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 remainder of year</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5,184</w:t>
            </w:r>
          </w:p>
        </w:tc>
      </w:tr>
      <w:tr>
        <w:trPr>
          <w:trHeight w:val="202"/>
        </w:trPr>
        <w:tc>
          <w:tcPr>
            <w:tcW w:w="9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2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20,735</w:t>
            </w:r>
          </w:p>
        </w:tc>
      </w:tr>
      <w:tr>
        <w:trPr>
          <w:trHeight w:val="207"/>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20,695</w:t>
            </w:r>
          </w:p>
        </w:tc>
      </w:tr>
      <w:tr>
        <w:trPr>
          <w:trHeight w:val="202"/>
        </w:trPr>
        <w:tc>
          <w:tcPr>
            <w:tcW w:w="9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2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19,635</w:t>
            </w:r>
          </w:p>
        </w:tc>
      </w:tr>
      <w:tr>
        <w:trPr>
          <w:trHeight w:val="207"/>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17,899</w:t>
            </w:r>
          </w:p>
        </w:tc>
      </w:tr>
      <w:tr>
        <w:trPr>
          <w:trHeight w:val="202"/>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85,094</w:t>
            </w:r>
          </w:p>
        </w:tc>
      </w:tr>
      <w:tr>
        <w:trPr>
          <w:trHeight w:val="225"/>
        </w:trPr>
        <w:tc>
          <w:tcPr>
            <w:tcW w:w="9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169,242</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Supplies and Inventory</w:t>
      </w:r>
    </w:p>
    <w:p>
      <w:pPr>
        <w:spacing w:after="0" w:line="246"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As of September 30, 2022 and December 31, 2021, supplies and inventory consisted of $10.5 million and $8.2 million, respectively, of lab supplies and reagents consumed in the performance of testing services, and $3.3 million and $3.0 million, respectively, of inventory related to raw materials consumed in contract manufacturing process as well as finished diagnostic kits sourced from third parties related to product sales.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Accrued Liabilities</w:t>
      </w:r>
    </w:p>
    <w:p>
      <w:pPr>
        <w:spacing w:after="0" w:line="2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Accrued liabilities consisted of the following (in thousands of dollars):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200" w:type="dxa"/>
            <w:vAlign w:val="bottom"/>
          </w:tcPr>
          <w:p>
            <w:pPr>
              <w:spacing w:after="0"/>
              <w:rPr>
                <w:sz w:val="17"/>
                <w:szCs w:val="17"/>
                <w:color w:val="auto"/>
              </w:rPr>
            </w:pPr>
          </w:p>
        </w:tc>
        <w:tc>
          <w:tcPr>
            <w:tcW w:w="164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compensation expenses</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25,732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30,792</w:t>
            </w:r>
          </w:p>
        </w:tc>
      </w:tr>
      <w:tr>
        <w:trPr>
          <w:trHeight w:val="20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Accrued other</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6,405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8,683</w:t>
            </w:r>
          </w:p>
        </w:tc>
      </w:tr>
      <w:tr>
        <w:trPr>
          <w:trHeight w:val="225"/>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accrued liabilities</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32,137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39,475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Business Combinations</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HalioDx</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On August 2, 2021, the Company acquired 100% of the equity interests, or the HalioDx Acquisition, of HalioDx SAS and 100% of the equity interest of HalioDx Inc., historically a wholly-owned subsidiary of HalioDx SAS, collectively referred to as HalioDx. The HalioDx Acquisition gave the Company the capabilities and expertise to manufacture its own IVD test kits for use on the nCounter Analysis System. The acquisition also deepened the Company's scientific expertise and capabilities in the rapidly growing area of immuno-oncology, further strengthening its offerings for biopharmaceutical and other partners. The consideration to acquire HalioDx was $319.6 million, composed of $147.1 million in the form of 3.3 million shares of the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common stock based on the Company's share price on the closing date, $4.2 million in liabilities, and the remainder in cash.</w:t>
      </w:r>
    </w:p>
    <w:p>
      <w:pPr>
        <w:spacing w:after="0" w:line="24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following table summarizes the fair values of assets acquired and liabilities assumed in the acquisition of HalioDx at the date of acquisition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68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5,938</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9,298</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Supplies inventory</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3,610</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Prepaids and other current assets</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7,045</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2,716</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assets, financing lease</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733</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Right-of-use assets, operating lease</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2,136</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60,303</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6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524</w:t>
            </w:r>
          </w:p>
        </w:tc>
      </w:tr>
      <w:tr>
        <w:trPr>
          <w:trHeight w:val="195"/>
        </w:trPr>
        <w:tc>
          <w:tcPr>
            <w:tcW w:w="9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identifiable assets acquired</w:t>
            </w:r>
          </w:p>
        </w:tc>
        <w:tc>
          <w:tcPr>
            <w:tcW w:w="680" w:type="dxa"/>
            <w:vAlign w:val="bottom"/>
          </w:tcPr>
          <w:p>
            <w:pPr>
              <w:spacing w:after="0"/>
              <w:rPr>
                <w:sz w:val="16"/>
                <w:szCs w:val="16"/>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92,303</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payable</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(2,645)</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(5,627)</w:t>
            </w:r>
          </w:p>
        </w:tc>
      </w:tr>
      <w:tr>
        <w:trPr>
          <w:trHeight w:val="207"/>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Current portion of financing lease liability</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r>
      <w:tr>
        <w:trPr>
          <w:trHeight w:val="202"/>
        </w:trPr>
        <w:tc>
          <w:tcPr>
            <w:tcW w:w="93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Current portion of operating lease liability</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w:t>
            </w:r>
          </w:p>
        </w:tc>
      </w:tr>
      <w:tr>
        <w:trPr>
          <w:trHeight w:val="207"/>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Long-term debt</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w:t>
            </w:r>
          </w:p>
        </w:tc>
      </w:tr>
      <w:tr>
        <w:trPr>
          <w:trHeight w:val="202"/>
        </w:trPr>
        <w:tc>
          <w:tcPr>
            <w:tcW w:w="93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Deferred revenue</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(3,250)</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Financing lease liability, net of current portion</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liability, net of current portion</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(1,687)</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liability</w:t>
            </w:r>
          </w:p>
        </w:tc>
        <w:tc>
          <w:tcPr>
            <w:tcW w:w="6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(6,946)</w:t>
            </w:r>
          </w:p>
        </w:tc>
      </w:tr>
      <w:tr>
        <w:trPr>
          <w:trHeight w:val="195"/>
        </w:trPr>
        <w:tc>
          <w:tcPr>
            <w:tcW w:w="9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identifiable assets acquired</w:t>
            </w:r>
          </w:p>
        </w:tc>
        <w:tc>
          <w:tcPr>
            <w:tcW w:w="680" w:type="dxa"/>
            <w:vAlign w:val="bottom"/>
          </w:tcPr>
          <w:p>
            <w:pPr>
              <w:spacing w:after="0"/>
              <w:rPr>
                <w:sz w:val="16"/>
                <w:szCs w:val="16"/>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69,794</w:t>
            </w:r>
          </w:p>
        </w:tc>
      </w:tr>
      <w:tr>
        <w:trPr>
          <w:trHeight w:val="20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6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249,846</w:t>
            </w:r>
          </w:p>
        </w:tc>
      </w:tr>
      <w:tr>
        <w:trPr>
          <w:trHeight w:val="200"/>
        </w:trPr>
        <w:tc>
          <w:tcPr>
            <w:tcW w:w="9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purchase price</w:t>
            </w:r>
          </w:p>
        </w:tc>
        <w:tc>
          <w:tcPr>
            <w:tcW w:w="6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319,640</w:t>
            </w:r>
          </w:p>
        </w:tc>
      </w:tr>
      <w:tr>
        <w:trPr>
          <w:trHeight w:val="20"/>
        </w:trPr>
        <w:tc>
          <w:tcPr>
            <w:tcW w:w="9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Since the acquisition, the Company has recorded certain measurement period adjustments due to new information becoming available pertaining to the valuation of accounts payable and certain other assets. These adjustments were recorded as net increases to goodwill totaling $0.2 million and did not impact the condensed consolidated statements of operations.</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Decipher Biosciences</w:t>
      </w:r>
    </w:p>
    <w:p>
      <w:pPr>
        <w:spacing w:after="0" w:line="24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On March 12, 2021, the Company acquired 100% of the equity interests of Decipher Biosciences, a privately-held company developing diagnostic tests in urologic cancers, for approximately $594.7 million, or the Decipher Acquisition.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fair values of assets acquired and liabilities assumed through the Company's acquisition of Decipher Biosciences at the date of acquisition (in thousands):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68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19,782</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7,562</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Supplies inventory</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1,641</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Prepaids and other current assets</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778</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1,737</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assets, operating lease</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7,601</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Finite-lived intangible assets</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94,000</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Indefinite-lived intangible assets</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7,300</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146</w:t>
            </w:r>
          </w:p>
        </w:tc>
      </w:tr>
      <w:tr>
        <w:trPr>
          <w:trHeight w:val="202"/>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3,075</w:t>
            </w:r>
          </w:p>
        </w:tc>
      </w:tr>
      <w:tr>
        <w:trPr>
          <w:trHeight w:val="200"/>
        </w:trPr>
        <w:tc>
          <w:tcPr>
            <w:tcW w:w="9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identifiable assets acquired</w:t>
            </w: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143,622</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Accounts payable</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(2,351)</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(4,322)</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obligations (current)</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(1,241)</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obligations, net of current portion</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(4,540)</w:t>
            </w:r>
          </w:p>
        </w:tc>
      </w:tr>
      <w:tr>
        <w:trPr>
          <w:trHeight w:val="202"/>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Deferred tax liability</w:t>
            </w: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(4,740)</w:t>
            </w:r>
          </w:p>
        </w:tc>
      </w:tr>
      <w:tr>
        <w:trPr>
          <w:trHeight w:val="200"/>
        </w:trPr>
        <w:tc>
          <w:tcPr>
            <w:tcW w:w="9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identifiable assets acquired</w:t>
            </w: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126,428</w:t>
            </w:r>
          </w:p>
        </w:tc>
      </w:tr>
      <w:tr>
        <w:trPr>
          <w:trHeight w:val="202"/>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468,266</w:t>
            </w:r>
          </w:p>
        </w:tc>
      </w:tr>
      <w:tr>
        <w:trPr>
          <w:trHeight w:val="225"/>
        </w:trPr>
        <w:tc>
          <w:tcPr>
            <w:tcW w:w="9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purchase price</w:t>
            </w:r>
          </w:p>
        </w:tc>
        <w:tc>
          <w:tcPr>
            <w:tcW w:w="68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594,694</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measurement period concluded in March 2022, and no adjustments were recorded during the nine months ended September 30, 2022.</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Related Party Transactions</w:t>
      </w:r>
    </w:p>
    <w:p>
      <w:pPr>
        <w:spacing w:after="0" w:line="24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Members of Veracyte's board of directors, Dr. Tina S. Nova, Ph.D. and Dr. Robert S. Epstein, M.D., M.S., served on the board of directors of Decipher Biosciences prior to the acquisition of Decipher Biosciences, with Dr. Nova additionally serving as President and Chief Executive Officer of Decipher Biosciences. Pursuant to Veracyte's related party transactions policy, Dr. Nova and Dr. Epstein recused themselves from all discussions of its board of directors related to the Decipher Acquisition, and the Decipher Acquisition was approved by each of the non-interested members of the board of directors. In connection with the Decipher Acquisition, certain Decipher Biosciences equity awards held by Dr. Nova and Dr. Epstein were fully-accelerated and certain incentive bonus payments were made to Dr. Nova pursuant to a management incentive plan established by the Decipher Biosciences board of directors, resulting in payments of approximately $26.5 million and $1.4 million to each of them, respectively. Dr. Nova resigned from Veracyte’s board of directors and now serves as Veracyte's President of its CLIA US Business. Dr. Epstein continues to serve on Veracyte’s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w:t>
      </w:r>
    </w:p>
    <w:p>
      <w:pPr>
        <w:spacing w:after="0" w:line="21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1" w:lineRule="exact"/>
        <w:rPr>
          <w:sz w:val="20"/>
          <w:szCs w:val="20"/>
          <w:color w:val="auto"/>
        </w:rPr>
      </w:pPr>
    </w:p>
    <w:p>
      <w:pPr>
        <w:ind w:left="760" w:hanging="297"/>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 Inputs which include quoted prices in active markets for identical assets and liabilities;</w:t>
      </w:r>
    </w:p>
    <w:p>
      <w:pPr>
        <w:spacing w:after="0" w:line="111" w:lineRule="exact"/>
        <w:rPr>
          <w:rFonts w:ascii="Times New Roman" w:cs="Times New Roman" w:eastAsia="Times New Roman" w:hAnsi="Times New Roman"/>
          <w:sz w:val="17"/>
          <w:szCs w:val="17"/>
          <w:color w:val="auto"/>
        </w:rPr>
      </w:pPr>
    </w:p>
    <w:p>
      <w:pPr>
        <w:ind w:left="780" w:right="120" w:hanging="317"/>
        <w:spacing w:after="0" w:line="267" w:lineRule="auto"/>
        <w:tabs>
          <w:tab w:leader="none" w:pos="7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ind w:left="760" w:hanging="297"/>
        <w:spacing w:after="0"/>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4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includes money market funds and deposits for leases of the Company's facilities. Money market funds, included in cash and cash equivalents in the accompanying condensed consolidated balance sheets, were $108.7 million and $159.2 million as of September 30, 2022 and December 31, 2021, respectively, and are Level I assets as described above. The deposits for the leases, included in restricted cash, were $0.7 million as of both September 30, 2022 and December 31, 2021 and are a Level I assets as described above. There were no transfers between Levels 1, 2 or 3 for the three and nine months ended September 30, 2022 and 2021.</w:t>
      </w:r>
    </w:p>
    <w:p>
      <w:pPr>
        <w:spacing w:after="0" w:line="173" w:lineRule="exact"/>
        <w:rPr>
          <w:sz w:val="20"/>
          <w:szCs w:val="20"/>
          <w:color w:val="auto"/>
        </w:rPr>
      </w:pPr>
    </w:p>
    <w:p>
      <w:pPr>
        <w:jc w:val="both"/>
        <w:ind w:firstLine="384"/>
        <w:spacing w:after="0" w:line="253" w:lineRule="auto"/>
        <w:rPr>
          <w:sz w:val="20"/>
          <w:szCs w:val="20"/>
          <w:color w:val="auto"/>
        </w:rPr>
      </w:pPr>
      <w:r>
        <w:rPr>
          <w:rFonts w:ascii="Times New Roman" w:cs="Times New Roman" w:eastAsia="Times New Roman" w:hAnsi="Times New Roman"/>
          <w:sz w:val="17"/>
          <w:szCs w:val="17"/>
          <w:color w:val="auto"/>
        </w:rPr>
        <w:t>On December 3, 2019, the Company acquired from NanoString the exclusive global diagnostics license to the nCounter Analysis System, the Prosigna breast cancer prognostic gene signature assay, and the LymphMark lymphoma subtyping assay. Pursuant to the terms of the agreement, Veracyte paid NanoString $40.0 million in cash and $10.0 million in Veracyte common stock, and may pay up to an additional $10.0 million in cash, contingent upon first achievement or occurrence, by or on behalf of Veracyte, of the commercial launch of the first, second and third diagnostic tests for use on the nCounter multiplex analysis system. This contingency was valued at $6.1 million as of the acquisition date and is remeasured to fair value at each reporting date until the contingent consideration is settled. As of September 30, 2022 and December 31, 2021, this contingency was remeasured to $8.3 million and $8.4 million, respectively, with the corresponding changes included in general and administrative expense in the Company's condensed consolidated statements of operations. For the three months ended September 30, 2022 and 2021, expenses of zero and $0.1 million, respectively, were recorded in general and administrative expense for the changes in carrying value. For the nine months ended September 30, 2022 and 2021, a reversal of expense of $0.1 million and an expense of $0.3 million, respectively, were recorded. As of September 30, 2022, the achievement of two of the milestones is forecasted to occur within the next 12 months. As a result, $5.9 million of the contingent consideration is included in short term liabilities at September 30, 2022. The fair value of the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September 30, 2022 and December 31, 2021, the Company calculated the estimated fair value of the milestones using the following significant unobservable inputs: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5"/>
                <w:szCs w:val="15"/>
                <w:b w:val="1"/>
                <w:bCs w:val="1"/>
                <w:color w:val="auto"/>
              </w:rPr>
              <w:t>Value or Range (Weighted-Average)</w:t>
            </w:r>
          </w:p>
        </w:tc>
      </w:tr>
      <w:tr>
        <w:trPr>
          <w:trHeight w:val="202"/>
        </w:trPr>
        <w:tc>
          <w:tcPr>
            <w:tcW w:w="7340" w:type="dxa"/>
            <w:vAlign w:val="bottom"/>
            <w:tcBorders>
              <w:bottom w:val="single" w:sz="8" w:color="auto"/>
            </w:tcBorders>
          </w:tcPr>
          <w:p>
            <w:pPr>
              <w:ind w:left="3020"/>
              <w:spacing w:after="0"/>
              <w:rPr>
                <w:sz w:val="20"/>
                <w:szCs w:val="20"/>
                <w:color w:val="auto"/>
              </w:rPr>
            </w:pPr>
            <w:r>
              <w:rPr>
                <w:rFonts w:ascii="Times New Roman" w:cs="Times New Roman" w:eastAsia="Times New Roman" w:hAnsi="Times New Roman"/>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9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Discount rate</w:t>
            </w:r>
          </w:p>
        </w:tc>
        <w:tc>
          <w:tcPr>
            <w:tcW w:w="1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5.9%</w:t>
            </w:r>
          </w:p>
        </w:tc>
      </w:tr>
      <w:tr>
        <w:trPr>
          <w:trHeight w:val="20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Probability of achievement</w:t>
            </w:r>
          </w:p>
        </w:tc>
        <w:tc>
          <w:tcPr>
            <w:tcW w:w="186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80% - 100% (94%)</w:t>
            </w:r>
          </w:p>
        </w:tc>
        <w:tc>
          <w:tcPr>
            <w:tcW w:w="80" w:type="dxa"/>
            <w:vAlign w:val="bottom"/>
          </w:tcPr>
          <w:p>
            <w:pPr>
              <w:spacing w:after="0"/>
              <w:rPr>
                <w:sz w:val="17"/>
                <w:szCs w:val="17"/>
                <w:color w:val="auto"/>
              </w:rPr>
            </w:pPr>
          </w:p>
        </w:tc>
        <w:tc>
          <w:tcPr>
            <w:tcW w:w="186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80% - 100% (94%)</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 Held-to-Maturity</w:t>
      </w:r>
    </w:p>
    <w:p>
      <w:pPr>
        <w:spacing w:after="0" w:line="246"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7"/>
          <w:szCs w:val="17"/>
          <w:color w:val="auto"/>
        </w:rPr>
        <w:t>The Company's short-term investments consist of time deposits with a bank with maturities at the time of purchase that were between 90 days and one year. The Company classifies these investments as held-to-maturity debt securities, which are reported at amortized cost, and are Level II assets as described above. As of September 30, 2022, the Company held no short-term investments and, as of December 31, 2021, short-term investments were recorded at amortized cost of $4.0 million and had a fair value of approximately $4.0 million. As of September 30, 2022 and December 31, 2021, gross unrealized losses on short-term investments were insignificant.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Commitments and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w:t>
      </w:r>
    </w:p>
    <w:p>
      <w:pPr>
        <w:spacing w:after="0" w:line="22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The Company leases office and laboratory facilities in South San Francisco and San Diego, California, Austin, Texas, Marseille, France, and Richmond, Virginia, and leases certain equipment under various non-cancelable lease agreements. The lease terms extend to October 2030 and contain extension of lease terms and expansion options. The leases have a weighted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average remaining lease term of 4.1 years as of September 30, 2022. The Company had deposits of $0.7 million included in long-term assets as of both September 30, 2022, and December 31, 2021 restricted from withdrawal and held by banks in the form of collateral for irrevocable standby letters of credit held as security for the leases.</w:t>
      </w:r>
    </w:p>
    <w:p>
      <w:pPr>
        <w:spacing w:after="0" w:line="193"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 xml:space="preserve">The Company determined its operating lease liabilities using payments through their current expiration dates and a weighted average discount rate of 6.4%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or ASC 842, the Company classified its deferred rent for tenant improvements with its operating lease right-of-use assets on the consolidated balance sheets. In connection with the acquisition of Decipher Biosciences, the Company identified certain off-market rate leases and has estimated an intangible asset of $1.8 million which is included in operating lease assets and will be amortized over the remaining lease term.</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Future minimum lease payments under non-cancelable operating leases as of September 30, 2022 are as follows (in thousands of dollars):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Ending December 31,</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Amounts</w:t>
            </w:r>
          </w:p>
        </w:tc>
      </w:tr>
      <w:tr>
        <w:trPr>
          <w:trHeight w:val="20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Remainder of 2022</w:t>
            </w: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1,149</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4,654</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4,423</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4,474</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w:t>
            </w:r>
          </w:p>
        </w:tc>
      </w:tr>
      <w:tr>
        <w:trPr>
          <w:trHeight w:val="202"/>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1,524</w:t>
            </w:r>
          </w:p>
        </w:tc>
      </w:tr>
      <w:tr>
        <w:trPr>
          <w:trHeight w:val="200"/>
        </w:trPr>
        <w:tc>
          <w:tcPr>
            <w:tcW w:w="9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future minimum lease payments</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17,613</w:t>
            </w:r>
          </w:p>
        </w:tc>
      </w:tr>
      <w:tr>
        <w:trPr>
          <w:trHeight w:val="202"/>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amount representing interest</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2,128</w:t>
            </w:r>
          </w:p>
        </w:tc>
      </w:tr>
      <w:tr>
        <w:trPr>
          <w:trHeight w:val="200"/>
        </w:trPr>
        <w:tc>
          <w:tcPr>
            <w:tcW w:w="9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Present value of future lease payments</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15,485</w:t>
            </w:r>
          </w:p>
        </w:tc>
      </w:tr>
      <w:tr>
        <w:trPr>
          <w:trHeight w:val="202"/>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short-term lease liabilities</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3,958</w:t>
            </w:r>
          </w:p>
        </w:tc>
      </w:tr>
      <w:tr>
        <w:trPr>
          <w:trHeight w:val="225"/>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Long-term lease liabilities</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11,527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99"/>
        </w:trPr>
        <w:tc>
          <w:tcPr>
            <w:tcW w:w="45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expense</w:t>
            </w:r>
          </w:p>
        </w:tc>
        <w:tc>
          <w:tcPr>
            <w:tcW w:w="110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982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3,271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2,460</w:t>
            </w:r>
          </w:p>
        </w:tc>
      </w:tr>
      <w:tr>
        <w:trPr>
          <w:trHeight w:val="200"/>
        </w:trPr>
        <w:tc>
          <w:tcPr>
            <w:tcW w:w="4560" w:type="dxa"/>
            <w:vAlign w:val="bottom"/>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100" w:type="dxa"/>
            <w:vAlign w:val="bottom"/>
          </w:tcPr>
          <w:p>
            <w:pPr>
              <w:jc w:val="right"/>
              <w:ind w:right="94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1,148</w:t>
            </w:r>
          </w:p>
        </w:tc>
        <w:tc>
          <w:tcPr>
            <w:tcW w:w="100" w:type="dxa"/>
            <w:vAlign w:val="bottom"/>
          </w:tcPr>
          <w:p>
            <w:pPr>
              <w:spacing w:after="0"/>
              <w:rPr>
                <w:sz w:val="17"/>
                <w:szCs w:val="17"/>
                <w:color w:val="auto"/>
              </w:rPr>
            </w:pPr>
          </w:p>
        </w:tc>
        <w:tc>
          <w:tcPr>
            <w:tcW w:w="1080" w:type="dxa"/>
            <w:vAlign w:val="bottom"/>
          </w:tcPr>
          <w:p>
            <w:pPr>
              <w:jc w:val="right"/>
              <w:ind w:right="923"/>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1,011</w:t>
            </w:r>
          </w:p>
        </w:tc>
        <w:tc>
          <w:tcPr>
            <w:tcW w:w="8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3,360</w:t>
            </w:r>
          </w:p>
        </w:tc>
        <w:tc>
          <w:tcPr>
            <w:tcW w:w="80" w:type="dxa"/>
            <w:vAlign w:val="bottom"/>
          </w:tcPr>
          <w:p>
            <w:pPr>
              <w:spacing w:after="0"/>
              <w:rPr>
                <w:sz w:val="17"/>
                <w:szCs w:val="17"/>
                <w:color w:val="auto"/>
              </w:rPr>
            </w:pPr>
          </w:p>
        </w:tc>
        <w:tc>
          <w:tcPr>
            <w:tcW w:w="380" w:type="dxa"/>
            <w:vAlign w:val="bottom"/>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2,518</w:t>
            </w:r>
          </w:p>
        </w:tc>
      </w:tr>
    </w:tbl>
    <w:p>
      <w:pPr>
        <w:spacing w:after="0" w:line="309"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company has leased laboratory equipment under various financing leases. The total right-of-use assets and total financing lease liabilities for these financing leases were $0.4 million and $0.5 million, respectively, as of September 30, 2022, and are included in property and equipment, net and other liabilities in the accompanying condensed consolidated balance sheets. As of December 31, 2021, the total right-of-use assets and total financing lease liabilities for these financing leases were $0.7 million and $0.6 million, respectively.</w:t>
      </w:r>
    </w:p>
    <w:p>
      <w:pPr>
        <w:spacing w:after="0" w:line="19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Company’s wholly-owned foreign subsidiary has entered into an arrangement under which it expects to sign a lease agreement for facilities which will be constructed in Marseille, France. The lease will commence upon completion of the construction of the office building which the Company currently expects to occur in the fourth quarter of 2023 at which time the Company will record a lease liability and a corresponding ROU asset. The initial term of the lease will be twelve years with annual rent of approximately $1.4 million, which is subject to change based on final construction.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22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From time to time, the Company may be involved in legal proceedings arising in the ordinary course of business. The Company assesses contingencies to determine the degree of probability and range of possible loss for potential accrual in its condensed consolidated financial statements. An estimated loss contingency is accrued in the financial statements if it is probable that a liability has been incurred and the amount of the loss can be reasonably estimated. The Company believes there are no legal proceedings pending that could have, either individually or in the aggregate, a material adverse effect on the Company’s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Debt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 and Security Agreement</w:t>
      </w:r>
    </w:p>
    <w:p>
      <w:pPr>
        <w:spacing w:after="0" w:line="21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On November 3, 2017, the Company entered into a loan and security agreement, or Loan and Security Agreement, with Silicon Valley Bank. The Loan and Security Agreement allowed the Company to borrow up to $35.0 million, with a $25.0 million advance term loan, or Term Loan Advance, and a revolving line of credit of up to $10.0 million, or Revolving Line of Credit. The Company had not drawn on the Revolving Line of Credit as of September 30, 2022. Borrowings under the Loan and Security Agreement matured on October 1, 2022. Amounts were borrowed and repaid under the Revolving Line of Credit up until the earliest of full repayment or maturity of the Loan and Security Agreement, termination of the Loan and Security Agreement, or October 1, 2022.</w:t>
      </w:r>
    </w:p>
    <w:p>
      <w:pPr>
        <w:spacing w:after="0" w:line="17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The Term Loan Advance bore interest at a variable rate equal to (i) the thirty-day U.S. London Interbank Offer Rate, or LIBOR, plus (ii) 4.20%, with a minimum rate of 5.43% per annum. Principal amounts outstanding under the Revolving Line of Credit bore interest at a variable rate equal to (i) LIBOR plus (ii) 3.50%, with a minimum rate of 4.70% per annum.</w:t>
      </w:r>
    </w:p>
    <w:p>
      <w:pPr>
        <w:spacing w:after="0" w:line="167"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A final payment on the Term Loan Advance in the amount of $1.2 million was due upon the earlier of the maturity date of the Term Loan Advance or its payment in full. The Loan and Security Agreement contained customary representations, warranties, and events of default, as well as affirmative and negative covenants. As of September 30, 2022, the Company was in compliance with the loan covenants. The Company’s obligations under the Loan and Security Agreement were secured by substantially all of its assets (excluding intellectual property), subject to certain customary exceptions.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debt obligation for borrowings made under the Loan and Security Agreement was as follows (in thousands of dollars):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principal</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End-of-term debt obligation</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1,026</w:t>
            </w:r>
          </w:p>
        </w:tc>
      </w:tr>
      <w:tr>
        <w:trPr>
          <w:trHeight w:val="225"/>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debt obligation</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As of September 30, 2022, the principal balance outstanding was one dollar. In October 2022, the Loan and Security Agreement matured, and the outstanding principal and final payment, totaling $1.2 million, was repaid in full.</w:t>
      </w:r>
    </w:p>
    <w:p>
      <w:pPr>
        <w:spacing w:after="0" w:line="152"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The end-of-term debt obligation accreted over the term of the Loan and Security Agreement until maturity and is included in other income(loss), net in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Stockholders’ Equity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 had reserved shares of common stock for issuance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184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 and restricted stock units issued and outstanding</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6,502,656</w:t>
            </w:r>
          </w:p>
        </w:tc>
        <w:tc>
          <w:tcPr>
            <w:tcW w:w="12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4,892,164</w:t>
            </w: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options and restricted stock units available for grant under stock option plans</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5,189,164</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4,418,364</w:t>
            </w:r>
          </w:p>
        </w:tc>
      </w:tr>
      <w:tr>
        <w:trPr>
          <w:trHeight w:val="20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 available for the Employee Stock Purchase Plan</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1,335,353</w:t>
            </w:r>
          </w:p>
        </w:tc>
        <w:tc>
          <w:tcPr>
            <w:tcW w:w="12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1,490,130</w:t>
            </w:r>
          </w:p>
        </w:tc>
      </w:tr>
      <w:tr>
        <w:trPr>
          <w:trHeight w:val="200"/>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13,027,173</w:t>
            </w: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10,800,658</w:t>
            </w:r>
          </w:p>
        </w:tc>
      </w:tr>
      <w:tr>
        <w:trPr>
          <w:trHeight w:val="20"/>
        </w:trPr>
        <w:tc>
          <w:tcPr>
            <w:tcW w:w="74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Components of Other Income (Loss)</w:t>
      </w:r>
    </w:p>
    <w:p>
      <w:pPr>
        <w:spacing w:after="0" w:line="2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Other income (loss), net consists of the following (in thousands of dollars):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340" w:type="dxa"/>
            <w:vAlign w:val="bottom"/>
          </w:tcPr>
          <w:p>
            <w:pPr>
              <w:spacing w:after="0"/>
              <w:rPr>
                <w:sz w:val="17"/>
                <w:szCs w:val="17"/>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99"/>
        </w:trPr>
        <w:tc>
          <w:tcPr>
            <w:tcW w:w="43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French research tax credits</w:t>
            </w:r>
          </w:p>
        </w:tc>
        <w:tc>
          <w:tcPr>
            <w:tcW w:w="112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962</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419</w:t>
            </w:r>
          </w:p>
        </w:tc>
      </w:tr>
      <w:tr>
        <w:trPr>
          <w:trHeight w:val="202"/>
        </w:trPr>
        <w:tc>
          <w:tcPr>
            <w:tcW w:w="4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1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46</w:t>
            </w:r>
          </w:p>
        </w:tc>
      </w:tr>
      <w:tr>
        <w:trPr>
          <w:trHeight w:val="20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r>
      <w:tr>
        <w:trPr>
          <w:trHeight w:val="202"/>
        </w:trPr>
        <w:tc>
          <w:tcPr>
            <w:tcW w:w="4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currency revaluation</w:t>
            </w:r>
          </w:p>
        </w:tc>
        <w:tc>
          <w:tcPr>
            <w:tcW w:w="1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(1,159)</w:t>
            </w:r>
          </w:p>
        </w:tc>
      </w:tr>
      <w:tr>
        <w:trPr>
          <w:trHeight w:val="20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109</w:t>
            </w:r>
          </w:p>
        </w:tc>
      </w:tr>
      <w:tr>
        <w:trPr>
          <w:trHeight w:val="198"/>
        </w:trPr>
        <w:tc>
          <w:tcPr>
            <w:tcW w:w="4340" w:type="dxa"/>
            <w:vAlign w:val="bottom"/>
          </w:tcPr>
          <w:p>
            <w:pPr>
              <w:spacing w:after="0"/>
              <w:rPr>
                <w:sz w:val="17"/>
                <w:szCs w:val="17"/>
                <w:color w:val="auto"/>
              </w:rPr>
            </w:pPr>
          </w:p>
        </w:tc>
        <w:tc>
          <w:tcPr>
            <w:tcW w:w="1120" w:type="dxa"/>
            <w:vAlign w:val="bottom"/>
            <w:tcBorders>
              <w:bottom w:val="single" w:sz="8" w:color="auto"/>
            </w:tcBorders>
          </w:tcPr>
          <w:p>
            <w:pPr>
              <w:jc w:val="right"/>
              <w:ind w:right="9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805</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2,675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w:t>
            </w:r>
          </w:p>
        </w:tc>
      </w:tr>
      <w:tr>
        <w:trPr>
          <w:trHeight w:val="21"/>
        </w:trPr>
        <w:tc>
          <w:tcPr>
            <w:tcW w:w="4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21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Company recorded income tax benefits of $0.2 million and $1.4 million for the three months ended September 30, 2022 and 2021, respectively, and $0.3 million and $5.3 million for the nine months ended September 30, 2022 and 2021, respectively. The income tax benefit for 2021 was primarily impacted by a discrete tax adjustment related to the release of certain valuation allowances on the Company's deferred tax assets upon recording of the deferred tax liabilities for the acquisition of Decipher Biosciences.</w:t>
      </w:r>
    </w:p>
    <w:p>
      <w:pPr>
        <w:spacing w:after="0" w:line="196"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On August 16, 2022, the U.S. enacted the Inflation Reduction Act of 2022, which, among other things, implements a 15% minimum tax on book income of certain large corporations, a 1% excise tax on net stock repurchases and several tax incentives to promote clean energy. Based on its current analysis of the provisions, the Company does not believe this legislation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14" w:lineRule="exact"/>
        <w:rPr>
          <w:sz w:val="20"/>
          <w:szCs w:val="20"/>
          <w:color w:val="auto"/>
        </w:rPr>
      </w:pPr>
    </w:p>
    <w:p>
      <w:pPr>
        <w:jc w:val="both"/>
        <w:ind w:firstLine="384"/>
        <w:spacing w:after="0" w:line="289"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in conjunction with our consolidated financial statements and the related notes and other financial information included elsewhere in this Quarterly Report on Form 10-Q.</w:t>
      </w:r>
    </w:p>
    <w:p>
      <w:pPr>
        <w:spacing w:after="0" w:line="169"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7"/>
          <w:szCs w:val="17"/>
          <w:i w:val="1"/>
          <w:iCs w:val="1"/>
          <w:color w:val="auto"/>
        </w:rPr>
        <w:t>As discussed in the section titled “Special Note Regarding Forward 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in the section titled “Risk Factors” under Part II, Item 1A.</w:t>
      </w:r>
    </w:p>
    <w:p>
      <w:pPr>
        <w:spacing w:after="0" w:line="194"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When used in this report, all references to "Veracyte," the "company," "we," "our" and "us" refer to Veracyte, Inc., together with its consolidated subsidiaries, unless otherwise noted.</w:t>
      </w:r>
    </w:p>
    <w:p>
      <w:pPr>
        <w:spacing w:after="0" w:line="152"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7"/>
          <w:szCs w:val="17"/>
          <w:color w:val="auto"/>
        </w:rPr>
        <w:t>Veracyte, the Veracyte logo, HalioDx, Decipher, Decipher GRID, Afirma, Percepta, Envisia, Prosigna, LymphMark, Immunoscore, TMExplore, Brightplex, Immunosign, “Know by Design” and “More about You” are registered trademarks of Veracyte, Inc. and its subsidiaries in the U.S. and selected countries. nCounter is the registered trademark of NanoString Technologies, Inc., or NanoString, in the U.S. and selected countries and used by Veracyte under license.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8"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We are a global diagnostics company that improves patient care by answering important clinical questions to inform diagnosis and treatment decisions throughout the patient journey in cancer and other diseases. Our growing menu of tests leverages advances in molecular science and machine learning technology to improve care for patients, enabling them to avoid risky, costly procedures and interventions, and reduce time to appropriate treatment.</w:t>
      </w:r>
    </w:p>
    <w:p>
      <w:pPr>
        <w:spacing w:after="0" w:line="65"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In addition to making our tests available in the United States through our central laboratories, our exclusive license for diagnostic rights to the nCounter Analysis System positions us to deliver our tests to patients worldwide through laboratories and hospitals that can perform the tests locally.</w:t>
      </w:r>
    </w:p>
    <w:p>
      <w:pPr>
        <w:spacing w:after="0" w:line="5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develop tests that address significant unmet clinical needs in the diagnosis, prognosis and treatment of cancer and other diseases. We deploy a comprehensive strategic planning approach that broadly examines the clinical care spectrum in areas where our unique approach and expertise may potentially benefit physicians, patients and payers. In each disease area, our medical affairs and research teams focus intensely on understanding the patient journey and analyzing critical points of clinical decision-making, where having better information can impact what happens next for the patient.</w:t>
      </w:r>
    </w:p>
    <w:p>
      <w:pPr>
        <w:spacing w:after="0" w:line="6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Our extensive team of research, bioinformatics and clinical professionals rely on deep scientific expertise and an extensive network of practicing physicians and key opinion leaders, or KOLs, to help inform new product development. This includes determining what clinical question each test should answer, where it should be positioned in the patient work-up and what sample type and technology should be used. We develop our molecular tests using advanced scientific methods, such as RNA whole-transcriptome sequencing and machine learning. Veracyte’s tests are purposefully designed to integrate easily into current physician protocols, delivering clinical utility and economic value to physicians, payers, and the healthcare system.</w:t>
      </w:r>
    </w:p>
    <w:p>
      <w:pPr>
        <w:spacing w:after="0" w:line="72"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We currently offer tests in thyroid cancer (Afirma); prostate cancer (Decipher Prostate); breast cancer (Prosigna); lung cancer (Percepta); interstitial lung diseases (Envisia); and bladder cancer (Decipher Bladder). Our tests for kidney cancer and lymphoma are in development, the latter as a companion diagnostic.</w:t>
      </w:r>
    </w:p>
    <w:p>
      <w:pPr>
        <w:spacing w:after="0" w:line="5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serve global markets with two complementary and inter-related models. In the United States, we offer laboratory developed tests, or LDTs, which we perform in our centralized, CLIA-certified laboratories in South San Francisco and San Diego, California, and Richmond, Virginia, supported by our cytopathology expertise in our Austin, Texas CLIA lab. In addition, outside of the United States, we intend to offer our tests as in vitro diagnostic, or IVD, tests that run on the nCounter Analysis System by laboratories that perform them for physicians and their patients locally. We believe our broad menu of advanced diagnostic tests, combined with our ability to deliver them globally, uniquely positions us in the diagnostics sector.</w:t>
      </w:r>
    </w:p>
    <w:p>
      <w:pPr>
        <w:spacing w:after="0" w:line="72"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In the process of developing leading diagnostics across the oncology market, we have collected a significant number of patient samples and proprietary data related to various cancer types. We combine these assets with our robust machine learning core competency to further enhance our research and clinical development capabilities, as well as build opportunities with biopharmaceutical and other partners.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In March 2021, Veracyte acquired Decipher Biosciences, expanding our genomic testing menu into urologic cancers. The acquisition also provided Veracyte with Decipher GRID (Genomics Resource for Intelligent Discovery), a platform and database that helps drive biopharmaceutical partnerships, KOL engagement and pipeline development in urologic cancers.</w:t>
      </w:r>
    </w:p>
    <w:p>
      <w:pPr>
        <w:spacing w:after="0" w:line="6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In August 2021, we acquired HalioDx, giving us the capabilities and expertise to manufacture our own IVD test kits for use on the nCounter Analysis System. The acquisition also deepened our scientific expertise and capabilities in the rapidly growing area of immuno-oncology, further strengthening our offerings for biopharmaceutical and other partners.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COVID-19 and Macroeconomic Factors</w:t>
      </w:r>
    </w:p>
    <w:p>
      <w:pPr>
        <w:spacing w:after="0" w:line="244"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believe the COVID-19 outbreak, including its numerous variants, has impacted our total test volumes primarily during 2020 and 2021. Our customers, third-party contract manufacturers, carriers, suppliers and collaboration partners have been affected by the closure of hospitals, doctors' offices, manufacturing sites, or country borders, among other measures put in place around the world. Layoffs, furloughs and unplanned loss of staff (due to vaccination status or other reasons) in the medical industry and otherwise during the pandemic have had, and will continue to have, negative impacts on the demand for and supply of medical care and diagnostic tests, which affects the frequency with which tests are ordered, and the ability of doctors and hospitals to administer such tests. Further the inability to travel and conduct face-to-face meetings can also make it more difficult to expand utilization of our products into new geographies and to drive awareness of our products.</w:t>
      </w:r>
    </w:p>
    <w:p>
      <w:pPr>
        <w:spacing w:after="0" w:line="205"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Our Decipher Prostate test has been least impacted by the pandemic because our customers are mostly community-based urology practices, which generally remained more accessible to patients and our sales reps. Our Afirma thyroid cancer test was impacted by COVID-19 in 2020 and portions of 2021 as a majority of our samples come from large institutions which are less accessible to patients and our reps. We believe our pulmonology business has been the most impacted since the bronchoscopy procedures used to collect samples for our Percepta and Envisia tests are considered elective procedures and are performed in hospital settings, which have been more restrictive, and these tests are ordered by pulmonologists who could be largely preoccupied with caring for COVID-19 patients.</w:t>
      </w:r>
    </w:p>
    <w:p>
      <w:pPr>
        <w:spacing w:after="0" w:line="20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The rapid increase in daily COVID-19 testing consumes reagents and supplies otherwise available to diagnostic testing companies like ours across the United States. When not limited by the expiration date of products, and when we feel it reasonable and feasible to do so, we are taking steps to manage our level of stock reserves, develop alternative sources of supply and implement procedures to mitigate the impact on our supply chain and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total test volumes or levels of revenue.</w:t>
      </w:r>
    </w:p>
    <w:p>
      <w:pPr>
        <w:spacing w:after="0" w:line="19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In addition, ongoing interest rate increases and persistent inflation in the U.S. and other markets globally may increase the risk of an economic recession and volatility and dislocation in the capital or credit markets in the U.S. or globally. Moreover, the continued strengthening of the U.S. dollar compared to other currencies (including the Euro, in which a material portion of our European sales are denominated), has impacted and may continue to impact our results of operations. We intend to continue to monitor macroeconomic conditions closely and may determine to take certain financial or operational actions in response to such conditions as appropriate.</w:t>
      </w:r>
    </w:p>
    <w:p>
      <w:pPr>
        <w:spacing w:after="0" w:line="20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extent of the impact of COVID-19 and other macroeconomic factors on our future liquidity and operational performance will depend on certain developments, including the deployment and long-term efficacy of vaccines; the duration and spread of the outbreak particularly in the form of more transmissible variants; the impact on our customers' operations; the impact to our sales and renewal cycles; changes in central bank policies and interest rates; rates of inflation; and changes in foreign currency exchange rates. See Risk Factors for further discussion.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Reported Total Test Volume</w:t>
      </w:r>
    </w:p>
    <w:p>
      <w:pPr>
        <w:spacing w:after="0" w:line="22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Our performance depends on the number of tests that we perform and report as completed in our CLIA-certified laboratories and Prosigna tests processed on the nCounter Analysis System. Factors impacting the number of tests that we report as completed include, but are not limited to:</w:t>
      </w:r>
    </w:p>
    <w:p>
      <w:pPr>
        <w:spacing w:after="0" w:line="152" w:lineRule="exact"/>
        <w:rPr>
          <w:sz w:val="20"/>
          <w:szCs w:val="20"/>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COVID-19 on patients seeking to have tests performed;</w:t>
      </w:r>
    </w:p>
    <w:p>
      <w:pPr>
        <w:spacing w:after="0" w:line="26"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hospital staff to perform and support procedures needed to collect samples for our tests;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left="920" w:hanging="303"/>
        <w:spacing w:after="0"/>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samples that we receive that meet the medical indication for each test performed;</w:t>
      </w:r>
    </w:p>
    <w:p>
      <w:pPr>
        <w:spacing w:after="0" w:line="26"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quantity and quality of the sample received;</w:t>
      </w:r>
    </w:p>
    <w:p>
      <w:pPr>
        <w:spacing w:after="0" w:line="9"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the necessary documentation, such as physician order and patient consent, required to perform, bill and collect for our tests;</w:t>
      </w:r>
    </w:p>
    <w:p>
      <w:pPr>
        <w:spacing w:after="0" w:line="9"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patient's ability to pay or provide necessary insurance coverage for the tests performed;</w:t>
      </w:r>
    </w:p>
    <w:p>
      <w:pPr>
        <w:spacing w:after="0" w:line="9"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it takes us to perform our tests and report the results;</w:t>
      </w:r>
    </w:p>
    <w:p>
      <w:pPr>
        <w:spacing w:after="0" w:line="9" w:lineRule="exact"/>
        <w:rPr>
          <w:rFonts w:ascii="Times New Roman" w:cs="Times New Roman" w:eastAsia="Times New Roman" w:hAnsi="Times New Roman"/>
          <w:sz w:val="17"/>
          <w:szCs w:val="17"/>
          <w:color w:val="auto"/>
        </w:rPr>
      </w:pPr>
    </w:p>
    <w:p>
      <w:pPr>
        <w:ind w:left="920" w:hanging="303"/>
        <w:spacing w:after="0" w:line="251" w:lineRule="auto"/>
        <w:tabs>
          <w:tab w:leader="none" w:pos="9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seasonality inherent in our business, such as the impact of work-days per period, timing of industry conferences and timing of when patient deductibles are exceeded, which also impacts the reimbursement we receive from insurers; and</w:t>
      </w:r>
    </w:p>
    <w:p>
      <w:pPr>
        <w:ind w:left="920" w:hanging="303"/>
        <w:spacing w:after="0" w:line="263" w:lineRule="auto"/>
        <w:tabs>
          <w:tab w:leader="none" w:pos="9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prior authorization or meet other requirements instituted by payers, benefit managers, or regulators necessary to be paid for our tests.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Continued Adoption of and Reimbursement for our Products</w:t>
      </w:r>
    </w:p>
    <w:p>
      <w:pPr>
        <w:spacing w:after="0" w:line="220"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Integrating Acquired Assets and Advancing our Collaborations</w:t>
      </w:r>
    </w:p>
    <w:p>
      <w:pPr>
        <w:spacing w:after="0" w:line="22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Revenue growth, operational results and advances to our business strategy depends on our ability to integrate any acquired assets into our existing business. The integration of acquired assets may impact our revenue growth, increase the cost of operations, cause significant write-offs of intangible assets, or may require management resources that otherwise would be available for ongoing development of our existing business. The integration of assets acquired from Decipher Biosciences in March 2021 and HalioDx in August 2021 may impact our revenue and operating results as we integrate various functions.</w:t>
      </w:r>
    </w:p>
    <w:p>
      <w:pPr>
        <w:spacing w:after="0" w:line="171"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Revenue growth from our biopharmaceutical and IVD contract manufacturing partners depends on our ability to deliver services, information and/or achieve milestones.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We Recognize Revenue</w:t>
      </w:r>
    </w:p>
    <w:p>
      <w:pPr>
        <w:spacing w:after="0" w:line="242" w:lineRule="exact"/>
        <w:rPr>
          <w:sz w:val="20"/>
          <w:szCs w:val="20"/>
          <w:color w:val="auto"/>
        </w:rPr>
      </w:pPr>
    </w:p>
    <w:p>
      <w:pPr>
        <w:jc w:val="both"/>
        <w:ind w:firstLine="384"/>
        <w:spacing w:after="0" w:line="270" w:lineRule="auto"/>
        <w:rPr>
          <w:sz w:val="20"/>
          <w:szCs w:val="20"/>
          <w:color w:val="auto"/>
        </w:rPr>
      </w:pPr>
      <w:r>
        <w:rPr>
          <w:rFonts w:ascii="Times New Roman" w:cs="Times New Roman" w:eastAsia="Times New Roman" w:hAnsi="Times New Roman"/>
          <w:sz w:val="17"/>
          <w:szCs w:val="17"/>
          <w:color w:val="auto"/>
        </w:rPr>
        <w:t xml:space="preserve">We recognize revenue in accordance with the provisions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Testing Revenue</w:t>
      </w:r>
    </w:p>
    <w:p>
      <w:pPr>
        <w:spacing w:after="0" w:line="24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bill for testing services at the time of test completion as defined by the delivery of test results.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20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67"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71"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71"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67"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We incur expense for tests in the period in which the test is conducted and recognize revenue for tests in the period in which our revenue recognition criteria are met.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Revenue</w:t>
      </w:r>
    </w:p>
    <w:p>
      <w:pPr>
        <w:spacing w:after="0" w:line="218"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Our products consist of the Prosigna breast cancer assay, the nCounter Analysis System and related diagnostic kits.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Biopharmaceutical and Other Revenue</w:t>
      </w:r>
    </w:p>
    <w:p>
      <w:pPr>
        <w:spacing w:after="0" w:line="218"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 xml:space="preserve">We enter into arrangements to license or provide access to our assets or services, including testing services, clinical services, research and development, contract manufacturing and development, as well as other services. Such arrangements may require us to deliver various rights, data, services, manufactured diagnostic test kits, access and/or testing services to partner biopharmaceutical companies. One such arrangement is a collaborative arrangement that falls under the scope of ASC Topic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xml:space="preserve"> or ASC 808.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Milestone payments which fall under the scope of ASC 808, are recognized in the same manner as milestone payments from customers and are considered to be collaboration revenue. Payments received that are not related to sales or services to a customer or collaboration revenue are recorded as offsets against research and development expense or cost of biopharmaceutical and other revenue in our consolidated statements of operations.</w:t>
      </w:r>
    </w:p>
    <w:p>
      <w:pPr>
        <w:spacing w:after="0" w:line="202"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Timing of Our Research and Development Expenses</w:t>
      </w:r>
    </w:p>
    <w:p>
      <w:pPr>
        <w:spacing w:after="0" w:line="207"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deploy state-of-the-art and costly genomic technologies in our biomarker discovery experiments, and our spending on these technologies may vary substantially from quarter to quarter. We also spend a significant amount on activities to secure clinical trial results in support of our testing and product development portfolio and on-market tests, as well as clinical validation and utilization studies. The timing of these research and development activities is difficult to predict, as is the timing of clinical trial enrollments and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Overview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Through September 30, 2022, we had derived most of our revenue from the sale of Decipher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60" w:type="dxa"/>
            <w:vAlign w:val="bottom"/>
          </w:tcPr>
          <w:p>
            <w:pPr>
              <w:spacing w:after="0"/>
              <w:rPr>
                <w:sz w:val="17"/>
                <w:szCs w:val="17"/>
                <w:color w:val="auto"/>
              </w:rPr>
            </w:pPr>
          </w:p>
        </w:tc>
        <w:tc>
          <w:tcPr>
            <w:tcW w:w="3020" w:type="dxa"/>
            <w:vAlign w:val="bottom"/>
            <w:tcBorders>
              <w:bottom w:val="single" w:sz="8" w:color="auto"/>
            </w:tcBorders>
            <w:gridSpan w:val="4"/>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bottom w:val="single" w:sz="8" w:color="auto"/>
            </w:tcBorders>
            <w:gridSpan w:val="3"/>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199"/>
        </w:trPr>
        <w:tc>
          <w:tcPr>
            <w:tcW w:w="4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2021</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Medicare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r>
      <w:tr>
        <w:trPr>
          <w:trHeight w:val="20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UnitedHealthcare</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r>
      <w:tr>
        <w:trPr>
          <w:trHeight w:val="223"/>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Testing Revenue</w:t>
      </w:r>
    </w:p>
    <w:p>
      <w:pPr>
        <w:spacing w:after="0" w:line="22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The components of our cost of testing revenue are laboratory expenses, sample collection kit costs, sample collection expenses, compensation expense, license fees and royalties, depreciation,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testing revenue will be high as we expect to run suboptimal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batch sizes, run quality control batches, test batches, registry samples and generally incur costs that may suppress or reduce gross margins. This will disproportionately increase our aggregate cost of testing revenue until we achieve efficiencies in processing these new tests.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Revenue</w:t>
      </w:r>
    </w:p>
    <w:p>
      <w:pPr>
        <w:spacing w:after="0" w:line="24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Our cost of product revenue consists primarily of costs of purchasing instruments and diagnostic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Biopharmaceutical and Other Revenue</w:t>
      </w:r>
    </w:p>
    <w:p>
      <w:pPr>
        <w:spacing w:after="0" w:line="22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Our cost of biopharmaceutical and other revenue are the costs of performing activities under arrangements that require us to perform research and development, commercialization, contract manufacturing and development, and contract testing services on behalf of a customer. This cost is mainly composed of compensation expense, laboratory supplies and pass-through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2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support of our pipeline products in 2021 and in the nine months ended September 30, 2022. Going forward, we expect to incur significant expense as we invest in the development of our pipeline products, including required clinical studies, the development of current tests for the nCounter instrument and the transition of manufacturing to our Veracyte SAS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w:t>
      </w:r>
    </w:p>
    <w:p>
      <w:pPr>
        <w:spacing w:after="0" w:line="22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150 representatives is organized by business unit, with separate teams calling on thyroid cancer, urologic cancers, pulmonology and colorectal cancers physicians. The business units have dedicated marketing support, as well as a marketing operations team that serves the commercial organization broadly. Prosigna sales outside of the U.S. are led by country managers that call on laboratories and breast cancer oncologists, and have dedicated marketing support.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2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General and administrative expenses include costs related to the acquisitions of Decipher Biosciences and HalioDx, which were included in general and administrative compensation expense and professional fees. We expect general and administrative expenses to continue to increase as we build our infrastructure to scale revenue, and to stabilize thereafter.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 Amortization</w:t>
      </w:r>
    </w:p>
    <w:p>
      <w:pPr>
        <w:spacing w:after="0" w:line="22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Our finite-lived intangible assets, acquired in business combinations, are being amortized over 4 to 15 years, using the straight-line method. Amortization expense is expected to be approximately $20.7 million per year through 2024 and decrease thereafter.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Interest expense is attributable to our borrowings under debt agreements and costs associated with the prepayment of debt.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(Loss), Net</w:t>
      </w:r>
    </w:p>
    <w:p>
      <w:pPr>
        <w:spacing w:after="0" w:line="22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Other income (loss), net consists primarily of realized and unrealized gains and losses on foreign currency transactions, French research tax credits, interest expense on our debt and interest income from our cash held in interest bearing accounts. The French research tax credits (crédit d’impôt recherche or CIR) are generated by our wholly-owned subsidiary, Veracyte SAS, in connection with its research efforts performed in Marseille, France.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Translation</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functional currency of our foreign subsidiary, Veracyte SAS,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 and expenses from our foreign subsidiaries are translated using the monthly average exchange rates in effect during the period in which the transactions occur. Foreign currency transaction gains and losses are recorded in other income (loss), net, on the condensed consolidated statements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Comparison of the three and nine months ended September 30, 2022 and 2021 (in thousands of dollars, except percentages and test volume):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8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Testing revenue</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64,577</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50,897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180,275</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134,768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45,507</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Product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8%</w:t>
            </w:r>
          </w:p>
        </w:tc>
        <w:tc>
          <w:tcPr>
            <w:tcW w:w="0" w:type="dxa"/>
            <w:vAlign w:val="bottom"/>
          </w:tcPr>
          <w:p>
            <w:pPr>
              <w:spacing w:after="0"/>
              <w:rPr>
                <w:sz w:val="1"/>
                <w:szCs w:val="1"/>
                <w:color w:val="auto"/>
              </w:rPr>
            </w:pPr>
          </w:p>
        </w:tc>
      </w:tr>
      <w:tr>
        <w:trPr>
          <w:trHeight w:val="202"/>
        </w:trPr>
        <w:tc>
          <w:tcPr>
            <w:tcW w:w="3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Biopharmaceutical and other revenue</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7,701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center"/>
              <w:ind w:right="43"/>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26,563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8,704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17,859</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205%</w:t>
            </w:r>
          </w:p>
        </w:tc>
        <w:tc>
          <w:tcPr>
            <w:tcW w:w="0" w:type="dxa"/>
            <w:vAlign w:val="bottom"/>
          </w:tcPr>
          <w:p>
            <w:pPr>
              <w:spacing w:after="0"/>
              <w:rPr>
                <w:sz w:val="1"/>
                <w:szCs w:val="1"/>
                <w:color w:val="auto"/>
              </w:rPr>
            </w:pPr>
          </w:p>
        </w:tc>
      </w:tr>
      <w:tr>
        <w:trPr>
          <w:trHeight w:val="200"/>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revenue</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75,592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60,370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216,239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152,178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64,061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of testing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202"/>
        </w:trPr>
        <w:tc>
          <w:tcPr>
            <w:tcW w:w="3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of product revenue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of biopharmaceutical and other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w w:val="99"/>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8,906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189%</w:t>
            </w:r>
          </w:p>
        </w:tc>
        <w:tc>
          <w:tcPr>
            <w:tcW w:w="0" w:type="dxa"/>
            <w:vAlign w:val="bottom"/>
          </w:tcPr>
          <w:p>
            <w:pPr>
              <w:spacing w:after="0"/>
              <w:rPr>
                <w:sz w:val="1"/>
                <w:szCs w:val="1"/>
                <w:color w:val="auto"/>
              </w:rPr>
            </w:pPr>
          </w:p>
        </w:tc>
      </w:tr>
      <w:tr>
        <w:trPr>
          <w:trHeight w:val="202"/>
        </w:trPr>
        <w:tc>
          <w:tcPr>
            <w:tcW w:w="3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rPr>
              <w:t>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9,725</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Selling and marketing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02"/>
        </w:trPr>
        <w:tc>
          <w:tcPr>
            <w:tcW w:w="3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(24,194)</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Intangible asset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4,983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w w:val="99"/>
              </w:rPr>
              <w:t>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195"/>
        </w:trPr>
        <w:tc>
          <w:tcPr>
            <w:tcW w:w="3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85,272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77,051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center"/>
              <w:ind w:right="43"/>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251,900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221,748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30,152</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(35,661)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33,909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(49)%</w:t>
            </w:r>
          </w:p>
        </w:tc>
        <w:tc>
          <w:tcPr>
            <w:tcW w:w="0" w:type="dxa"/>
            <w:vAlign w:val="bottom"/>
          </w:tcPr>
          <w:p>
            <w:pPr>
              <w:spacing w:after="0"/>
              <w:rPr>
                <w:sz w:val="1"/>
                <w:szCs w:val="1"/>
                <w:color w:val="auto"/>
              </w:rPr>
            </w:pPr>
          </w:p>
        </w:tc>
      </w:tr>
      <w:tr>
        <w:trPr>
          <w:trHeight w:val="202"/>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income (loss), net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center"/>
              <w:ind w:right="43"/>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3,437</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(451)%</w:t>
            </w:r>
          </w:p>
        </w:tc>
        <w:tc>
          <w:tcPr>
            <w:tcW w:w="0" w:type="dxa"/>
            <w:vAlign w:val="bottom"/>
          </w:tcPr>
          <w:p>
            <w:pPr>
              <w:spacing w:after="0"/>
              <w:rPr>
                <w:sz w:val="1"/>
                <w:szCs w:val="1"/>
                <w:color w:val="auto"/>
              </w:rPr>
            </w:pPr>
          </w:p>
        </w:tc>
      </w:tr>
      <w:tr>
        <w:trPr>
          <w:trHeight w:val="20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before income taxes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37,346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2"/>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benefit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center"/>
              <w:ind w:right="43"/>
              <w:spacing w:after="0"/>
              <w:rPr>
                <w:sz w:val="20"/>
                <w:szCs w:val="20"/>
                <w:color w:val="auto"/>
              </w:rPr>
            </w:pPr>
            <w:r>
              <w:rPr>
                <w:rFonts w:ascii="Times New Roman" w:cs="Times New Roman" w:eastAsia="Times New Roman" w:hAnsi="Times New Roman"/>
                <w:sz w:val="15"/>
                <w:szCs w:val="15"/>
                <w:color w:val="auto"/>
              </w:rPr>
              <w:t>(89)%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5,027</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(38)%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(32,716)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32,319</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Other Operating Data:</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Diagnostic tests reported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17,534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202"/>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Product tests sold</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center"/>
              <w:ind w:right="43"/>
              <w:spacing w:after="0"/>
              <w:rPr>
                <w:sz w:val="20"/>
                <w:szCs w:val="20"/>
                <w:color w:val="auto"/>
              </w:rPr>
            </w:pPr>
            <w:r>
              <w:rPr>
                <w:rFonts w:ascii="Times New Roman" w:cs="Times New Roman" w:eastAsia="Times New Roman" w:hAnsi="Times New Roman"/>
                <w:sz w:val="15"/>
                <w:szCs w:val="15"/>
                <w:color w:val="auto"/>
              </w:rPr>
              <w:t>11%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6,862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6,138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724</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test volume</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26,374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74,523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56,265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18,258</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w w:val="99"/>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200"/>
        </w:trPr>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7,442</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8,234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20,423</w:t>
            </w:r>
          </w:p>
        </w:tc>
        <w:tc>
          <w:tcPr>
            <w:tcW w:w="100" w:type="dxa"/>
            <w:vAlign w:val="bottom"/>
          </w:tcPr>
          <w:p>
            <w:pPr>
              <w:spacing w:after="0"/>
              <w:rPr>
                <w:sz w:val="17"/>
                <w:szCs w:val="17"/>
                <w:color w:val="auto"/>
              </w:rPr>
            </w:pP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16,154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4,269</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18"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 xml:space="preserve">Revenue increased $15.2 million for the three months ended September 30, 2022 compared to the same period in 2021. This was primarily due to a $13.7 million increase in testing revenue driven by a 27% volume increase in our diagnostic tests, as well as a $1.2 million increase in our Biopharmaceutical and other revenue. Testing revenue and tests reported for the three months ended September 30, 2022 increased primarily due to continued adoption of our Decipher and Afirma tests. Product revenue increased $0.4 million for the three months ended September 30, 2022 compared to the same period in 2021, primarily due to an increase in product tests sold and sales of the </w:t>
      </w:r>
      <w:r>
        <w:rPr>
          <w:rFonts w:ascii="Times New Roman" w:cs="Times New Roman" w:eastAsia="Times New Roman" w:hAnsi="Times New Roman"/>
          <w:sz w:val="17"/>
          <w:szCs w:val="17"/>
          <w:color w:val="231F20"/>
        </w:rPr>
        <w:t>nCounter Analysis System,</w:t>
      </w:r>
      <w:r>
        <w:rPr>
          <w:rFonts w:ascii="Times New Roman" w:cs="Times New Roman" w:eastAsia="Times New Roman" w:hAnsi="Times New Roman"/>
          <w:sz w:val="17"/>
          <w:szCs w:val="17"/>
          <w:color w:val="auto"/>
        </w:rPr>
        <w:t xml:space="preserve"> partially offset by a decline in currency exchange rates. Biopharmaceutical and other revenue primarily increased for the three months ended September 30, 2022 driven primarily by the contribution of the HalioDx acquisition.</w:t>
      </w:r>
    </w:p>
    <w:p>
      <w:pPr>
        <w:spacing w:after="0" w:line="199"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 xml:space="preserve">Revenue increased $64.1 million for the nine months ended September 30, 2022 compared to the same period in 2021. This was primarily due to a $45.5 million increase in testing revenue driven by a 35% volume increase in our diagnostic tests, as well as a $17.9 million increase in our Biopharmaceutical and other revenue. Testing revenue and tests reported for the nine months ended September 30, 2022 increased primarily due to the addition of the Decipher urology tests following our acquisition of Decipher Biosciences on March 12, 2021, which contributed $41.4 million to the increase in testing revenue during the nine months ended September 30, 2022. Product revenue increased $0.7 million for the nine months ended September 30, 2022 compared to the same period in 2021, primarily driven by an increase in product tests sold and sales of the </w:t>
      </w:r>
      <w:r>
        <w:rPr>
          <w:rFonts w:ascii="Times New Roman" w:cs="Times New Roman" w:eastAsia="Times New Roman" w:hAnsi="Times New Roman"/>
          <w:sz w:val="17"/>
          <w:szCs w:val="17"/>
          <w:color w:val="231F20"/>
        </w:rPr>
        <w:t>nCounter Analysis System,</w:t>
      </w:r>
      <w:r>
        <w:rPr>
          <w:rFonts w:ascii="Times New Roman" w:cs="Times New Roman" w:eastAsia="Times New Roman" w:hAnsi="Times New Roman"/>
          <w:sz w:val="17"/>
          <w:szCs w:val="17"/>
          <w:color w:val="auto"/>
        </w:rPr>
        <w:t xml:space="preserve"> partially offset by a decline in currency exchange rates. Biopharmaceutical and other revenue primarily increased for the nine months ended September 30, 2022 driven primarily by the contribution of the HalioDx acquisition.</w:t>
      </w: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Comparison of the three and nine months ended September 30, 2022 and 2021 is as follows (in thousands of dollars, except percentages):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2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testing revenue:</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Laboratory costs</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9,492</w:t>
            </w:r>
          </w:p>
        </w:tc>
        <w:tc>
          <w:tcPr>
            <w:tcW w:w="1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8,777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8 %</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27,790</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23,489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18 %</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Sample collection costs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80 %</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 expense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3,111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8,381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52 %</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License fees and royalties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0" w:type="dxa"/>
            <w:vAlign w:val="bottom"/>
          </w:tcPr>
          <w:p>
            <w:pPr>
              <w:spacing w:after="0"/>
              <w:rPr>
                <w:sz w:val="1"/>
                <w:szCs w:val="1"/>
                <w:color w:val="auto"/>
              </w:rPr>
            </w:pPr>
          </w:p>
        </w:tc>
      </w:tr>
      <w:tr>
        <w:trPr>
          <w:trHeight w:val="202"/>
        </w:trPr>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Allocations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1,253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262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21 %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4,233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3,188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0" w:type="dxa"/>
            <w:vAlign w:val="bottom"/>
          </w:tcPr>
          <w:p>
            <w:pPr>
              <w:spacing w:after="0"/>
              <w:rPr>
                <w:sz w:val="1"/>
                <w:szCs w:val="1"/>
                <w:color w:val="auto"/>
              </w:rPr>
            </w:pPr>
          </w:p>
        </w:tc>
      </w:tr>
      <w:tr>
        <w:trPr>
          <w:trHeight w:val="225"/>
        </w:trPr>
        <w:tc>
          <w:tcPr>
            <w:tcW w:w="3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16,073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3,743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42,494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Cost of product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Product costs</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License fees and royalties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expenses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NM</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Allocations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NM</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0"/>
        </w:trPr>
        <w:tc>
          <w:tcPr>
            <w:tcW w:w="36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1,491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5,202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4,304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21 %</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biopharmaceutical and other revenue: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 expense</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2,030</w:t>
            </w:r>
          </w:p>
        </w:tc>
        <w:tc>
          <w:tcPr>
            <w:tcW w:w="1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1,770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15 %</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6,907</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1,862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271 %</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License fees and royalties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1,300 %</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223 %</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124 %</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Allocations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NM</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25"/>
        </w:trPr>
        <w:tc>
          <w:tcPr>
            <w:tcW w:w="36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Cost of testing revenue increased $3.7 million for the three months ended September 30, 2022 compared to the same period in 2021. The increase for cost of testing is related to increased volume in testing, primarily related to Decipher.</w:t>
      </w:r>
    </w:p>
    <w:p>
      <w:pPr>
        <w:spacing w:after="0" w:line="178"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Cost of testing revenue increased $13.4 million for the nine months ended September 30, 2022 compared to the same period in 2021. Following the acquisition of Decipher Biosciences in March 2021, its operations are included in cost of testing revenue. The remaining increase for cost of testing is related to increased volume in testing, primarily related to Afirma.</w:t>
      </w:r>
    </w:p>
    <w:p>
      <w:pPr>
        <w:spacing w:after="0" w:line="193"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Cost of product revenue is related to sales of Prosigna. Cost of product revenue increased $0.5 million, or 33%, for the three months ended September 30, 2022 compared to the same period in 2021, primarily due to an increased volume of test and system sales.</w:t>
      </w:r>
    </w:p>
    <w:p>
      <w:pPr>
        <w:spacing w:after="0" w:line="178"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Cost of product revenue increased $0.9 million, or 21%, for the nine months ended September 30, 2022 compared to the same period in 2021, primarily due to an increased volume of test and system sales.</w:t>
      </w:r>
    </w:p>
    <w:p>
      <w:pPr>
        <w:spacing w:after="0" w:line="178"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Cost of biopharmaceutical and other revenue includes labor costs incurred by our employees working on customer projects, laboratory supplies and pass-through expenses incurred on these projects. Cost of biopharmaceutical and other revenue includes the operations of HalioDx following its acquisition on August 2,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Comparison of the three and nine months ended September 30, 2022 and 2021 is as follows (in thousands of dollars, except percentages):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9"/>
          </w:tcPr>
          <w:p>
            <w:pPr>
              <w:ind w:left="48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620" w:type="dxa"/>
            <w:vAlign w:val="bottom"/>
            <w:tcBorders>
              <w:bottom w:val="single" w:sz="8" w:color="auto"/>
            </w:tcBorders>
          </w:tcPr>
          <w:p>
            <w:pPr>
              <w:spacing w:after="0"/>
              <w:rPr>
                <w:sz w:val="17"/>
                <w:szCs w:val="17"/>
                <w:color w:val="auto"/>
              </w:rPr>
            </w:pPr>
          </w:p>
        </w:tc>
      </w:tr>
      <w:tr>
        <w:trPr>
          <w:trHeight w:val="199"/>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2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 expense:</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02"/>
        </w:trPr>
        <w:tc>
          <w:tcPr>
            <w:tcW w:w="3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 expense</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6,647</w:t>
            </w:r>
          </w:p>
        </w:tc>
        <w:tc>
          <w:tcPr>
            <w:tcW w:w="1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right="43"/>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20,341</w:t>
            </w:r>
          </w:p>
        </w:tc>
        <w:tc>
          <w:tcPr>
            <w:tcW w:w="10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13,863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6,478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47 %</w:t>
            </w:r>
          </w:p>
        </w:tc>
      </w:tr>
      <w:tr>
        <w:trPr>
          <w:trHeight w:val="207"/>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Direct research and development expense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2,840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39 %</w:t>
            </w:r>
          </w:p>
        </w:tc>
      </w:tr>
      <w:tr>
        <w:trPr>
          <w:trHeight w:val="202"/>
        </w:trPr>
        <w:tc>
          <w:tcPr>
            <w:tcW w:w="3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ind w:right="23"/>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207"/>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expenses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184 %</w:t>
            </w:r>
          </w:p>
        </w:tc>
      </w:tr>
      <w:tr>
        <w:trPr>
          <w:trHeight w:val="202"/>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Allocations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center"/>
              <w:ind w:right="43"/>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2,038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1,556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482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31 %</w:t>
            </w:r>
          </w:p>
        </w:tc>
      </w:tr>
      <w:tr>
        <w:trPr>
          <w:trHeight w:val="225"/>
        </w:trPr>
        <w:tc>
          <w:tcPr>
            <w:tcW w:w="3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10,773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center"/>
              <w:ind w:right="43"/>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29,316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19,591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9,725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50 %</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Research and development expense increased $2.8 million, or 35%, for the three months ended September 30, 2022 compared to the same period in 2021. The operations of HalioDx are included in research and development expense following our acquisition of it in August 2021. The remaining increase is primarily due to expense related to headcount and annual compensation increases.</w:t>
      </w:r>
    </w:p>
    <w:p>
      <w:pPr>
        <w:spacing w:after="0" w:line="193"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Research and development expense increased $9.7 million, or 50%, for the nine months ended September 30, 2022 compared to the same period in 2021. The increase in compensation expense was primarily due to an increase in headcount, including the additions of new personnel from the acquisitions of Decipher Biosciences and HalioDx.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and marketing</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Comparison of the three and nine months ended September 30, 2022 and 2021 is as follows (in thousands of dollars, except percentages):</w:t>
      </w:r>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3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9"/>
          </w:tcPr>
          <w:p>
            <w:pPr>
              <w:ind w:left="62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660" w:type="dxa"/>
            <w:vAlign w:val="bottom"/>
            <w:tcBorders>
              <w:bottom w:val="single" w:sz="8" w:color="auto"/>
            </w:tcBorders>
          </w:tcPr>
          <w:p>
            <w:pPr>
              <w:spacing w:after="0"/>
              <w:rPr>
                <w:sz w:val="17"/>
                <w:szCs w:val="17"/>
                <w:color w:val="auto"/>
              </w:rPr>
            </w:pPr>
          </w:p>
        </w:tc>
      </w:tr>
      <w:tr>
        <w:trPr>
          <w:trHeight w:val="199"/>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6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Selling and marketing expense:</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2"/>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Compensation expense</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19,102</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15,335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54,691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40,951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34 %</w:t>
            </w:r>
          </w:p>
        </w:tc>
      </w:tr>
      <w:tr>
        <w:trPr>
          <w:trHeight w:val="207"/>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Direct marketing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02"/>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expenses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31 %</w:t>
            </w:r>
          </w:p>
        </w:tc>
      </w:tr>
      <w:tr>
        <w:trPr>
          <w:trHeight w:val="205"/>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Allocations</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1,486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21 %</w:t>
            </w:r>
          </w:p>
        </w:tc>
      </w:tr>
      <w:tr>
        <w:trPr>
          <w:trHeight w:val="200"/>
        </w:trPr>
        <w:tc>
          <w:tcPr>
            <w:tcW w:w="32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25,678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21,670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18 %</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73,433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57,628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27 %</w:t>
            </w:r>
          </w:p>
        </w:tc>
      </w:tr>
      <w:tr>
        <w:trPr>
          <w:trHeight w:val="20"/>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Selling and marketing expense increased $4.0 million, or 18%, for the three months ended September 30, 2022 compared to the same period in 2021. The increase in compensation expense was primarily due to the addition of HalioDx employees in August 2021. The increase in other expenses was primarily due to increased travel and entertainment expense given limited travel in the prior year.</w:t>
      </w:r>
    </w:p>
    <w:p>
      <w:pPr>
        <w:spacing w:after="0" w:line="193"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Selling and marketing expense increased $15.8 million, or 27%, for the nine months ended September 30, 2022 compared to the same period in 2021. The increase in compensation expense was primarily due to the addition of Decipher employees in March 2021, as well as HalioDx employees in August 2021. The increase in other expenses was primarily due to the addition of Decipher Biosciences, along with increased travel and entertainment.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Comparison of the three and nine months ended September 30, 2022 and 2021 is as follows (in thousands of dollars, except percentages):</w:t>
      </w:r>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3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9"/>
          </w:tcPr>
          <w:p>
            <w:pPr>
              <w:ind w:left="62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660" w:type="dxa"/>
            <w:vAlign w:val="bottom"/>
            <w:tcBorders>
              <w:bottom w:val="single" w:sz="8" w:color="auto"/>
            </w:tcBorders>
          </w:tcPr>
          <w:p>
            <w:pPr>
              <w:spacing w:after="0"/>
              <w:rPr>
                <w:sz w:val="17"/>
                <w:szCs w:val="17"/>
                <w:color w:val="auto"/>
              </w:rPr>
            </w:pPr>
          </w:p>
        </w:tc>
      </w:tr>
      <w:tr>
        <w:trPr>
          <w:trHeight w:val="199"/>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0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66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2"/>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Compensation expense</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12,031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12,135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38,721</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52,871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07"/>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Occupancy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22 %</w:t>
            </w:r>
          </w:p>
        </w:tc>
      </w:tr>
      <w:tr>
        <w:trPr>
          <w:trHeight w:val="202"/>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22 %</w:t>
            </w:r>
          </w:p>
        </w:tc>
      </w:tr>
      <w:tr>
        <w:trPr>
          <w:trHeight w:val="207"/>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9,969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202"/>
        </w:trPr>
        <w:tc>
          <w:tcPr>
            <w:tcW w:w="3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Allocations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(3,875)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(10,667)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(8,197)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30 %</w:t>
            </w:r>
          </w:p>
        </w:tc>
      </w:tr>
      <w:tr>
        <w:trPr>
          <w:trHeight w:val="225"/>
        </w:trPr>
        <w:tc>
          <w:tcPr>
            <w:tcW w:w="3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20,749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82,504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r>
    </w:tbl>
    <w:p>
      <w:pPr>
        <w:spacing w:after="0" w:line="278"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General and administrative expense decreased by $3.1 million for the three months ended September 30, 2022, compared to the same period in 2021. This decrease is driven by expenses recognized in the three months ended September 30, 2021 related to the acquisition of HalioDx, including $2.0 million of stock-based compensation and $3.9 million of professional fees and other costs associated with the transaction. The remaining increase was driven primarily in compensation related to the acquisition of HalioDx in August 2021, headcount additions and annual compensation adjustments. General and administrative expenses related to occupancy costs and information technology costs are allocated to general and administrative expense, selling and marketing expense, research and development expense, and cost of revenue based on the headcount and employee location.</w:t>
      </w:r>
    </w:p>
    <w:p>
      <w:pPr>
        <w:spacing w:after="0" w:line="19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General and administrative expense decreased by $24.2 million for the nine months ended September 30, 2022, compared to the same period in 2021. This decrease is driven by expenses recognized in the nine months ended September 30, 2021 related to the acquisition of Decipher Biosciences, including $27.0 million of stock-based compensation and $18.3 million of professional fees and other costs associated with the transaction. Following the acquisitions of Decipher Biosciences in March 2021 and HalioDx in August 2021, their operations contributed to an increase in general and administrative expenses. Additionally, we recorded expense of $3.3 million in the nine months ended September 30, 2022 related to the impairment of</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intangible asset. The remaining increase was primarily due to annual compensation adjustments and investments in infrastructure.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(loss), net</w:t>
      </w:r>
    </w:p>
    <w:p>
      <w:pPr>
        <w:spacing w:after="0" w:line="24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Other income (loss), net, decreased $0.4 million for the three months ended September 30, 2022 compared to the same period in 2021, due to a decrease of $1.3 million of unrealized foreign currency loss partially offset by an increase of $0.5 million from operations in France related to the CIR during the period and an increase of $0.5 million from interest and dividend income. We recognize other income from the CIR over time based on when the research and development expenses are incurred.</w:t>
      </w:r>
    </w:p>
    <w:p>
      <w:pPr>
        <w:spacing w:after="0" w:line="196"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Other income (loss), net, increased $3.4 million for the nine months ended September 30, 2022 compared to the same period in 2021, due to an increase of $2.4 million from operations in France related to the CIR during the period, an increase of $0.8 million from interest and dividend income and an increase of $0.5 million due to unrealized foreign currency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benefit</w:t>
      </w:r>
    </w:p>
    <w:p>
      <w:pPr>
        <w:spacing w:after="0" w:line="21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recorded income tax benefits of $0.2 million and $1.4 million for the three months ended September 30, 2022 and 2021, respectively, and $0.3 million and $5.3 million for the nine months ended September 30, 2022 and 2021, respectively. The income tax benefit for 2021 was primarily impacted by a discrete tax adjustment related to the release of certain valuation allowances on our deferred tax assets upon recording of the deferred tax liabilities for the acquisition of Decipher Biosciences.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8"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From inception through September 30, 2022, we have been financed primarily through net proceeds from the sale of our equity securities. We have incurred net losses since our inception. For the nine months ended September 30, 2022, we had a net loss of $32.7 million, and we expect to incur additional losses for the remainder of 2022 and potentially in future years. As of September 30, 2022, we had an accumulated deficit of $389.9 million.</w:t>
      </w:r>
    </w:p>
    <w:p>
      <w:pPr>
        <w:spacing w:after="0" w:line="193" w:lineRule="exact"/>
        <w:rPr>
          <w:sz w:val="20"/>
          <w:szCs w:val="20"/>
          <w:color w:val="auto"/>
        </w:rPr>
      </w:pPr>
    </w:p>
    <w:p>
      <w:pPr>
        <w:jc w:val="both"/>
        <w:ind w:firstLine="384"/>
        <w:spacing w:after="0" w:line="253" w:lineRule="auto"/>
        <w:rPr>
          <w:sz w:val="20"/>
          <w:szCs w:val="20"/>
          <w:color w:val="auto"/>
        </w:rPr>
      </w:pPr>
      <w:r>
        <w:rPr>
          <w:rFonts w:ascii="Times New Roman" w:cs="Times New Roman" w:eastAsia="Times New Roman" w:hAnsi="Times New Roman"/>
          <w:sz w:val="17"/>
          <w:szCs w:val="17"/>
          <w:color w:val="auto"/>
        </w:rPr>
        <w:t>We believe our existing cash and cash equivalents and short-term investments of $170.1 million as of September 30, 2022, and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capital expenditures, lease obligations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w:t>
      </w:r>
    </w:p>
    <w:p>
      <w:pPr>
        <w:spacing w:after="0" w:line="24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We lease office and laboratory facilities in South San Francisco and San Diego, California; Austin, Texas; Marseille, France; and Richmond, Virginia, and lease certain equipment under various non-cancelable lease agreements. The lease terms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extend to October 2030 and contain extension of lease term and expansion options. As of September 30, 2022, the leases have a weighted average remaining lease term of 4.1 years and total future minimum lease payments of $17.6 million.</w:t>
      </w:r>
    </w:p>
    <w:p>
      <w:pPr>
        <w:spacing w:after="0" w:line="178"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7"/>
          <w:szCs w:val="17"/>
          <w:color w:val="auto"/>
        </w:rPr>
        <w:t>Veracyte SAS has signed a lease agreement for facilities which will be constructed in Marseille, France. The lease will commence upon completion of the construction of the office building which we currently expect to occur in the fourth quarter of 2023 at which time we will record a lease liability and a corresponding ROU asset. The initial term of the lease will be twelve years with annual rent of approximately $1.4 million, which is subject to change based on final construction.</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and Security Agreement</w:t>
      </w:r>
    </w:p>
    <w:p>
      <w:pPr>
        <w:spacing w:after="0" w:line="22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As of September 30, 2022, the principal balance outstanding was one dollar. In addition, a final payment on the Term Loan in the amount of $1.2 million is due upon the maturity date. In October 2022, the Loan and Security Agreement matured, and we repaid the outstanding principal and final payment totaling $1.2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cash flows for the nine months ended September 30, 2022 and 2021 (in thousands of dollars):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312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680" w:type="dxa"/>
            <w:vAlign w:val="bottom"/>
            <w:tcBorders>
              <w:bottom w:val="single" w:sz="8" w:color="auto"/>
            </w:tcBorders>
          </w:tcPr>
          <w:p>
            <w:pPr>
              <w:spacing w:after="0"/>
              <w:rPr>
                <w:sz w:val="17"/>
                <w:szCs w:val="17"/>
                <w:color w:val="auto"/>
              </w:rPr>
            </w:pPr>
          </w:p>
        </w:tc>
      </w:tr>
      <w:tr>
        <w:trPr>
          <w:trHeight w:val="199"/>
        </w:trPr>
        <w:tc>
          <w:tcPr>
            <w:tcW w:w="74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5"/>
                <w:szCs w:val="15"/>
                <w:b w:val="1"/>
                <w:bCs w:val="1"/>
                <w:color w:val="auto"/>
              </w:rPr>
              <w:t>2022</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2021</w:t>
            </w:r>
          </w:p>
        </w:tc>
        <w:tc>
          <w:tcPr>
            <w:tcW w:w="680" w:type="dxa"/>
            <w:vAlign w:val="bottom"/>
            <w:tcBorders>
              <w:bottom w:val="single" w:sz="8" w:color="auto"/>
            </w:tcBorders>
          </w:tcPr>
          <w:p>
            <w:pPr>
              <w:spacing w:after="0"/>
              <w:rPr>
                <w:sz w:val="17"/>
                <w:szCs w:val="17"/>
                <w:color w:val="auto"/>
              </w:rPr>
            </w:pPr>
          </w:p>
        </w:tc>
      </w:tr>
      <w:tr>
        <w:trPr>
          <w:trHeight w:val="19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22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5"/>
                <w:szCs w:val="15"/>
                <w:color w:val="auto"/>
              </w:rPr>
              <w:t>(2,209)</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(40,067)</w:t>
            </w: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220" w:type="dxa"/>
            <w:vAlign w:val="bottom"/>
          </w:tcPr>
          <w:p>
            <w:pPr>
              <w:spacing w:after="0"/>
              <w:rPr>
                <w:sz w:val="17"/>
                <w:szCs w:val="17"/>
                <w:color w:val="auto"/>
              </w:rPr>
            </w:pPr>
          </w:p>
        </w:tc>
        <w:tc>
          <w:tcPr>
            <w:tcW w:w="620" w:type="dxa"/>
            <w:vAlign w:val="bottom"/>
          </w:tcPr>
          <w:p>
            <w:pPr>
              <w:jc w:val="center"/>
              <w:ind w:left="63"/>
              <w:spacing w:after="0"/>
              <w:rPr>
                <w:sz w:val="20"/>
                <w:szCs w:val="20"/>
                <w:color w:val="auto"/>
              </w:rPr>
            </w:pPr>
            <w:r>
              <w:rPr>
                <w:rFonts w:ascii="Times New Roman" w:cs="Times New Roman" w:eastAsia="Times New Roman" w:hAnsi="Times New Roman"/>
                <w:sz w:val="15"/>
                <w:szCs w:val="15"/>
                <w:color w:val="auto"/>
              </w:rPr>
              <w:t>(2,953)</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(739,591)</w:t>
            </w: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5"/>
                <w:szCs w:val="15"/>
                <w:color w:val="auto"/>
              </w:rPr>
              <w:t>3,401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596,147</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218"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Cash used in operating activities for the nine months ended September 30, 2022 was $2.2 million. The net loss of $32.7 million includes non-cash charges of $19.9 million of stock-based compensation expense, $19.4 million of depreciation and amortization, which includes $16.1 million of intangible asset amortization, $3.3 million of impairment of intangible asset and non-cash lease expense of $2.5 million. Cash used as a result of changes in operating assets and liabilities was $16.0 million, primarily comprising a decrease in accrued liabilities and deferred revenue of $6.0 million, an increase in accounts receivable of $4.4 million, an increase in supplies and inventory of $2.8 million, a decrease in operating lease liability of $2.6 million and a $0.1 million impact from other working capital accounts.</w:t>
      </w:r>
    </w:p>
    <w:p>
      <w:pPr>
        <w:spacing w:after="0" w:line="173"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Cash used in operating activities for the nine months ended September 30, 2021 was $40.1 million. The net loss of $65.0 million includes non-cash charges of $15.8 million of stock-based compensation expense, $13.2 million of depreciation and amortization, which includes $10.5 million of intangible asset amortization, noncash lease expense of $1.6 million, a $0.3 million expense for the revaluation of the contingent consideration related to the NanoString transaction and $5.3 million of deferred income taxes. Cash used as a result of changes in operating assets and liabilities was $2.3 million primarily comprising an increase in accounts receivable of $6.3 million, an increase in prepaid expense and other current assets of $1.9 million and a decrease in operating lease liability of $1.7 million partially offset by an increase in accounts payable of $3.9 million and an increase in accrued liabilities and deferred revenue of $3.3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218"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Cash used in investing activities, for the nine months ended September 30, 2022, was $3.0 million for the purchase and maturity of short-term investments and purchase of property and equipment.</w:t>
      </w:r>
    </w:p>
    <w:p>
      <w:pPr>
        <w:spacing w:after="0" w:line="152"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Cash used in investing activities for the nine months ended September 30, 2021 was $739.6 million consisting of $574.4 million for the acquisition of Decipher Biosciences, $163.6 million for the acquisition of HalioDx and $4.5 million for the acquisition of property and equipment partially offset by $3.0 million of proceeds from the sale of an equity investment.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218"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Cash provided by financing activities, for the nine months ended September 30, 2022, was $3.4 million, consisting of $6.1 million in proceeds from the exercise of options to purchase our common stock and the purchase of stock under our Employee Stock Purchase Plan, or ESPP, partially offset by $2.6 million in tax payments during the period related to the vesting of restricted stock units granted to employees.</w:t>
      </w:r>
    </w:p>
    <w:p>
      <w:pPr>
        <w:spacing w:after="0" w:line="167"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Cash provided by financing activities for the nine months ended September 30, 2021 was $596.1 million, consisting of $593.8 million in net proceeds from the issuance of common stock in a public offering in February 2021 and $10.6 million in proceeds from the exercise of options to purchase our common stock and the purchase of stock under our ESPP, partially offset by $8.3 million in tax payments during the period related to the vesting of restricted stock units granted to employees.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4"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w:t>
      </w:r>
      <w:r>
        <w:rPr>
          <w:rFonts w:ascii="Times New Roman" w:cs="Times New Roman" w:eastAsia="Times New Roman" w:hAnsi="Times New Roman"/>
          <w:sz w:val="17"/>
          <w:szCs w:val="17"/>
          <w:i w:val="1"/>
          <w:iCs w:val="1"/>
          <w:color w:val="auto"/>
        </w:rPr>
        <w:t>Business Combinations (Topic 805): Accounting for Contract Assets and Contract Liabilities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 Customers</w:t>
      </w:r>
      <w:r>
        <w:rPr>
          <w:rFonts w:ascii="Times New Roman" w:cs="Times New Roman" w:eastAsia="Times New Roman" w:hAnsi="Times New Roman"/>
          <w:sz w:val="17"/>
          <w:szCs w:val="17"/>
          <w:color w:val="auto"/>
        </w:rPr>
        <w:t>, which requires entities to recognize and measure contract assets and contract liabilities acquired in a business combination in accordance with ASC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We do not expect to have a material impact on our consolidated financial statements and related disclosures from the adoption of this guidance.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are exposed to market risks in the ordinary course of our business. These risks primarily relate to interest rates. We had cash and cash equivalents of $170.1 million as of September 30, 2022 which consisted of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24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As of September 30, 2022 we held $5.0 million of bank deposits and time deposits denominated in Euros. Such Euro denominated deposits carry a degree of risk from changes in currency exchange rates as the gains or losses from changes in exchange rates are included in our net loss and comprehensive loss. As of September 30, 2022 a hypothetical 10% appreciation or depreciation of the U.S. dollar relative to the Euro would have increased or decreased our net loss by $0.5 million for nine months ended September 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Inflation Risk</w:t>
      </w:r>
    </w:p>
    <w:p>
      <w:pPr>
        <w:spacing w:after="0" w:line="244"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We are facing inflation headwinds in compensation, travel and supply costs, however we do not believe that inflation has had a material effect on our business, financial condition, or operating results.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(a) Evaluation of Disclosure Controls and Procedures</w:t>
      </w:r>
    </w:p>
    <w:p>
      <w:pPr>
        <w:spacing w:after="0" w:line="244"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7"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(b) Changes in Internal Control over Financial Reporting</w:t>
      </w:r>
    </w:p>
    <w:p>
      <w:pPr>
        <w:spacing w:after="0" w:line="24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continuously seek to improve the efficiency and effectiveness of our internal controls. This results in refinements to processes throughout our Company. There were no changes in our internal control over financial reporting (as such term is defined in Rule 13a-15(f) under the Exchange Act) identified in connection with the evaluation identified above that occurred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31"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Risks Related to Our Business</w:t>
      </w:r>
    </w:p>
    <w:p>
      <w:pPr>
        <w:spacing w:after="0" w:line="231" w:lineRule="exact"/>
        <w:rPr>
          <w:sz w:val="20"/>
          <w:szCs w:val="20"/>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have a history of losses, and we expect to incur net losses for the foreseeable future and may never achieve or sustain profitability.</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Our financial results currently depend mainly on sales of our Afirma and Decipher Prostate tests, and we will need to generate sufficient revenue from these and our other diagnostic tests to grow our business.</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we are unable to grow sales of our portfolio of tests including Prosigna, Envisia, and Decipher Bladder, or we are unable to launch or commercialize our new tests, our business may suffer.</w:t>
      </w:r>
    </w:p>
    <w:p>
      <w:pPr>
        <w:spacing w:after="0" w:line="1"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depend on a few payers for a significant portion of our revenue and if one or more significant payers stops providing reimbursement or decreases the amount of reimbursement for our tests, our revenue could decline.</w:t>
      </w:r>
    </w:p>
    <w:p>
      <w:pPr>
        <w:spacing w:after="0" w:line="1" w:lineRule="exact"/>
        <w:rPr>
          <w:rFonts w:ascii="Times New Roman" w:cs="Times New Roman" w:eastAsia="Times New Roman" w:hAnsi="Times New Roman"/>
          <w:sz w:val="17"/>
          <w:szCs w:val="17"/>
          <w:color w:val="231F20"/>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have estimated the sizes of the markets for our current and future products and services, and these markets may be different than we estimate.</w:t>
      </w:r>
    </w:p>
    <w:p>
      <w:pPr>
        <w:spacing w:after="0" w:line="60"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 w:lineRule="exact"/>
        <w:rPr>
          <w:rFonts w:ascii="Times New Roman" w:cs="Times New Roman" w:eastAsia="Times New Roman" w:hAnsi="Times New Roman"/>
          <w:sz w:val="17"/>
          <w:szCs w:val="17"/>
          <w:color w:val="231F20"/>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may experience limits on our revenue if physicians decide not to order our tests or if patients decide not to use our tests.</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we fail to comply with federal, state and foreign licensing requirements, we could lose the ability to perform our tests or experience disruptions to our business.</w:t>
      </w:r>
    </w:p>
    <w:p>
      <w:pPr>
        <w:spacing w:after="0" w:line="1"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quarterly operating results may fluctuate significantly or may fall below the expectations of investors or securities analysts for various reasons, including in response to the way we recognize revenue, which may cause our stock price to fluctuate or decline.</w:t>
      </w:r>
    </w:p>
    <w:p>
      <w:pPr>
        <w:spacing w:after="0" w:line="1"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future success and international growth depends, in part, on our ability to adapt and manufacture select tests to be performed on the nCounter Analysis System.</w:t>
      </w:r>
    </w:p>
    <w:p>
      <w:pPr>
        <w:spacing w:after="0" w:line="1"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If we are not successful in advancing our biopharma collaborations, or if our general strategy of seeking growth through such collaborations is not successful, our prospects and financial condition will suffer.</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COVID-19 pandemic has had, and may continue to have, an adverse effect on our business, results of operations and financial condition.</w:t>
      </w:r>
    </w:p>
    <w:p>
      <w:pPr>
        <w:spacing w:after="0" w:line="60"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rely on sole suppliers for some of the reagents, equipment, and other materials used to perform our tests, and we may not be able to find replacements or transition to alternative suppliers.</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depend on a specialized cytopathology practice to perform the cytopathology component of our Afirma test, and our ability to perform our diagnostic solution would be harmed if we were required to secure a replacement.</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may be unable to manage our future growth effectively, which could make it difficult to execute our business strategy.</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If we are unable to support demand for our commercial tests, our business could suffer.</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Changes in healthcare policy, including legislation reforming the U.S. healthcare system, may have a material adverse effect on our financial condition and operations.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Because of Medicare billing rules, we may not receive reimbursement for all tests provided to Medicare patients.</w:t>
      </w:r>
    </w:p>
    <w:p>
      <w:pPr>
        <w:spacing w:after="0" w:line="60"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FDA or foreign authorities were to begin regulating those of our tests that are not currently regulated, we could incur substantial costs and delays associated with trying to obtain premarket clearance, approval or certification.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marketing authorizations, approvals, clearances or certifications to market Prosigna in additional countries or if regulatory limitations are placed on our diagnostic kit products, our business and growth will be harmed.</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ongoing and increasingly extensive regulatory requirements, which may be subject to change, and our failure to comply with these requirements could substantially harm our business.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compete successfully, we may be unable to increase or sustain our revenue or achieve profitability.</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senior management team, and the loss of one or more of our executive officers, or the inability to attract and retain highly-skilled employees or other key personnel could adversely affect our business.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Billing for our diagnostic tests is complex, and we must dedicate substantial time and resources to the billing process to be paid.</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internal sales force is less successful than anticipated, our business expansion plans could suffer and our ability to generate revenue could be diminished.</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new products involves a lengthy and complex process, and if we do not achieve our projected development and commercialization goals in the time frames we announce and expect, our business will suffer and our stock price may decline.</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Aspects of our international business expose us to business, personnel, regulatory, political, operational, financial, and economic risks associated with doing business outside of the United States.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may be adversely affected by unfavorable economic and market conditions.</w:t>
      </w:r>
    </w:p>
    <w:p>
      <w:pPr>
        <w:spacing w:after="0" w:line="60"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13"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protect our intellectual property effectively, our business would be harmed.</w:t>
      </w:r>
    </w:p>
    <w:p>
      <w:pPr>
        <w:spacing w:after="0" w:line="60"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involved in litigation related to intellectual property, which could be time-intensive and costly and may adversely affect our business, operating results or financial condition.</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Risks Related to our Recent Acquisition</w:t>
      </w:r>
      <w:r>
        <w:rPr>
          <w:rFonts w:ascii="Times New Roman" w:cs="Times New Roman" w:eastAsia="Times New Roman" w:hAnsi="Times New Roman"/>
          <w:sz w:val="17"/>
          <w:szCs w:val="17"/>
          <w:color w:val="auto"/>
        </w:rPr>
        <w:t>s</w:t>
      </w:r>
    </w:p>
    <w:p>
      <w:pPr>
        <w:spacing w:after="0" w:line="282" w:lineRule="exact"/>
        <w:rPr>
          <w:sz w:val="20"/>
          <w:szCs w:val="20"/>
          <w:color w:val="auto"/>
        </w:rPr>
      </w:pPr>
    </w:p>
    <w:p>
      <w:pPr>
        <w:ind w:left="620" w:hanging="310"/>
        <w:spacing w:after="0" w:line="284" w:lineRule="auto"/>
        <w:tabs>
          <w:tab w:leader="none" w:pos="615" w:val="left"/>
        </w:tabs>
        <w:numPr>
          <w:ilvl w:val="0"/>
          <w:numId w:val="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acquisitions of HalioDx and Decipher Biosciences each present risks and we must successfully integrate the HalioDx and Decipher Biosciences businesses to realize the financial goals that we currently anticipate.</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Risks Related to Being a Public Compa</w:t>
      </w:r>
      <w:r>
        <w:rPr>
          <w:rFonts w:ascii="Times New Roman" w:cs="Times New Roman" w:eastAsia="Times New Roman" w:hAnsi="Times New Roman"/>
          <w:sz w:val="17"/>
          <w:szCs w:val="17"/>
          <w:color w:val="auto"/>
        </w:rPr>
        <w:t>ny</w:t>
      </w:r>
    </w:p>
    <w:p>
      <w:pPr>
        <w:spacing w:after="0" w:line="295" w:lineRule="exact"/>
        <w:rPr>
          <w:sz w:val="20"/>
          <w:szCs w:val="20"/>
          <w:color w:val="auto"/>
        </w:rPr>
      </w:pPr>
    </w:p>
    <w:p>
      <w:pPr>
        <w:ind w:left="620" w:hanging="310"/>
        <w:spacing w:after="0" w:line="284" w:lineRule="auto"/>
        <w:tabs>
          <w:tab w:leader="none" w:pos="615" w:val="left"/>
        </w:tabs>
        <w:numPr>
          <w:ilvl w:val="0"/>
          <w:numId w:val="1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Risks Related to Our Common Stock</w:t>
      </w:r>
    </w:p>
    <w:p>
      <w:pPr>
        <w:spacing w:after="0" w:line="282" w:lineRule="exact"/>
        <w:rPr>
          <w:sz w:val="20"/>
          <w:szCs w:val="20"/>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Our stock price may be volatile, and you may not be able to sell shares of our common stock at or above the price you paid.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losses, and we expect to incur net losses for the foreseeable future and may never achieve or sustain profitability.</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have incurred net losses since our inception. For the nine months ended September 30, 2022 and 2021, we had net losses of $33 million and $65 million, respectively. As of September 30, 2022, we had an accumulated deficit of $390 million. We expect to incur additional losses in the future, and we may never achieve revenue sufficient to offset our expenses. We have experienced and may continue to experience decreases in total test volume due to the impact of COVID-19, including as a result of additional COVID-19 variants. Additionally, in 2022, widespread inflationary pressures in the U.S. and across global economies resulted in higher costs for our raw materials, non-material costs, labor and other business costs, and significant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increases in the future could adversely affect our results of operations. We expect to continue to devote substantially all of our resources to increase adoption of and reimbursement for our molecular diagnostic portfolio of tests, and the development of additional tests. We may never achieve or sustain profitability, and our failure to achieve and sustain profitability in the future could cause the market price of our common stock to decline.</w:t>
      </w:r>
    </w:p>
    <w:p>
      <w:pPr>
        <w:spacing w:after="0" w:line="187"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financial results currently depend mainly on sales of our Afirma and Decipher Prostate tests, and we will need to generate sufficient revenue from these and our other diagnostic tests to grow our business.</w:t>
      </w:r>
    </w:p>
    <w:p>
      <w:pPr>
        <w:spacing w:after="0" w:line="172"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Most of our revenue to date has been derived from the sale of our Afirma tests, which are used in the diagnosis of thyroid cancer. We also derive significant revenue from our Decipher urological tests. Over the next few years, we expect to continue to derive a substantial portion of our revenue from sales of our Afirma and Decipher tests. To date, we have derived a smaller portion of our revenue from our Prosigna, Percepta, Envisia, and Immunoscore tests. Once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tests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Decipher Prostate, Prosigna, Envisia, and Decipher Bladder tests, or develop and commercialize other tests, our revenue and our ability to achieve and sustain profitability would be impaired, and the market price of our common stock could decline.</w:t>
      </w:r>
    </w:p>
    <w:p>
      <w:pPr>
        <w:spacing w:after="0" w:line="202"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grow sales of our portfolio of tests including Prosigna, Envisia, and Decipher Bladder, or we are unable to launch or commercialize our new tests, our business may suffer.</w:t>
      </w:r>
    </w:p>
    <w:p>
      <w:pPr>
        <w:spacing w:after="0" w:line="172"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Although Prosigna, Envisia, and Decipher Bladder have not contributed significant revenue to date, we expect them to grow and become an increasingly important component of our strategic focus, as well as our results of operations. We plan to introduce new tests going forward as well. There can be no assurance that we will be successful in our launch or commercialization of new tests, nor that physicians will request our new tests be performed in sufficient volumes for our revenue to meet our projections. Additionally, we anticipate expanding the reach of our tests to international markets through the distribution of the nCounter Analysis System; if our distribution of this platform is unsuccessful, or if our products are not widely adopted internationally, our business and results of operations may be adversely affected.</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2"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Federal Medicare funding and state budgets are limited and have been placed under tremendous strain in recent years, which is likely to be further exacerbated as a result of reduced tax receipts and greater deficit spending as a result of the COVID-19 pandemic.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20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Revenue for tests performed on patients covered by Medicare and UnitedHealthcare Group was 31% and 10%, respectively, of our revenue for the nine months ended September 30, 2022, compared with 31% and 10%, respectively, for the nine months ended September 30, 2021.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an LCD.</w:t>
      </w:r>
    </w:p>
    <w:p>
      <w:pPr>
        <w:spacing w:after="0" w:line="20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On March 1, 2015, CPT code 81545 for the Afirma GEC was issued. On January 1, 2018, the Medicare Clinical Laboratory Fee Schedule payment rate for the Afirma classifier increased from $3,220 to $3,600. This rate is based on the volume-weighted median of private payer payment rates made between January 1 and June 30, 2016, which we reported to the Centers for Medicare &amp; Medicaid Services in 2017 as required under the Protecting Access to Medicare Act of 2014, 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CARES Act, Congress further delayed the next reporting period to 2022 for final payments made between January 1 and June 30, 2019, extending the applicability for the payment rates based on 2017 reporting through December 31, 2022. In December 2021, through the Protecting Medicare and American Farmers from Sequester Cuts Act, Congress further delayed the next reporting period to 2023. As a result of the transition from Afirma GEC to Afirma GSC, a new CPT Category I code (81546) was established for the Afirma classifier, effective January 1, 2021. This code went through the national payment determination process for Medicare in 2020, through which CMS priced 81546 at the same rate of $3,600 as 81545. Since the Afirma GSC code 81546 was newly issued in 2021, the first PAMA data collection period for 81546 under the current triennial data collection and reporting process would be January 2023 through June 2023. There is no guarantee that the Afirma GSC Medicare rate will not be negatively impacted starting in 2027 based on the reported weighted median of private commercial payers.</w:t>
      </w:r>
    </w:p>
    <w:p>
      <w:pPr>
        <w:spacing w:after="0" w:line="202"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New CPT Proprietary Laboratory Analyses, or PLA, codes were also established for Afirma Xpression Atlas (0204U) and Afirma MTC (0208U), effective October 1, 2020. CMS has priced 0204U at the same rate of $2,919.60 as CPT 81455. The new payment rate for 0204U became effective January 1, 2021. In 2020 CMS did not price 0208U, and instead assigned the code to the “gapfilling” process, under which the individual MACs will set the payment rate for the test in 2021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In July 2021, Veracyte submitted an application to the CPT Editorial Panel to request deletion of 0208U in order to replace the code with a new CPT code, for Afirma MTC as a stand-alone test. On October 1, the CPT Editorial Panel deleted CPT code 0208U effective January 1, 2022, so the median of MAC gapfill rates will not take effect on January 1, 2022.</w:t>
      </w:r>
    </w:p>
    <w:p>
      <w:pPr>
        <w:spacing w:after="0" w:line="201"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Our Decipher Prostate tests were assigned a new American Medical Association Current Procedural Terminology code, or CPT code, 81542, for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205"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submit claims to Medicare for Decipher Prostate Biopsy and Decipher Prostate RP using CPT code 81542. CMS assigned 81542 to the gapfilling process in 2020, and it has been priced effective January 1, 2021 at $3,873, based on CMS’ revision of the median of payment rates set by the MACs through the gapfilling process. There can be no assurance that the Medicare payment rates for Decipher Prostate Biopsy and Decipher Prostate RP will not decrease during a future reporting cycle under PAMA.</w:t>
      </w:r>
    </w:p>
    <w:p>
      <w:pPr>
        <w:spacing w:after="0" w:line="19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An LCD was issued for Prosigna by Palmetto GBA in August 2015, which has been in effect since October 1, 2015. There can be no assurance that the Afirma or Prosigna rates will not decrease during subsequent reporting cycles under PAMA.</w:t>
      </w:r>
    </w:p>
    <w:p>
      <w:pPr>
        <w:spacing w:after="0" w:line="17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9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We submit claims to Medicare for Percepta using an unlisted code under the MolDX program and MolDX priced Percepta at $3,220. There is no assurance that MolDX won’t reprice Percepta in the future and the rate could be lower than $3,220.</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Noridian Healthcare Solutions provided Medicare coverage for the Envisia Genomic Classifier on April 11, 2019.</w:t>
      </w:r>
    </w:p>
    <w:p>
      <w:pPr>
        <w:spacing w:after="0" w:line="24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for the test. Veracyte reported private payer rates for Envisia in March 2021, reflecting final payments between October 1, 2020 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February 28, 2021. The volume-weighted median of these reported rates, which was $5,500, set the payment rate for Envisia from July 1, 2021 through December 31, 2022, after which Envisia will be priced based on private payer rates collected and reported annually. There can be no assurance that the Medicare payment rate for Envisia will not be reduced when it is set based on the volume-weighted median of private payer rates when we are required to report private payer rates for Envisia under PAMA in subsequent reporting cycles.</w:t>
      </w:r>
    </w:p>
    <w:p>
      <w:pPr>
        <w:spacing w:after="0" w:line="196"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w:t>
      </w:r>
    </w:p>
    <w:p>
      <w:pPr>
        <w:spacing w:after="0" w:line="193"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We will submit claims to Medicare for Decipher Bladder using CPT code 0016M. CMS assigned 0016M to the gapfilling process in 2021. There is no assurance that the gapfilling process will not result in a lower-than-expected payment rate for 0016M, or that the Medicare payment rate for Decipher Bladder will not decrease during a future reporting cycle under PAMA.</w:t>
      </w:r>
    </w:p>
    <w:p>
      <w:pPr>
        <w:spacing w:after="0" w:line="193"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HalioDx’s Immunoscore test is currently not subject to a coverage policy from Medicare or any of the MACs. HalioDx’s Immunoscore test has been assigned CPT code 0261U effective October 1, 2021. The Immunoscore code went through the national payment determination process, was crosswalked to CPT code 0108U and assigned a rate of $2,513.25 effective January 1, 2022. There is no assurance that the clinical laboratory fee schedule rate for Immunoscore will not decrease during a future reporting cycle under PAMA or that Medicare may require a coverage policy in the future.</w:t>
      </w:r>
    </w:p>
    <w:p>
      <w:pPr>
        <w:spacing w:after="0" w:line="19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Although we have entered into contracts with certain third-party payers that establish in-network allowable rates of reimbursement for many of our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have estimated the sizes of the markets for our current and future products and services, and these markets may be different than we estimate.</w:t>
      </w:r>
    </w:p>
    <w:p>
      <w:pPr>
        <w:spacing w:after="0" w:line="246"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Our estimates of the annual addressable markets for our current tests, products and services and those under development are based on a number of internal and third-party estimates, including, without limitation, the number of patients who have developed one or more of a broad range of cancers and certain diseases, the number of individuals who are at a higher risk for developing one or more of broad range of cancers and certain diseases, the number of individuals with certain diseases we or our collaborators are able to detect through our tests, products and services, the proportion of patients in each market whose needs can be addressed by our or our collaborators’ tests, products and services, the number of potential tests utilized per patient and the assumed prices at which we can sell our current and future tests, products and services for markets that have not been established. While we believe our assumptions and the data underlying our estimates are reasonable, these assumptions and estimates may not be as accurate as we initially intended and the conditions upon which our assumptions or estimates are based may change at any time. As a result, our estimates of the annual addressable market for our current or future tests, products and services may ultimately be incorrect. If the actual number of patients who would benefit from our tests, products or services, the price at which we can sell future tests, products and services or the annual addressable market for our tests, products or services is smaller than we have estimated, it may impair our sales growth and have an adverse impact on our business.</w:t>
      </w:r>
    </w:p>
    <w:p>
      <w:pPr>
        <w:spacing w:after="0" w:line="202"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72"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93" w:lineRule="exact"/>
        <w:rPr>
          <w:sz w:val="20"/>
          <w:szCs w:val="20"/>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experimental or investigational;</w:t>
      </w:r>
    </w:p>
    <w:p>
      <w:pPr>
        <w:spacing w:after="0" w:line="11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pre-authorized and appropriate for the specific patient;</w:t>
      </w:r>
    </w:p>
    <w:p>
      <w:pPr>
        <w:spacing w:after="0" w:line="11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supported by peer-reviewed publications; and</w:t>
      </w:r>
    </w:p>
    <w:p>
      <w:pPr>
        <w:spacing w:after="0" w:line="11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clinical practice guidelines.</w:t>
      </w:r>
    </w:p>
    <w:p>
      <w:pPr>
        <w:spacing w:after="0" w:line="24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Since each payer makes its own decision as to whether to establish a coverage policy or enter into a contract to reimburse our tests, seeking these approvals is a time-consuming and costly process.</w:t>
      </w:r>
    </w:p>
    <w:p>
      <w:pPr>
        <w:spacing w:after="0" w:line="17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are an out-of-network provider with some commercial payers in the U.S.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spacing w:after="0" w:line="20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expect to continue to focus substantial resources on increasing adoption, coverage and reimbursement for the Afirma, Decipher Prostate, Prosigna, Percepta, Envisia, Decipher Bladder, and Immunoscore and any other future tests we may develop. We believe it will take several years to achieve coverage and contracted reimbursement with a majority of third-party payers.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limits on our revenue if physicians decide not to order our tests.</w:t>
      </w:r>
    </w:p>
    <w:p>
      <w:pPr>
        <w:spacing w:after="0" w:line="24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If we are unable to create or maintain demand for our tests in sufficient volume, we may not become profitable. To generate demand, we will need to continue to educate physicians about the clinical utility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many patients have been deferring elective procedures and medical visits as a result of the COVID-19 pandemic, and we have experienced, and expect to continue to experience, a significant reduction in patient demand or physician recommendations, which has and may continue to adversely affect our business.</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Afirma genomic classifier is included in most physician practice guidelines in the United States for the assessment of patients with thyroid nodules.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historical practice recommended a full or partial thyroidectomy in cases where cytopathology results were indeterminate to confirm a diagnosis.</w:t>
      </w:r>
    </w:p>
    <w:p>
      <w:pPr>
        <w:spacing w:after="0" w:line="223"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strength of the clinical data supporting the use of the Decipher Prostate Biopsy and Decipher Prostate RP tests have led to the tests’ inclusion in national guidelines. For example, in the 2020 NCCN Practice Guidelines for Prostate Cancer, the Decipher Prostate RP test is “recommended” for use to improve therapy decision making. It is the only test to achieve this designation for post-surgery patients with localized prostate cancer. Further, in September 2021, the 2022 NCCN guidelines were released and recommend specific treatment decisions for patients based on their Decipher Prostate RP score.</w:t>
      </w:r>
    </w:p>
    <w:p>
      <w:pPr>
        <w:spacing w:after="0" w:line="19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Although Decipher Prostate Biopsy and Decipher Prostate RP have been integrated into the NCCN guidelines, if we are unsuccessful in maintaining and increasing the level of recommendation of our genomic tests within these guidelines, are unable to cause any new genomic tests we develop to be included in these guidelines, or are unable to cause our genomic tests to be included in other influential guidelines, we may be at a disadvantage in gaining market acceptance and market share relative to our competitors.</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Our lung products are not yet integrated into practice guidelines and physicians may be reluctant to order tests that are not recommended in these guidelines.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Prosigna test is included in practice guidelines in the United States and internationally but faces competition from other products globally.</w:t>
      </w:r>
    </w:p>
    <w:p>
      <w:pPr>
        <w:spacing w:after="0" w:line="223"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Because our Afirma, Decipher Prostate Biopsy, Decipher Prostate RP, Percepta, Envisia, Decipher Bladder, and Immunoscore testing services are performed by our certified laboratories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limits on our revenue if patients decide not to use our tests.</w:t>
      </w:r>
    </w:p>
    <w:p>
      <w:pPr>
        <w:spacing w:after="0" w:line="246"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fail to comply with federal and state licensing requirements, we could lose the ability to perform our tests or experience disruptions to our business.</w:t>
      </w:r>
    </w:p>
    <w:p>
      <w:pPr>
        <w:spacing w:after="0" w:line="24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Austin, Texas, Marseille, France or Richmond, Virginia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205"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We have received approval for the Afirma, Decipher Prostate, Percepta, Envisia and Decipher Bladder tests. We will be required to obtain approval for other tests we may offer in the future. If we were to lose our CLIA certificate or California license for our South San Francisco, San Diego, or Richmond laboratories, whether as a result of revocation, suspension, limitation or otherwise, we would no longer be able to perform our molecular tests, which would eliminate our primary source of revenue and harm our business. If we fail to meet the state licensing requirements for our Austin laboratory, whether as a result of revocation, suspension, limitation or otherwise, which could result in a delay in processing tests during that transition and increased costs. If we were to lose our CLIA certificate for our Marseille or Richmond laboratories, whether as a result of revocation, suspension, limitation or otherwise, we would no longer be able to perform our Immunoscore test.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202" w:lineRule="exact"/>
        <w:rPr>
          <w:sz w:val="20"/>
          <w:szCs w:val="20"/>
          <w:color w:val="auto"/>
        </w:rPr>
      </w:pPr>
    </w:p>
    <w:p>
      <w:pPr>
        <w:jc w:val="both"/>
        <w:ind w:firstLine="12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quarterly operating results may fluctuate significantly or may fall below the expectations of investors or securities analysts for various reasons, including in response to the way we recognize revenue, which may cause our stock price to fluctuate or decline.</w:t>
      </w:r>
    </w:p>
    <w:p>
      <w:pPr>
        <w:spacing w:after="0" w:line="18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Our quarterly financial and operating results depend on sales of our products in the markets we operate and are sensitive to a number of factors, including patient and clinician demand, market conditions in the US and globally, and the prevalence of the indications we seek to address. In addition, we cannot be sure that we will be able to successfully complete development of</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or commercialize any of our planned future products, or that they will prove to be capable of reliably being used. Before we can successfully develop and commercialize any of our currently planned or other new diagnostic solutions, we will need to:</w:t>
      </w:r>
    </w:p>
    <w:p>
      <w:pPr>
        <w:spacing w:after="0" w:line="178" w:lineRule="exact"/>
        <w:rPr>
          <w:sz w:val="20"/>
          <w:szCs w:val="20"/>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substantial research and development;</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the necessary testing samples and related data;</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clinical validation studies;</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 significant funds;</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and scale-up our laboratory processes;</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and train our sales force;</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acceptance from ordering clinicians at a larger number of hospitals;</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acceptance from ordering laboratories; and</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and obtain regulatory clearances, approvals or certifications of our new solutions, as required by applicable regulatory bodies.</w:t>
      </w:r>
    </w:p>
    <w:p>
      <w:pPr>
        <w:spacing w:after="0" w:line="291"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This process involves a high degree of risk and may take up to several years or more. Our test development and commercialization efforts may be delayed or fail for many reasons, including:</w:t>
      </w:r>
    </w:p>
    <w:p>
      <w:pPr>
        <w:spacing w:after="0" w:line="178" w:lineRule="exact"/>
        <w:rPr>
          <w:sz w:val="20"/>
          <w:szCs w:val="20"/>
          <w:color w:val="auto"/>
        </w:rPr>
      </w:pPr>
    </w:p>
    <w:p>
      <w:pPr>
        <w:ind w:left="1220" w:hanging="526"/>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the test at the research or development stage;</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accessing suitable testing samples, especially testing samples with known clinical results;</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clinical validation data to support the effectiveness of the test;</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resulting from the failure of third-party suppliers or contractors to meet their obligations in a timely and cost-effective manner;</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or maintain necessary clearances, approvals or certifications to market the test; or</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commercial acceptance by patients, clinicians or third-party payers.</w:t>
      </w:r>
    </w:p>
    <w:p>
      <w:pPr>
        <w:spacing w:after="0" w:line="24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diagnostic tests, we will have to make additional investments in our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w:t>
      </w:r>
    </w:p>
    <w:p>
      <w:pPr>
        <w:spacing w:after="0" w:line="199"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Furthermore, most of our European sales are denominated in Euros, and as the U.S. dollar has strengthened in recent periods relative to the Euro, our results of operations may be adversely affected even where our underlying business is performing as anticipated. As a result, 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If our revenue or operating results fall below expectations, the price of our common stock would likely decline.</w:t>
      </w:r>
    </w:p>
    <w:p>
      <w:pPr>
        <w:spacing w:after="0" w:line="199"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a strategy of seeking growth through acquisitions and collaborations is not successful, or if we do not successfully integrate companies or assets that we acquire into our business, our prospects and financial condition will suffer.</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As an element of our growth strategy, we may pursue opportunities to license assets or purchase companies or assets that we believe would complement our current business or help us expand into new markets. For example, we acquired the nCounter Analysis System and Prosigna test from NanoString, we also acquired Decipher Biosciences and HalioDx. We may pursue additional acquisitions of complementary businesses or assets as part of our business strategy. There can be no assurance that we will successfully integrate the assets acquired from such acquisitions into our existing business, in general, or that our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exclusive worldwide license to the nCounter Analysis System for in vitro diagnostic use granted by NanoString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0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w:t>
      </w:r>
    </w:p>
    <w:p>
      <w:pPr>
        <w:spacing w:after="0" w:line="190"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and international growth depends, in part, on our ability to adapt and manufacture select tests to be performed on the nCounter Analysis System.</w:t>
      </w:r>
    </w:p>
    <w:p>
      <w:pPr>
        <w:spacing w:after="0" w:line="172"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Our strategy to expand into international markets depends on our ability to successfully distribute the nCounter Analysis System, adapt our menu of diagnostic tests for the platform, and secure necessary regulatory approvals. Currently, the Prosigna breast cancer assay is the only commercially-available test on the platform. If we are not able to adapt our other current or future genetic tests to be performed on the nCounter Analysis System, or if the nCounter Analysis System fails to be competitive against other diagnostic tests, our prospects for growth could suffer. In addition, to the extent international markets have existing practices and standards of care that are different than those in the United States, we may face challenges with the adoption of the nCounter Analysis System in international markets.</w:t>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not successful in advancing our biopharma collaborations, our prospects and financial condition will suffer.</w:t>
      </w:r>
    </w:p>
    <w:p>
      <w:pPr>
        <w:spacing w:after="0" w:line="24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have previously entered into technology licensing and collaboration arrangements, such as our collaborations with Johnson &amp; Johnson in December 2018, with Acerta Pharma, the hematology research and development arm of AstraZeneca, in December 2019 and with CareDx in May 2020, as well as our investment in MAVIDx in July 2020, which reflect an important element of our business strategy. We also may pursue additional strategic alliances that leverage our core technology and industry experience to expand our offerings or distribution, or make investments in other companies. However, we have limited experience with respect to the formation of strategic alliances and joint ventures. There can be no assurance that we will successfully identify or complete these transactions in a timely manner, on a cost-effective basis, or at all, and we may not realize the anticipated benefits of any technology license, strategic alliance, joint venture or investment.</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The COVID-19 pandemic has had, and may continue to have, an adverse effect on our business, results of operations and financial condition.</w:t>
      </w:r>
    </w:p>
    <w:p>
      <w:pPr>
        <w:spacing w:after="0" w:line="246"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The COVID-19 pandemic and the ongoing emergence of new variants has caused, and continues to cause, significant volatility in global financial markets. Public health problems resulting from COVID-19 and precautionary measures instituted by governments and 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The global COVID-19 pandemic continues to evolve. Certain jurisdictions have begun re-opening only to return to restrictions due to increases in new COVID-19 cases and the emergence of new variant strains of COVID-19. Changes in our operations in response to COVID-19 or employee illnesses resulting from the pandemic may result in inefficiencies or delays, including in sales and product development efforts, timing to receive patient sample shipments and additional costs related to business continuity initiatives, that cannot be fully mitigated through succession planning, employees working remotely or teleconferencing technologies. To date, the FDA has approved several vaccines, certain of which are subject to an Emergency Use Authorization, or EUA, for certain uses. Although vaccines are increasingly available in the United States and Europe, and certain countries in South America, Asia and Oceania, there can be no guarantee that the vaccines will be effective against new strains of the virus or that the vaccines will be broadly accepted. Also there can be no guarantee that federal, state, local and foreign agencies will not continue to take other cautionary steps to combat the virus to reduce the incidence of new cases, which could negatively impact our volumes and revenue and limit our ability to reliably forecast our test volumes and levels of revenue.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78" w:lineRule="exact"/>
        <w:rPr>
          <w:sz w:val="20"/>
          <w:szCs w:val="20"/>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of healthcare providers to deliver anticipated total test volumes due to temporary or permanent staff attrition.</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manage our business effectively due to key employees becoming ill, working from home inefficiently and being unable to travel to our facilities.</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customers, suppliers, third-party contract manufacturers, and collaboration partners may be prevented from operating worksites, including manufacturing facilities, due to employee illness, reluctance to appear at work or “stay-at-home” regulations.</w:t>
      </w:r>
    </w:p>
    <w:p>
      <w:pPr>
        <w:spacing w:after="0" w:line="1" w:lineRule="exact"/>
        <w:rPr>
          <w:rFonts w:ascii="Times New Roman" w:cs="Times New Roman" w:eastAsia="Times New Roman" w:hAnsi="Times New Roman"/>
          <w:sz w:val="17"/>
          <w:szCs w:val="17"/>
          <w:color w:val="auto"/>
        </w:rPr>
      </w:pPr>
    </w:p>
    <w:p>
      <w:pPr>
        <w:jc w:val="both"/>
        <w:ind w:left="620" w:hanging="310"/>
        <w:spacing w:after="0" w:line="256"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in manufacturing (including the sourcing of reagents or supplies) and shipment of our products. We believe the rapid increase in daily testing volumes is consuming reagents and supplies otherwise available to genomic testing companies like ours across the United States. When not limited by the expiration date of products and when we feel it reasonable and feasible to do so, we are taking steps to increase our level of supplies and inventory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total test volumes or levels of revenue.</w:t>
      </w:r>
    </w:p>
    <w:p>
      <w:pPr>
        <w:spacing w:after="0" w:line="25"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patient demand for, or provider capacity to deliver, diagnostic testing and elective procedures generally (which may impact our ability to deliver to our revenue estimates).</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of the operations of our third-party contract manufacturers and suppliers, which could impact our ability to purchase components at efficient prices and in sufficient amounts.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raise capital, and if we raise capital by issuing equity securities, our common stock may be diluted.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common stock may drop or remain volatile.</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significant employee health care costs under our insurance programs.</w:t>
      </w:r>
    </w:p>
    <w:p>
      <w:pPr>
        <w:spacing w:after="0" w:line="60"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or delay of regulatory bodies to conduct inspections/surveys, review or clear/approve our regulatory filings and submissions, and perform other activities necessary for us to conduct our business.</w:t>
      </w:r>
    </w:p>
    <w:p>
      <w:pPr>
        <w:spacing w:after="0" w:line="5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extent of the impact of COVID-19 on our business and financial results will depend largely on future developments, including the deployment, efficacy, availability and utilization of vaccines, the emergence of new variant strains of COVID-19,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190"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sole suppliers for some of the reagents, equipment and other materials used to perform our tests, and we may not be able to find replacements or transition to alternative suppliers.</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rely on sole suppliers for critical supply of reagents, equipment and other materials and services that we use to perform our tests and for the manufacture of the nCounter Analysis System for diagnostic use and Prosigna test kits sold to customers. We also purchase components used in our sample collection kits from sole-source suppliers. Some of these items are unique to these suppliers and vendors. In addition, we utilize a sole source to assemble and distribute our sample collection kits.</w:t>
      </w:r>
    </w:p>
    <w:p>
      <w:pPr>
        <w:spacing w:after="0" w:line="19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We rely on NanoString for the supply of the nCounter Analysis System for diagnostic use and Prosigna test kits. As part of the HalioDx Acquisition we intend to migrate manufacture of the test kits for the nCounter from NanoString to HalioDx.</w:t>
      </w:r>
    </w:p>
    <w:p>
      <w:pPr>
        <w:spacing w:after="0" w:line="178"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Periodically, as a result of the COVID-19 pandemic and other challenges to global supply chains, we experienced supply chain disruptions in the supply of plastic materials used in the processing of samples, although this has not resulted in delays in our ability to timely return test results. If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tests to physicians or deliver patient reports and we may incur higher one-time switching costs. Carriers responsible for transporting samples to us are currently operating at lower than usual capacity because of COVID-19, causing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delays in the timeliness of our receipt of samples.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total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and other materials in a timely manner or at all.</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rely on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9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If TCP were not able to support our current test volume or future increases in total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manage our future growth effectively, which could make it difficult to execute our business strategy.</w:t>
      </w:r>
    </w:p>
    <w:p>
      <w:pPr>
        <w:spacing w:after="0" w:line="233"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support demand for our commercial tests, our business could suffer.</w:t>
      </w:r>
    </w:p>
    <w:p>
      <w:pPr>
        <w:spacing w:after="0" w:line="24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9"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72"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spacing w:after="0" w:line="193"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2031).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 The Protecting Medicare and American Farmers from Sequester Cuts Act, enacted on December 10, 2021, extends the suspension through March 31, 2022, after which a 1.0% sequestration would apply for Medicare payments made between April 1, 2022 and June 30, 2022. The legislation also applies a 2.25% sequestration to Medicare payments made during the first six months of fiscal year 2030, and a 3% reduction to payments made during the last six months of fiscal year 2030.</w:t>
      </w:r>
    </w:p>
    <w:p>
      <w:pPr>
        <w:spacing w:after="0" w:line="20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20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20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96"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93"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PAMA includes a substantial new payment system for clinical laboratory tests under the CLFS. Under PAMA, laboratories that receive the majority of their Medicare revenue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In December 2021, through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Protecting Medicare and American Farmers from Sequester Cuts Act, Congress further delayed the next reporting period to 2023. There can be no assurance that the payment rate for Afirma or Prosigna will not decrease in the future or that the payment rates for Afirma Xpression Atlas, Afirma MTC, Decipher Prostate Biopsy, Decipher Prostate RP, Percepta, Decipher Bladder or Immunoscore will not be adversely affected by the PAMA law and regulations.</w:t>
      </w:r>
    </w:p>
    <w:p>
      <w:pPr>
        <w:spacing w:after="0" w:line="193"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Effective July 1, 2021, Envisia is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w:t>
      </w:r>
    </w:p>
    <w:p>
      <w:pPr>
        <w:spacing w:after="0" w:line="20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19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0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In December 2020, in its enactment of the CAA, Congress enacted the No Surprises Act. This law, which takes effect January 1, 2022, prohibits an out-of-network provider from billing a patient at an amount in excess of the in-network cost sharing for services furnished with respect to a visit at certain in-network health-care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HHS, the Department of Labor, and the Department of the Treasury in 2021 implemented the No Surprises Act through Interim Final Rules issued on July 1, 2021 and September 30, 2021. The No Surprises Act, and regulations and subregulatory guidance promulgated thereunder, could limit our ability to achieve payment in full for our testing services.</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Because of Medicare billing rules, we may not receive reimbursement for all tests provided to Medicare patients.</w:t>
      </w:r>
    </w:p>
    <w:p>
      <w:pPr>
        <w:spacing w:after="0" w:line="24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7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Decipher Prostate Biopsy, Decipher Prostate RP, Percepta, Envisia,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0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78"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In the CY 2020 Hospital Outpatient Prospective Payment System Proposed Rule, CMS solicited comments on potential revisions to these billing rules that could have impacted our ability to bill Medicare directly for our Afirma, Decipher Prostate Biopsy, Decipher Prostate RP, Percepta, Envisia, and Decipher Bladder classifiers, as well as for Prosigna, when performed 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specimens collected from hospital outpatients. Although these changes were not finalized, if CMS makes similar changes in the future, it could negatively impact our business.</w:t>
      </w:r>
    </w:p>
    <w:p>
      <w:pPr>
        <w:spacing w:after="0" w:line="178"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In addition, we must maintain CLIA compliance and certification to sell our tests and be eligible to bill for diagnostic services provided to Medicare beneficiaries.</w:t>
      </w:r>
    </w:p>
    <w:p>
      <w:pPr>
        <w:spacing w:after="0" w:line="172"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the FDA or foreign authorities were to begin regulating those of our tests that are not currently regulated, we could incur substantial costs and delays associated with trying to obtain premarket clearance, approval or certification.</w:t>
      </w:r>
    </w:p>
    <w:p>
      <w:pPr>
        <w:spacing w:after="0" w:line="172"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Clinical laboratory tests have long been subject to comprehensive regulations under CLIA, as well as by applicable state laws. Most clinical diagnostic tests developed and run within a single CLIA-certified clinical laboratory (known as “laboratory developed tests” or “LDTs”), are not currently subject to regulation under the FDA's enforcement discretion policy. While the FDA maintains its authority to regulate LDTs, it continues to exercise enforcement discretion not to enforce the premarket review, quality system/current Good Manufacturing Practices regulations, and other applicable medical device requirements against most LDT developers and users. Certain reagents, instruments, software or components manufactured and sold by third parties and used by their customers to manufacture or perform diagnostic tests may be subject to regulation under certain circumstances. Further, FDA has raised concerns about companies who manufacture, and label finished clinical test kits or clinical testing components as “research use only”, or RUO, or “investigational use only”, or IUO, and either knowingly use them or sell them for use in patient care. We believe that the Afirma, Decipher Prostate Biopsy, Decipher Prostate RP, Percepta, Envisia, and Decipher Bladder classifiers, as well as Immunoscore, have been developed and are performed in a manner consistent with FDA’s enforcement discretion policy.</w:t>
      </w:r>
    </w:p>
    <w:p>
      <w:pPr>
        <w:spacing w:after="0" w:line="205"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in vitro diagnostics that have been reviewed, cleared, authorized or approved by the FDA. If the FDA were to determine that Afirma, Decipher Prostate Biopsy, Decipher Prostate RP, Percepta, Envisia, and Decipher Bladder classifiers, as well as Immunoscore, offered as LDTs are not within the scope of FDA's enforcement discretion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 LDTs, we could experience reduced revenue or increased costs, which could adversely affect our business, prospects, results of operations and financial condition.</w:t>
      </w:r>
    </w:p>
    <w:p>
      <w:pPr>
        <w:spacing w:after="0" w:line="208"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new regulatory structure under the FDA. Similar versions of the VALID Act have since been introduced. The most recent version was released in June 2021, with an updated discussion draft proposed by the Senate on May 18, 2022 as part of the Food and Drug Administration (FDA) Safety and Landmark Advancements Act (FDASLA). As proposed, the bill would create a precertification program for lower risk tests not otherwise required to go through premarket review. It would grandfather existing tests but would allow the FDA to subject otherwise grandfathered tests to premarket review under certain conditions. Similarly, the Verified Innovative Testing in American Laboratories (VITAL) Act was introduced in December 2020 and re-introduced in May 2021. In contrast with the VALID Act, the VITAL Act would prevent FDA from regulating LDTs and would instead assign regulatory authority over LDTs entirely to CMS. We cannot predict whether either of these or other draft bills governing LDTs will become legislation and cannot quantify the effect of such draft bills on our business.</w:t>
      </w:r>
    </w:p>
    <w:p>
      <w:pPr>
        <w:spacing w:after="0" w:line="202"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In addition, changes in the way the European Union, or EU, regulates LDTs could result in additional expenses for offering our current and any future tests or possibly delay or suspend development, or commercialization of such tests. The EU Regulation (EU) 2017/746 of April 5, 2017, repealing the IVDD, referred to as the IVD Medical Devices Regulation, or IVDR, became applicable on May 26, 2022 (subject to certain transition provisions). Under the IVDR, the general safety and performance requirements set out in Annex I are also applicable to devices that are not placed on the market but used in the context of a commercial activity. If our tests do not qualify for an exemption, we may be subject to the full application of the IVDR with respect to some or all of our existing, as well as future, tests, and we would be required to expend additional time and resources to complying with the requirements of the IVDR. Following Brexit, the IVDR will not be applicable in Great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Britain (although it will apply in Northern Ireland), but the UK government is currently undertaking a consultation on the regime applicable to in vitro diagnostics in the UK, and it is anticipated that similar provisions will be introduced as under the IVDR.</w:t>
      </w:r>
    </w:p>
    <w:p>
      <w:pPr>
        <w:spacing w:after="0" w:line="178"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If the FDA or foreign authorities were to require us to seek clearance, approval or certification for our existing tests that are not currently cleared, approved, or certified or any of our future products for clinical use, we may not be able to obtain such clearances, approvals or certifications on a timely basis, or at all. While we believe our Afirma, Decipher Prostate Biopsy, Decipher Prostate RP, Percepta, Envisia, and Decipher Bladder classifiers, as well as Immunoscore, would likely qualify for the “grandfathered” tests treatment, there can be no assurance of what the FDA might ultimately require if it issues a rule or if legislative reforms are enacted. If premarket reviews or certifications are required, our business could be negatively impacted if we are required to stop selling our products pending their clearance, approval or certification. In addition, the launch of any new products that we develop could be delayed by the implementation of future FDA or foreign regulations. The cost of complying with premarket review or certification requirements, including obtaining clinical data, could be significant. In addition, future regulation by the FDA or foreign authorities could subject our business to further regulatory risks and costs. 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kits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w:t>
      </w:r>
    </w:p>
    <w:p>
      <w:pPr>
        <w:spacing w:after="0" w:line="204"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The FDA has taken the position that if evidence demonstrates that a product which otherwise meets the definition of a regulated medical device is inappropriately labeled RUO or IUO, distribution, sale, or use of the product could violate the misbranding or adulteration provisions of the Federal Food, Drug, and Cosmetic Act, or the FDC Act. In the EU, under the IVDD, RUO products which are intended to be used for research purposes, without any medical objective, are not regarded as devices for performance evaluation used in diagnostic procedures. More importantly, the IVDR expressly provides that products intended for RUO are excluded from the scope of the regulation. A material intended for RUO, without any medical purpose or objective, is therefore not considered as an IVD MD and is not subject to compliance with the IVD MDs requirements.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 Such actions could also lead FDA to investigate our purchase and use of supplier products and for the Agency to question whether or not Veracyte has violated the FDC Act.</w:t>
      </w:r>
    </w:p>
    <w:p>
      <w:pPr>
        <w:spacing w:after="0" w:line="200" w:lineRule="exact"/>
        <w:rPr>
          <w:sz w:val="20"/>
          <w:szCs w:val="20"/>
          <w:color w:val="auto"/>
        </w:rPr>
      </w:pPr>
    </w:p>
    <w:p>
      <w:pPr>
        <w:spacing w:after="0" w:line="205"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72"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We may also be able to obtain marketing authorization through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process rather than through a PMA if the 510(k) pathway is not available. In September 2013, we obtained FDA 510(k) clearance for Prosigna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205"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The FDA issued guidance titled "In Vitro Companion Diagnostic Devices" that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cleared or approved through an appropriate device submission contemporaneously with the review and approval of the therapeutic product to facilitate concurrent review. The FDA guidance also stated that while there may be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cases when a companion diagnostic could come to market through the 510(k) pathway, the FDA expects that most companion diagnostics will be Class III devices.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19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196"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Any marketing authorization we obtain for any future device product would be subject to regulatory requirements that would affect how we are able to market and sell the device. The FDC Act and FDA regulations place considerable requirements on our products, including, but not limited to, compliance with the quality system regulation,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from the FDA and are therefore supplementing our operational capabilities to manage the more complex processes needed to obtain and maintain PMAs.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205"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205"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For instance, in order to sell some of our products in the EU, those products must comply with the General Safety and Performance Requirements of the IVDR. Compliance with these requirements is a prerequisite to place IVD products on the EU market. All medical devices placed on the market in the EU must meet the General Safety and Performance Requirements laid down in Annex I to the IVDR,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20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EU regulatory landscape concerning medical devices has significantly changed, and the new IVDR governing IVD MDs became applicable on May 26, 2022 (subject to certain transitional provisions meaning that were such transitional provisions apply, the products can continue to be placed on the market under the IVDD for a certain period of time). The new requirements in the IVDR have a significant effect on the way we conduct our business in the EU and the EEA. In particularly, substantially more IVDs require the involvement of a notified body to be able to affix a CE Mark to the product, which may lead to delay in being able to place such products on the market.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increases the regulatory requirements applicable to IVD MDs in the EU and would require that we re-classify and obtain new certificates of conformity for our existing CE-marked IVD MDs by May 25, 2022, unless a transitional provision applies to the product, meaning that where such transitional provisions apply, the products can continue to be placed on the market under the IVDD for a certain period of time. For most IVD MDs, the manufacturer used to self-declare the conformity of its products with the essential requirements of the IVDD. Under the IVDR, the majority of IVD MDs require now the intervention of a notified body for conformity assessment. Notified bodies are independent organizations designated by EU member states to assess the conformity of devices before being placed on the market. The notified body audits and examines the product’s technical documentation and the manufacturer’s quality system. If satisfied that the relevant product conforms to the General Safety and Performance Requirements, the notified body issues a certificate of conformity. The manufacturer may then apply the CE Mark to the device, which allows the device to be placed on the market throughout the EU.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w:t>
      </w:r>
    </w:p>
    <w:p>
      <w:pPr>
        <w:spacing w:after="0" w:line="206"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The IVDR will not be implemented in Great Britain, and since January 1, 2021, the Medicines and Healthcare products Regulatory Agency, or MHRA, has become the sovereign regulatory authority responsible for the Great Britain (i.e., England, Wales and Scotland) medical device market according to the requirements provided in the Medical Devices Regulations 2002 (SI 2002 No 618, as amended). The UK regulation implemented the three pre-existing EU directives, including the IVDD. Following the end of the Brexit transitional period on January 1, 2021, new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need to appoint a UK Responsible Person that has a registered place of business in the UK to register devices with the MHRA. By July 1, 2023, in Great Britain, all medical devices will require a UK Conformity Assessed, or UKCA, mark but CE marks issued by EU notified regulatory bodies will remain valid until this time. Manufacturers may choose to use the UKCA mark on a voluntary basis until June 30, 2023.</w:t>
      </w:r>
    </w:p>
    <w:p>
      <w:pPr>
        <w:spacing w:after="0" w:line="205"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For the time being, the regulatory regime for medical devices and IVD MDs in Great Britain (England, Scotland and Wales) continues to be based on the requirements derived from current EU legislation. An MHRA public consultation was opened until end of November 2021 on the post-Brexit regulatory framework for medical devices and diagnostics.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The regime is expected to come into force in July 2023,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205"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Subject to the outcome of the MHRA public consultation on the post-Brexit regulatory framework for medical devices and diagnostics, the UK may choose to retain regulatory flexibility or align with the EU Medical Devices Regulation and the IVDR going forward. EU CE markings will continue to be recognized in the UK, and certificates issued by EU-registered notified regulatory bodies will be valid in the UK, until June 30, 2023. For medical devices, including IVD MDs, placed on the market in Great Britain after this period, the UKCA marking will be mandatory. In contrast, UKCA marking and certificates issued by UK notified regulatory bodies are not recognized on the EU market.</w:t>
      </w:r>
    </w:p>
    <w:p>
      <w:pPr>
        <w:spacing w:after="0" w:line="20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rules for placing medical devices on the Northern Ireland market differ from those in Great Britain, and the IVDR will apply in Northern Ireland. 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spacing w:after="0" w:line="20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A mutual recognition agreement (MRA) aligning in vitro diagnostic (IVD) regulations between the European Union and Switzerland has officially expired following the In Vitro Diagnostic Medical Devices Regulation’s (IVDR) May 26, 2022 date of application, impacting certification and authorized representation requirements for manufacturers. The Swiss government has issued its own Ordinance on In Vitro Diagnostic Medical Devices (IvDO). The Swiss regulation aligns closely with the IVDR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 terms of requirements for manufacturers, and follows the IVDR’s transitional timelines regarding compliance deadlines according to IVD risk classifications as well as designations of Swiss Authorized Representatives.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These modifications may have an effect on the way we intend to conduct our business in these countries.</w:t>
      </w:r>
    </w:p>
    <w:p>
      <w:pPr>
        <w:spacing w:after="0" w:line="234" w:lineRule="exact"/>
        <w:rPr>
          <w:sz w:val="20"/>
          <w:szCs w:val="20"/>
          <w:color w:val="auto"/>
        </w:rPr>
      </w:pPr>
    </w:p>
    <w:p>
      <w:pPr>
        <w:jc w:val="both"/>
        <w:ind w:firstLine="123"/>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marketing authorizations or certifications, approvals, clearances or certifications to market Prosigna or our other assays on the nCounter Analysis System in additional countries or if regulatory limitations are placed on our diagnostic kit products, our business and growth will be harmed.</w:t>
      </w:r>
    </w:p>
    <w:p>
      <w:pPr>
        <w:spacing w:after="0" w:line="392"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potentially, for other indications.</w:t>
      </w:r>
    </w:p>
    <w:p>
      <w:pPr>
        <w:spacing w:after="0" w:line="193"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addition, pursuant to our collaborations with pharmaceutical companies for the development of companion diagnostic tests for use with their drugs, we are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spacing w:after="0" w:line="199"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the EU, the IVDR has introduced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spacing w:after="0" w:line="199"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cannot assure investors that we will be successful in obtaining or maintaining regulatory clearances, certifications, approvals, or marketing authorizations. If we do not obtain or maintain regulatory clearances, certifications,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spacing w:after="0" w:line="190"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ongoing and increasingly extensive regulatory requirements, which may be subject to change, and our failure to comply with these requirements could substantially harm our business.</w:t>
      </w:r>
    </w:p>
    <w:p>
      <w:pPr>
        <w:spacing w:after="0" w:line="172"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FDA, CMS, and other health authorities, of our manufacturing facilities and our records for compliance with standards such as ISO 13485 and the QSR,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(and similar listings and certifications in certain other countries); continued adverse event and malfunction reporting; reporting certain corrections and removals; and labeling and promotional requirements.</w:t>
      </w:r>
    </w:p>
    <w:p>
      <w:pPr>
        <w:spacing w:after="0" w:line="202"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IVDR increases the regulatory requirements applicable to in vitro diagnostics in the EU and would require that we re-classify and obtain new certificates of conformity for our existing CE-marked IVD products by May 25, 2022, unless a transitional provision applies to the product. Failure to secure these re-certifications in time will halt our ability to commercialize our products in relevant countries. Currently our tests that require recertification are Prosigna and Immunoscore. Moreover, complying with the stricter regulatory requirements of the IVDR, including with respect to clinical evaluation requirements, quality systems, and post-market surveillance, may require us to incur significant expenditures. Failure to meet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these requirements could adversely impact our business in the EU and EEA and other regions that tie their product registrations or regulations to the EU requirements.</w:t>
      </w:r>
    </w:p>
    <w:p>
      <w:pPr>
        <w:spacing w:after="0" w:line="178"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The IVDR became applicable five years after publication (on May 26, 2022), subject to relevant transitional periods, and once applicable to a particular product, the IVDR will among other things:</w:t>
      </w:r>
    </w:p>
    <w:p>
      <w:pPr>
        <w:spacing w:after="0" w:line="178" w:lineRule="exact"/>
        <w:rPr>
          <w:sz w:val="20"/>
          <w:szCs w:val="20"/>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 the rules on placing devices on the market and reinforce surveillance once they are available;</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explicit provisions on manufacturers’ responsibilities for the follow-up of the quality, performance and safety of devices placed on the market;</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explicit provisions on importers’ and distributors’ obligations and responsibilities;</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an obligation to identify a responsible person who is ultimately responsible for all aspects of compliance with the requirements of the new regulation;</w:t>
      </w:r>
    </w:p>
    <w:p>
      <w:pPr>
        <w:spacing w:after="0" w:line="1"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13"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up a central database (Eudamed) to provide patients, healthcare professionals and the public with comprehensive information on products available in the EU;</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recourse for damage caused by a defective device; and</w:t>
      </w:r>
    </w:p>
    <w:p>
      <w:pPr>
        <w:spacing w:after="0" w:line="60"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 rules for the assessment of certain high-risk devices that may have to undergo an additional check by experts before they are placed on the market.</w:t>
      </w:r>
    </w:p>
    <w:p>
      <w:pPr>
        <w:spacing w:after="0" w:line="17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Other regulatory bodies may also issue guidelines and regulations that could impact the development of our products, including companion diagnostic tests. For example, the European Medicines Agency recently launched an initiative to determine guidelines for the use of genomic biomarkers in the development and lifecycle of drugs. The guidelines may impose greater requirements for demonstrating the clinical validity and utility of our biomarker-based tests and may interfere with our ability to develop companion diagnostics or otherwise obtain or maintain marketing authorization or certifications for our diagnostic tests.</w:t>
      </w:r>
    </w:p>
    <w:p>
      <w:pPr>
        <w:spacing w:after="0" w:line="196"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We may also be subject to additional FDA or foreign regulatory authority post-marketing obligations or requirements by the FDA or foreign regulatory authority to change our current product classifications which would impose additional regulatory obligations on us. For example, FDA has issued a proposed rule to revise the QSR to more closely align with ISO 13485:2016 but that also includes proposed clarifications and additional definitions and requirements. The promotional claims we can make for Prosigna are limited to the indications for use in the United States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compete successfully, we may be unable to increase or sustain our revenue or achieve profitability.</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Our principal competition for our tests comes from traditional methods used by physicians to diagnose and manage patient care decisions or diagnostic tests provided by other commercial and academic laboratories. For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20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for example,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Our Decipher Prostate test faces competition from Myriad Genetics and Exact Sciences, which offer genomic testing for prognostic purposes within localized prostate cancer. Additionally, traditional methods used by pathologists and clinicians to estimate risk of disease progression pose competitive threats to our business. Companies combining these traditional methods with artificial intelligence could potentially emerge as competitors, but most of these technologies are currently in the research stage. In bladder cancer, we are not currently aware of a direct competitor offering genomic testing for prognostic purposes that match the intended use population for the Decipher Bladder test. However, DNA mutational analysis and traditional clinical methods and nomograms are currently in use by physicians for similar purposes.</w:t>
      </w:r>
    </w:p>
    <w:p>
      <w:pPr>
        <w:spacing w:after="0" w:line="199"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believe our primary competition in pulmonology with our Percepta and Envisia classifiers will similarly come from traditional methods used by physicians to diagnose the related diseases. For the Percepta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 As we expand our portfolio of tests to address clinical questions across the clinical care continuum, we may also face competition from companies focused on screening at-risk patients for cancer or companies informing treatment decisions such as Guardant Health or Foundation Medicine, Inc. Competition could also emerge from competitors, including GRAIL, Inc. (which was acquired by our supplier Illumina Inc. in August 2021), using alternative samples, such as blood, urine or sputum.</w:t>
      </w:r>
    </w:p>
    <w:p>
      <w:pPr>
        <w:spacing w:after="0" w:line="205"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96"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93"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78"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86" w:lineRule="exact"/>
        <w:rPr>
          <w:sz w:val="20"/>
          <w:szCs w:val="20"/>
          <w:color w:val="auto"/>
        </w:rPr>
      </w:pPr>
    </w:p>
    <w:p>
      <w:pPr>
        <w:jc w:val="both"/>
        <w:ind w:firstLine="12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depend on our senior management team, and the loss of one or more of our executive officers, or any inability to attract and retain highly-skilled employees and other key personnel could adversely affect our business.</w:t>
      </w:r>
    </w:p>
    <w:p>
      <w:pPr>
        <w:spacing w:after="0" w:line="18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Our success depends in part on the skills, experience and performance of key members of our executive management team and others in key management positions. We have in the past and may in the future experience changes in our executive management, which may be disruptive to our business. Executive transitions may impact our ability to implement our business strategy and could have a material adverse effect on our business.</w:t>
      </w:r>
    </w:p>
    <w:p>
      <w:pPr>
        <w:spacing w:after="0" w:line="193"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Decipher Prostate, Prosigna, Percepta, Envisia, Decipher Bladder and Immunoscore tests, we may have difficulties recruiting and training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additional sales personnel or retaining qualified sales-people, which could cause a delay or decline in the rate of adoption of our tests.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man insurance for any of our employees. Finally, we rely, in part, on equity awards to compensate and incentivize our employees to drive our further growth. As the equity capital markets have been highly volatile in recent periods and the price of our common stock has declined, certain of our employees’ equity awards have lost some or all of their value, which may limit their effectiveness as retention tools and, in the event we fail to retain such employees, may adversely affect our business, results of operations and financial condition.</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Billing for our diagnostic tests is complex, and we must dedicate substantial time and resources to the billing process to be paid.</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Several factors make the billing process complex, including:</w:t>
      </w:r>
    </w:p>
    <w:p>
      <w:pPr>
        <w:spacing w:after="0" w:line="240" w:lineRule="exact"/>
        <w:rPr>
          <w:sz w:val="20"/>
          <w:szCs w:val="20"/>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between the list price for our tests and the reimbursement rates of payers;</w:t>
      </w:r>
    </w:p>
    <w:p>
      <w:pPr>
        <w:spacing w:after="0" w:line="239"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complex federal and state regulations related to billing government payers, such as Medicare and Medicaid, including requirements to have an active CLIA certificate;</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government audits related to billing Medicare and other government payers;</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among payers as to which party is responsible for payment;</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coverage and in information and billing requirements among payers, including the need for prior authorization and/or advanced notification;</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patient co-payments or co-insurance;</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billing codes used for our tests;</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incorrect or missing billing information; and</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resources required to manage the billing and claims appeals process.</w:t>
      </w:r>
    </w:p>
    <w:p>
      <w:pPr>
        <w:spacing w:after="0" w:line="24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use standard industry billing codes, known as CPT codes, to bill for cytopathology. Through December 31, 2020, we used the CPT code 81545 to bill for our Afirma classifier. Effective January 1, 2021, we began using the new CPT code 81546 to bill for our Afirma classifier, and code 81545 was retired. Effective October 1, 2020, we began using the CPT code 0204U to bill for Afirma Xpression Atlas, and CPT code 0208U to bill for Afirma MTC. We ceased billing 0208U on January 1, 2022 as the CPT code was deleted by the CPT editorial panel. Effective January 1, 2020, we began using CPT code 81542 to bill for Decipher Prostate Biopsy and Decipher Prostate RP tests. There is no CPT code for our Percepta classifier. Therefore, until such time that we are assigned and are able to use a designated CPT code specific to Percepta, we use “unlisted” codes for claim submissions, which can lead to delays in payers adjudicating our claims or denying payment altogether. Effective January 1, 2021, we began using the new CPT code 81554 to bill for our Envisia classifier. Effective October 1, 2020, we began using CPT code 0016M to bill for our Decipher Bladder test. Effective October 1, 2021, we began using the new CPT code 0261U to bill for the Immunoscore test.</w:t>
      </w:r>
    </w:p>
    <w:p>
      <w:pPr>
        <w:spacing w:after="0" w:line="201"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Coding changes, therefore, may have an adverse effect on our total revenue.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93"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78"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total revenue and cash flow.</w:t>
      </w:r>
    </w:p>
    <w:p>
      <w:pPr>
        <w:spacing w:after="0" w:line="199"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rely on a third-party provider to transmit claims to payers, and any delay in transmitting claims could have an adverse effect on our revenue.</w:t>
      </w:r>
    </w:p>
    <w:p>
      <w:pPr>
        <w:spacing w:after="0" w:line="24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our internal sales force is less successful than anticipated, our business expansion plans could suffer and our ability to generate revenue could be diminished. In addition, we have limited history selling our molecular diagnostics tests on a direct basis and our limited history makes forecasting difficult.</w:t>
      </w:r>
    </w:p>
    <w:p>
      <w:pPr>
        <w:spacing w:after="0" w:line="172" w:lineRule="exact"/>
        <w:rPr>
          <w:sz w:val="20"/>
          <w:szCs w:val="20"/>
          <w:color w:val="auto"/>
        </w:rPr>
      </w:pPr>
    </w:p>
    <w:p>
      <w:pPr>
        <w:jc w:val="both"/>
        <w:ind w:firstLine="387"/>
        <w:spacing w:after="0" w:line="259" w:lineRule="auto"/>
        <w:rPr>
          <w:sz w:val="20"/>
          <w:szCs w:val="20"/>
          <w:color w:val="auto"/>
        </w:rPr>
      </w:pPr>
      <w:r>
        <w:rPr>
          <w:rFonts w:ascii="Times New Roman" w:cs="Times New Roman" w:eastAsia="Times New Roman" w:hAnsi="Times New Roman"/>
          <w:sz w:val="17"/>
          <w:szCs w:val="17"/>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total test volumes that meet customer demand is dependent upon our ability to forecast accurately and plan production capacities accordingly.</w:t>
      </w:r>
    </w:p>
    <w:p>
      <w:pPr>
        <w:spacing w:after="0" w:line="194" w:lineRule="exact"/>
        <w:rPr>
          <w:sz w:val="20"/>
          <w:szCs w:val="20"/>
          <w:color w:val="auto"/>
        </w:rPr>
      </w:pPr>
    </w:p>
    <w:p>
      <w:pPr>
        <w:ind w:right="340" w:firstLine="12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Developing new products involves a lengthy and complex process, and if we do not achieve our projected development and commercialization goals in the time frames we announce and expect, our business will suffer and our stock price may decline.</w:t>
      </w:r>
    </w:p>
    <w:p>
      <w:pPr>
        <w:spacing w:after="0" w:line="185"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including the impact of the COVID-19 pandemic. We cannot be certain that we will meet our projected targets and if we do not meet these targets as publicly announced,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commercialization of our diagnostic solutions may be delayed or may not occur at all and, as a result, our business will suffer and our stock price may decline.</w:t>
      </w:r>
    </w:p>
    <w:p>
      <w:pPr>
        <w:spacing w:after="0" w:line="24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continually seek to develop enhancements to our current test offerings and additional diagnostic tests that requires us to devote considerable resources to research and development. We may face challenges obtaining sufficient numbers of samples to validate a genomic signature for a molecular diagnostic product. We must provide sufficient clinical validity and utility studies that meet individual payer evidence requirements to obtain reimbursement. Even after launching new products, we must complete additional studies that meet the clinical evidence required by individual payers to obtain reimbursement. Moreover, we may experience delays in the development and introduction of new products due to the effects of the current COVID-19 pandemic.</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 order to develop and commercialize diagnostic tests, we need to:</w:t>
      </w:r>
    </w:p>
    <w:p>
      <w:pPr>
        <w:spacing w:after="0" w:line="240" w:lineRule="exact"/>
        <w:rPr>
          <w:sz w:val="20"/>
          <w:szCs w:val="20"/>
          <w:color w:val="auto"/>
        </w:rPr>
      </w:pPr>
    </w:p>
    <w:p>
      <w:pPr>
        <w:ind w:left="620" w:hanging="31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 significant funds to conduct substantial research and development;</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successful analytical and clinical studies;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 our laboratory processes to accommodate new tests;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 the commercial, regulatory, and compliance infrastructure to market and sell new products.</w:t>
      </w:r>
    </w:p>
    <w:p>
      <w:pPr>
        <w:spacing w:after="0" w:line="240"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Our product development process involves a high degree of risk and may take several years. Our product development efforts may fail for many reasons, including:</w:t>
      </w:r>
    </w:p>
    <w:p>
      <w:pPr>
        <w:spacing w:after="0" w:line="178" w:lineRule="exact"/>
        <w:rPr>
          <w:sz w:val="20"/>
          <w:szCs w:val="20"/>
          <w:color w:val="auto"/>
        </w:rPr>
      </w:pPr>
    </w:p>
    <w:p>
      <w:pPr>
        <w:ind w:left="620" w:hanging="31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identify a genomic signature in biomarker discovery;</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secure sufficient numbers of samples at an acceptable cost and on an acceptable timeframe to conduct analytical and clinical studies; or</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clinical validation studies to support the effectiveness of the test.</w:t>
      </w:r>
    </w:p>
    <w:p>
      <w:pPr>
        <w:spacing w:after="0" w:line="24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90"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2"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Our operations are subject to other extensive federal, state, local, and foreign laws and regulations, all of which are subject to change. These laws and regulations currently include, among others:</w:t>
      </w:r>
    </w:p>
    <w:p>
      <w:pPr>
        <w:spacing w:after="0" w:line="178" w:lineRule="exact"/>
        <w:rPr>
          <w:sz w:val="20"/>
          <w:szCs w:val="20"/>
          <w:color w:val="auto"/>
        </w:rPr>
      </w:pPr>
    </w:p>
    <w:p>
      <w:pPr>
        <w:jc w:val="both"/>
        <w:ind w:left="620" w:hanging="310"/>
        <w:spacing w:after="0" w:line="259" w:lineRule="auto"/>
        <w:tabs>
          <w:tab w:leader="none" w:pos="6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to those standards in 2013 pursuant to the Health Information Technology for Economic and Clinical Health Act, or HITECH Act, which strengthened and expanded HIPAA privacy and security compliance requirements, increased penalties for violators, extended enforcement authority to state attorneys general, and imposed new requirements for breach notification;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left="620" w:hanging="310"/>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Medicare billing and payment regulations applicable to clinical laboratories, including requirements to have an active CLIA certificate;</w:t>
      </w:r>
    </w:p>
    <w:p>
      <w:pPr>
        <w:spacing w:after="0" w:line="239"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92"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177"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92"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92"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which imposes liability on any person or entity who knowingly presents, or causes to be presented, a false, fictitious, or fraudulent claim for payment to the federal government;</w:t>
      </w:r>
    </w:p>
    <w:p>
      <w:pPr>
        <w:spacing w:after="0" w:line="177" w:lineRule="exact"/>
        <w:rPr>
          <w:rFonts w:ascii="Times New Roman" w:cs="Times New Roman" w:eastAsia="Times New Roman" w:hAnsi="Times New Roman"/>
          <w:sz w:val="17"/>
          <w:szCs w:val="17"/>
          <w:color w:val="auto"/>
        </w:rPr>
      </w:pPr>
    </w:p>
    <w:p>
      <w:pPr>
        <w:jc w:val="both"/>
        <w:ind w:left="620" w:hanging="310"/>
        <w:spacing w:after="0" w:line="262"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 certain healthcare providers as well as ownership or investment interests that physicians or physicians’ immediate family members hold with the reporting entity;</w:t>
      </w:r>
    </w:p>
    <w:p>
      <w:pPr>
        <w:spacing w:after="0" w:line="196"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92" w:lineRule="exact"/>
        <w:rPr>
          <w:rFonts w:ascii="Times New Roman" w:cs="Times New Roman" w:eastAsia="Times New Roman" w:hAnsi="Times New Roman"/>
          <w:sz w:val="17"/>
          <w:szCs w:val="17"/>
          <w:color w:val="auto"/>
        </w:rPr>
      </w:pPr>
    </w:p>
    <w:p>
      <w:pPr>
        <w:ind w:left="620" w:hanging="310"/>
        <w:spacing w:after="0" w:line="262"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prohibition on reassignment of Medicare claims, which, subject to certain exceptions, precludes the reassignment of Medicare claims to any other party;</w:t>
      </w:r>
    </w:p>
    <w:p>
      <w:pPr>
        <w:spacing w:after="0" w:line="200" w:lineRule="exact"/>
        <w:rPr>
          <w:rFonts w:ascii="Times New Roman" w:cs="Times New Roman" w:eastAsia="Times New Roman" w:hAnsi="Times New Roman"/>
          <w:sz w:val="17"/>
          <w:szCs w:val="17"/>
          <w:color w:val="auto"/>
        </w:rPr>
      </w:pPr>
    </w:p>
    <w:p>
      <w:pPr>
        <w:spacing w:after="0" w:line="226"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77"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 Surprises Act and its implementing regulations (effective January 1, 2022), which prohibit an out-of-network provider from billing a patient at an amount in excess of the in-network cost sharing for services furnished with respect to a visit at certain in-network health-care facilities, as well as various state laws restricting balance billing of patients;</w:t>
      </w:r>
    </w:p>
    <w:p>
      <w:pPr>
        <w:spacing w:after="0" w:line="192"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92"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of 1977, and other similar laws, which apply to our international activities;</w:t>
      </w:r>
    </w:p>
    <w:p>
      <w:pPr>
        <w:spacing w:after="0" w:line="239"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unclaimed property (escheat) laws and regulations, which may require us to turn over to governmental authorities the property of others held by us that has been unclaimed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left="620" w:hanging="31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enforcing our intellectual property rights; and</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laws and regulations equivalent to the above.</w:t>
      </w:r>
    </w:p>
    <w:p>
      <w:pPr>
        <w:spacing w:after="0" w:line="24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0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99"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spacing w:after="0" w:line="19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use hazardous materials in a manner that causes contamination or injury, we could be liable for resulting damages.</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4"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Aspects of our international business expose us to business, regulatory, political, operational, financial and economic risks associated with doing business outside of the United States.</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Our business strategy currently includes international presence and expansion in select countries and may include developing and maintaining physician outreach and education capabilities outside of the United States, establishing agreements with laboratories, and expanding our relationships with international payers. In 2021, we acquired HalioDx, an immuno-oncology diagnostics company that is based in Marseille, France, and operates globally. Doing business internationally involves a number of risks, including:</w:t>
      </w:r>
    </w:p>
    <w:p>
      <w:pPr>
        <w:spacing w:after="0" w:line="196" w:lineRule="exact"/>
        <w:rPr>
          <w:sz w:val="20"/>
          <w:szCs w:val="20"/>
          <w:color w:val="auto"/>
        </w:rPr>
      </w:pPr>
    </w:p>
    <w:p>
      <w:pPr>
        <w:ind w:left="620" w:hanging="310"/>
        <w:spacing w:after="0" w:line="284"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to obtain regulatory approvals or certifications where required for the use of our solutions in various countries;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hanging="310"/>
        <w:spacing w:after="0" w:line="284"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multiple payer reimbursement regimes, government payers or patient self-pay systems, including payers mandating additional evidence requirements for reimbursement consideration;</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logistics and regulations associated with shipping tissue samples, including infrastructure conditions and transportation delays;</w:t>
      </w:r>
    </w:p>
    <w:p>
      <w:pPr>
        <w:spacing w:after="0" w:line="239"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associated with establishing laboratory partners, including proper sample collection techniques, management of supplies, sample logistics, billing and promotional activities;</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limits on our ability to penetrate international markets if we are not able to process tests locally;</w:t>
      </w:r>
    </w:p>
    <w:p>
      <w:pPr>
        <w:spacing w:after="0" w:line="239"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risks, such as longer payment cycles, difficulty in collecting from payers, the effect of local and regional financial crises, and exposure to foreign currency exchange rate fluctuations;</w:t>
      </w:r>
    </w:p>
    <w:p>
      <w:pPr>
        <w:spacing w:after="0" w:line="177"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political and economic instability, including wars, terrorism, and political unrest, outbreak of disease, including COVID-19, boycotts, curtailment of trade and other business restrictions (including as a direct or indirect result of the conflict in Ukraine); and</w:t>
      </w:r>
    </w:p>
    <w:p>
      <w:pPr>
        <w:spacing w:after="0" w:line="177"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revenue and results of operations.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Our operating results may be adversely affected by unfavorable economic and market conditions.</w:t>
      </w:r>
    </w:p>
    <w:p>
      <w:pPr>
        <w:spacing w:after="0" w:line="246"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Our business or financial results may be adversely impacted by uncertain economic conditions, including: the impact of the COVID-19 pandemic, adverse changes in interest rates, foreign currency exchange rates, tax laws or tax rates; inflation; a recession;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U.S. and those in Europe, have experienced and continue to experience uncertain economic conditions, including increased inflation rates, resulting from global as well as local factors. For example, in February 2022, Russia launched a significant military action against Ukraine, the short and long-term implications of which are difficult to predict at this time. The impact to Ukraine as well as actions taken by other countries, including new and stricter sanctions imposed by the U.S. and the European Union, and other countries and companies and organizations, could adversely affect the global economy and financial markets and thus could affect our business and results of operations, as well as the price of our common stock and our ability to raise additional capital when needed on acceptable terms.</w:t>
      </w:r>
    </w:p>
    <w:p>
      <w:pPr>
        <w:spacing w:after="0" w:line="205"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Moreover, we cannot predict how future economic conditions will affect our customers, suppliers and distributors and any negative impact on our critical customers, suppliers or distributors may also have an adverse impact on our results of operations or financial condition. A severe or prolonged economic downturn, as result of a global pandemic such as the COVID-19 pandemic or otherwise,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72"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If current or future distributors do not perform adequately, or we are unable to enter into effective arrangements with distributors in particular geographic areas, we may not realize long-term international revenue growth.</w:t>
      </w:r>
    </w:p>
    <w:p>
      <w:pPr>
        <w:spacing w:after="0" w:line="178"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199" w:lineRule="exact"/>
        <w:rPr>
          <w:sz w:val="20"/>
          <w:szCs w:val="20"/>
          <w:color w:val="auto"/>
        </w:rPr>
      </w:pPr>
    </w:p>
    <w:p>
      <w:pPr>
        <w:ind w:right="480"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Errors or defects in our products or services could harm our reputation, decrease market acceptance of our products or services or expose us to product liability claims, and we could face substantial liabilities that exceed our resources.</w:t>
      </w:r>
    </w:p>
    <w:p>
      <w:pPr>
        <w:spacing w:after="0" w:line="172" w:lineRule="exact"/>
        <w:rPr>
          <w:sz w:val="20"/>
          <w:szCs w:val="20"/>
          <w:color w:val="auto"/>
        </w:rPr>
      </w:pPr>
    </w:p>
    <w:p>
      <w:pPr>
        <w:jc w:val="both"/>
        <w:ind w:firstLine="384"/>
        <w:spacing w:after="0" w:line="253" w:lineRule="auto"/>
        <w:rPr>
          <w:sz w:val="20"/>
          <w:szCs w:val="20"/>
          <w:color w:val="auto"/>
        </w:rPr>
      </w:pPr>
      <w:r>
        <w:rPr>
          <w:rFonts w:ascii="Times New Roman" w:cs="Times New Roman" w:eastAsia="Times New Roman" w:hAnsi="Times New Roman"/>
          <w:sz w:val="17"/>
          <w:szCs w:val="17"/>
          <w:color w:val="auto"/>
        </w:rPr>
        <w:t>We are creating new tests, products and services, many of which are initially based on novel technologies. Our new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operations. Additionally, 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Percepta, Envisia, Decipher Bladder and Immunoscore tests, as well as tests we may develop or acquire in the future.</w:t>
      </w:r>
    </w:p>
    <w:p>
      <w:pPr>
        <w:spacing w:after="0" w:line="209"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spacing w:after="0" w:line="199"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the risk of disruptions caused by pandemics, political events, war, terrorism, earthquakes, fire, power outages, floods, and other catastrophic events.</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War, terrorism, geopolitical uncertainties, including any developments or consequences of the conflict in Ukraine or related sanctions,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we expect will continue to have, a negative effect on consumer confidence and spending, and other impacts,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a catastrophe strikes any of our laboratories or if any of our laboratories becomes inoperable for any other reason, we will be unable to perform our testing services and our business will be harmed.</w:t>
      </w:r>
    </w:p>
    <w:p>
      <w:pPr>
        <w:spacing w:after="0" w:line="172"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We perform all of the Afirma, Percepta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Our laboratory in Richmond, Virginia performs our Immunoscore test.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99"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2" w:lineRule="exact"/>
        <w:rPr>
          <w:sz w:val="20"/>
          <w:szCs w:val="20"/>
          <w:color w:val="auto"/>
        </w:rPr>
      </w:pPr>
    </w:p>
    <w:p>
      <w:pPr>
        <w:jc w:val="both"/>
        <w:ind w:firstLine="384"/>
        <w:spacing w:after="0" w:line="253" w:lineRule="auto"/>
        <w:rPr>
          <w:sz w:val="20"/>
          <w:szCs w:val="20"/>
          <w:color w:val="auto"/>
        </w:rPr>
      </w:pPr>
      <w:r>
        <w:rPr>
          <w:rFonts w:ascii="Times New Roman" w:cs="Times New Roman" w:eastAsia="Times New Roman" w:hAnsi="Times New Roman"/>
          <w:sz w:val="17"/>
          <w:szCs w:val="17"/>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biotechnology companies have been highly volatile as a result of the COVID-19 pandemic, which may reduce our ability to access capital on favorable terms or at all. In addition, a recession, depression or other sustained adverse market event resulting from the spread of COVID-19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206"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172"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In the ordinary course of our business, we and our third-party service providers collect and store sensitive data, including legally protected health information, other personally identifiable information,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cloud-based systems during the COVID-19 pandemic, could compromise our ability to protect sensitive information and prevent business interference, which could harm our ability to conduct business and/or delay our financial reporting. Such failures could materially adversely affect our operating results and financial condition.</w:t>
      </w:r>
    </w:p>
    <w:p>
      <w:pPr>
        <w:spacing w:after="0" w:line="201"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to attacks by hackers or viruses or otherwise breached due to employee error, malfeasance or other activities. While we are not currently aware of any such attack or breach having occurred, if such event were to occur and cause interruptions in our operations, our networks would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administrative aspects of our business, any of which could adversely affect our business, including by materially damaging our reputation.</w:t>
      </w:r>
    </w:p>
    <w:p>
      <w:pPr>
        <w:spacing w:after="0" w:line="205"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Certain health-related and data protection requirements have been modified under section 319 of the Public Health Service Act during the Public Health Emergency, or PHE, first declared January 31, 2020, which was most recently extended effective July 20, 2021. We cannot predict when the PHE declaration will be lifted. In addition, we are subject to various state laws, including the California Consumer Privacy Act, or CCPA, which, among other things, requires covered companies to provide disclosures to California consumers concerning the collection and sale of personal information, and gives such consumers the right to opt out of certain sales of personal information. Amendments to the CCPA have been made since its enactment in 2018, and it remains unclear what, if any, further amendments will be made to this legislation or how it will be interpreted. We cannot yet predict the impact of the CCPA or similar laws on our business or operations, but they may require us to modify our data processing practices and policies and to incur substantial costs and expenses in an effort to comply.</w:t>
      </w:r>
    </w:p>
    <w:p>
      <w:pPr>
        <w:spacing w:after="0" w:line="196"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Risks associated with data privacy issues, including evolving laws, regulations and associated compliance efforts, may adversely impact our business and financial results.</w:t>
      </w:r>
    </w:p>
    <w:p>
      <w:pPr>
        <w:spacing w:after="0" w:line="172"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w:t>
      </w:r>
    </w:p>
    <w:p>
      <w:pPr>
        <w:spacing w:after="0" w:line="193"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imposed new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the United States and other jurisdictions that the European Commission does not recognize as having “adequate” data protection laws unless a data-protective transfer mechanism has been put in place. On July 16, 2020, the Court of Justice of the European Union, or CJEU, issued a decision undermining the validity of the data-protective transfer mechanisms previously relied on, creating widespread uncertainty about compliance with the GDPR rules on data transfers to non-“adequate” jurisdictions.</w:t>
      </w:r>
    </w:p>
    <w:p>
      <w:pPr>
        <w:spacing w:after="0" w:line="20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While the CJEU generally confirmed the validity of the European Commission-approved “Standard Contractual Clauses”, or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existing SCC arrangements must be migrated to the revised SCCs by December 27, 2022. We must implement the revised SCCs, in relation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to relevant existing contracts and certain additional contracts and arrangements, by that date. In addition, the revised SCCs are not to be relied on for data transfers to non-EEA entities subject to the GDPR, and we are waiting for further guidance on valid mechanisms for data transfers from the EEA to such entities.</w:t>
      </w:r>
    </w:p>
    <w:p>
      <w:pPr>
        <w:spacing w:after="0" w:line="178"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Following the United Kingdom’s withdrawal from the EEA and the EU, and the expiry of the transition period, companies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These developments may lead to additional costs and increase our overall risk exposure.</w:t>
      </w:r>
    </w:p>
    <w:p>
      <w:pPr>
        <w:spacing w:after="0" w:line="201"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205"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The CCPA established individual privacy rights for California consumers and places increased privacy and data security obligations on entities handling personal information of consumers or households. The CCPA was amended several times after its enactment, most recently by the California Privacy Rights Act, or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is expected to increase data breach litigation. The CCPA and CPRA may increase our compliance costs and potential liability. Following the lead of California, several other states, including Colorado, Utah, Virginia and Connecticut have each enacted laws similar to the CCPA/CPRA and other states are considering enacting privacy laws as well. The multiple layers of privacy law within the United States could increase our potential liability, increase our compliance costs, and adversely affect our business.</w:t>
      </w:r>
    </w:p>
    <w:p>
      <w:pPr>
        <w:spacing w:after="0" w:line="201" w:lineRule="exact"/>
        <w:rPr>
          <w:sz w:val="20"/>
          <w:szCs w:val="20"/>
          <w:color w:val="auto"/>
        </w:rPr>
      </w:pPr>
    </w:p>
    <w:p>
      <w:pPr>
        <w:jc w:val="both"/>
        <w:ind w:firstLine="384"/>
        <w:spacing w:after="0" w:line="208" w:lineRule="exact"/>
        <w:rPr>
          <w:sz w:val="20"/>
          <w:szCs w:val="20"/>
          <w:color w:val="auto"/>
        </w:rPr>
      </w:pPr>
      <w:r>
        <w:rPr>
          <w:rFonts w:ascii="Times New Roman" w:cs="Times New Roman" w:eastAsia="Times New Roman" w:hAnsi="Times New Roman"/>
          <w:sz w:val="17"/>
          <w:szCs w:val="17"/>
          <w:color w:val="auto"/>
        </w:rPr>
        <w:t>Other countries outside of the United States and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and effective November 1, 2021 was China’s Personal Information Protection Law (</w:t>
      </w:r>
      <w:r>
        <w:rPr>
          <w:rFonts w:ascii="SimSun" w:cs="SimSun" w:eastAsia="SimSun" w:hAnsi="SimSun"/>
          <w:sz w:val="17"/>
          <w:szCs w:val="17"/>
          <w:color w:val="auto"/>
        </w:rPr>
        <w:t>个人信息保护法</w:t>
      </w:r>
      <w:r>
        <w:rPr>
          <w:rFonts w:ascii="Times New Roman" w:cs="Times New Roman" w:eastAsia="Times New Roman" w:hAnsi="Times New Roman"/>
          <w:sz w:val="17"/>
          <w:szCs w:val="17"/>
          <w:color w:val="auto"/>
        </w:rPr>
        <w:t>, PIPL), both of which broadly regulate the processing of personal information and impose compliance obligations and penalties comparable to those of the GDPR.</w:t>
      </w:r>
    </w:p>
    <w:p>
      <w:pPr>
        <w:spacing w:after="0" w:line="217"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cannot license rights to use technologies on reasonable terms, we may not be able to commercialize new products in the future.</w:t>
      </w:r>
    </w:p>
    <w:p>
      <w:pPr>
        <w:spacing w:after="0" w:line="24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terms of the license or fail to prevent infringement by third parties, or if the licensed patents or other rights are found to be invalid or unenforceable.</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our intellectual property effectively, our business would be harmed.</w:t>
      </w:r>
    </w:p>
    <w:p>
      <w:pPr>
        <w:spacing w:after="0" w:line="24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9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2021 and 2038 and are related to methods used in thyroid diagnostics, urological diagnostics, breast cancer diagnostics, lung diagnostics, colorectal cancer diagnostics and the nCounter Analysis System.</w:t>
      </w:r>
    </w:p>
    <w:p>
      <w:pPr>
        <w:spacing w:after="0" w:line="19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205"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9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9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0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93"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93"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20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9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spacing w:after="0" w:line="20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9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the patent laws of the United States allow for various post-grant opposition proceedings, and their outcome can be difficult to predict. Furthermore, if third parties bring these proceedings against our patents, we could experience significant costs and management distraction.</w:t>
      </w:r>
    </w:p>
    <w:p>
      <w:pPr>
        <w:spacing w:after="0" w:line="19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jc w:val="both"/>
        <w:ind w:firstLine="384"/>
        <w:spacing w:after="0" w:line="253" w:lineRule="auto"/>
        <w:rPr>
          <w:sz w:val="20"/>
          <w:szCs w:val="20"/>
          <w:color w:val="auto"/>
        </w:rPr>
      </w:pPr>
      <w:r>
        <w:rPr>
          <w:rFonts w:ascii="Times New Roman" w:cs="Times New Roman" w:eastAsia="Times New Roman" w:hAnsi="Times New Roman"/>
          <w:sz w:val="17"/>
          <w:szCs w:val="17"/>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209"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may be limited and may result in increased future tax liability to us.</w:t>
      </w:r>
    </w:p>
    <w:p>
      <w:pPr>
        <w:spacing w:after="0" w:line="246"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We have incurred net losses since our inception and may never achieve profitability. As of December 31, 2021, we had net operating loss, or NOL, carryforwards of approximately $437.1 million, $87.6 million and $133.1 million available to reduce future taxable income, if any, for federal, California and other state income tax purposes, respectively. The U.S. federal NOL carryforwards will begin to expire in 2026 while for state purposes, the NOL carryforwards begin to expire in 2022. In addition, as of December 31, 2021, we had foreign net operating loss carryforwards of approximately $74.7 million and $31.3 million available to reduce future taxable income, if any, for Canadian and French income tax purposes, respectively. The 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20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20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On March 27, 2020, the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 In addition, it is uncertain if and to what extent various states will conform to the Tax Act, as modified by the CARES Act. The impact of the Tax Act, as modified by the CARES Act, on holders of our common stock is also uncertain and could be adverse.</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Impairment in the value of our goodwill or other intangible assets could have a material adverse effect on our operating results and financial condition.</w:t>
      </w:r>
    </w:p>
    <w:p>
      <w:pPr>
        <w:spacing w:after="0" w:line="24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Our effective tax rate may fluctuate and we may incur obligations in tax jurisdictions in excess of amounts that have been accrued.</w:t>
      </w:r>
    </w:p>
    <w:p>
      <w:pPr>
        <w:spacing w:after="0" w:line="233"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w:t>
      </w:r>
    </w:p>
    <w:p>
      <w:pPr>
        <w:spacing w:after="0" w:line="196"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Changes in financial accounting standards or practices may cause adverse, unexpected financial reporting fluctuations and affect our reported operating results.</w:t>
      </w:r>
    </w:p>
    <w:p>
      <w:pPr>
        <w:spacing w:after="0" w:line="15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both"/>
        <w:ind w:firstLine="12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185"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In addition, when we acquire businesses, we make judgments about how best to account for their revenue, assets and liabilities in our condensed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Risks Related to our Recent Acquisitions</w:t>
      </w:r>
    </w:p>
    <w:p>
      <w:pPr>
        <w:spacing w:after="0" w:line="238" w:lineRule="exact"/>
        <w:rPr>
          <w:sz w:val="20"/>
          <w:szCs w:val="20"/>
          <w:color w:val="auto"/>
        </w:rPr>
      </w:pPr>
    </w:p>
    <w:p>
      <w:pPr>
        <w:jc w:val="both"/>
        <w:ind w:firstLine="38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acquisitions of HalioDx and Decipher Biosciences each present risks and we must successfully integrate the HalioDx and Decipher Biosciences businesses to realize the financial goals that we currently anticipate.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Risks we face in connection with the ongoing integration of HalioDx and Decipher Biosciences include:</w:t>
      </w:r>
    </w:p>
    <w:p>
      <w:pPr>
        <w:spacing w:after="0" w:line="163" w:lineRule="exact"/>
        <w:rPr>
          <w:sz w:val="20"/>
          <w:szCs w:val="20"/>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realize the benefits we expect to receive from these transactions, such as anticipated synergies;</w:t>
      </w:r>
    </w:p>
    <w:p>
      <w:pPr>
        <w:spacing w:after="0" w:line="163"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difficulties managing acquired products and tests or retaining key personnel from the acquired businesses;</w:t>
      </w:r>
    </w:p>
    <w:p>
      <w:pPr>
        <w:spacing w:after="0" w:line="163"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successfully integrate the acquired businesses as planned (including, for example, systems integration),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15"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Decipher Biosciences Merger Agreement does not provide for post-closing indemnification protection related to pre-closing Decipher Biosciences operations and, therefore, we may incur unforeseen costs as a result of Decipher Biosciences’ pre-closing activities, over which we have limited control, including Decipher Biosciences’ breach of the covenants contained in the Merger Agreement;</w:t>
      </w:r>
    </w:p>
    <w:p>
      <w:pPr>
        <w:spacing w:after="0" w:line="115" w:lineRule="exact"/>
        <w:rPr>
          <w:rFonts w:ascii="Times New Roman" w:cs="Times New Roman" w:eastAsia="Times New Roman" w:hAnsi="Times New Roman"/>
          <w:sz w:val="17"/>
          <w:szCs w:val="17"/>
          <w:color w:val="auto"/>
        </w:rPr>
      </w:pPr>
    </w:p>
    <w:p>
      <w:pPr>
        <w:jc w:val="both"/>
        <w:ind w:left="620" w:hanging="310"/>
        <w:spacing w:after="0" w:line="259" w:lineRule="auto"/>
        <w:tabs>
          <w:tab w:leader="none" w:pos="6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or financial condition may be adversely impacted by (i) claims or liabilities related to the acquired businesses including, among others, claims from U.S. or international regulatory or other governmental agencies, terminated employees, current or former customers or business partners, or other third parties; (ii) pre-existing contractual relationships of the acquired businesses that we would not have otherwise entered into, the termination or modification of which may be costly or disruptive to our business; (iii) unfavorable accounting treatment as a result of the acquired businesses' practices; and (iv) intellectual property claims or disputes;</w:t>
      </w:r>
    </w:p>
    <w:p>
      <w:pPr>
        <w:spacing w:after="0" w:line="123" w:lineRule="exact"/>
        <w:rPr>
          <w:rFonts w:ascii="Times New Roman" w:cs="Times New Roman" w:eastAsia="Times New Roman" w:hAnsi="Times New Roman"/>
          <w:sz w:val="17"/>
          <w:szCs w:val="17"/>
          <w:color w:val="auto"/>
        </w:rPr>
      </w:pPr>
    </w:p>
    <w:p>
      <w:pPr>
        <w:jc w:val="both"/>
        <w:ind w:left="620" w:hanging="310"/>
        <w:spacing w:after="0" w:line="262" w:lineRule="auto"/>
        <w:tabs>
          <w:tab w:leader="none" w:pos="6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HalioDx nor Decipher Biosciences was required to maintain an internal control infrastructure that would meet the standards of a public company, including the requirements of the Sarbanes-Oxley Act of 2002. The costs that we may incur to implement such controls and procedures may be substantial and we could encounter unexpected delays and challenges in this implementation. In addition, we may discover significant deficiencies or material weaknesses in the quality of HalioDx's or Decipher Biosciences' respective financial and disclosure controls and procedures;</w:t>
      </w:r>
    </w:p>
    <w:p>
      <w:pPr>
        <w:spacing w:after="0" w:line="119"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a failure of development activities on behalf of a HalioDx customer where HalioDx bears development risk resulting in a refund of development fees;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20" w:hanging="310"/>
        <w:spacing w:after="0" w:line="284" w:lineRule="auto"/>
        <w:tabs>
          <w:tab w:leader="none" w:pos="6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transition manufacturing of the test kits for the nCounter, currently produced by NanoString, to HalioDx’s manufacturing facility in Marseille, France in a timely manner or at all, or we may experience manufacturing irregularities or challenges in connection with the transition;</w:t>
      </w:r>
    </w:p>
    <w:p>
      <w:pPr>
        <w:spacing w:after="0" w:line="10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realize the anticipated accretion to our gross margins as a result of transitioning manufacturing of test kits to HalioDx;</w:t>
      </w:r>
    </w:p>
    <w:p>
      <w:pPr>
        <w:spacing w:after="0" w:line="163"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disagreements with the employee French work council;</w:t>
      </w:r>
    </w:p>
    <w:p>
      <w:pPr>
        <w:spacing w:after="0" w:line="163"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Decipher Biosciences operates in segments of the diagnostic market that we have less experience with, including urology, and our further expansion of operations into these areas could present various integration challenges and result in increased costs and other unforeseen challenges; and</w:t>
      </w:r>
    </w:p>
    <w:p>
      <w:pPr>
        <w:spacing w:after="0" w:line="100"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failed to identify or assess the magnitude of certain liabilities, shortcomings or other circumstances prior to acquiring either of the acquired businesses, which could result in unexpected litigation or regulatory exposure, unfavorable accounting treatment, a diversion of management’s attention and resources, and other adverse effects on our business, financial condition, and operating results.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Doing business internationally at the scale of HalioDx creates operational risk for our business.</w:t>
      </w:r>
    </w:p>
    <w:p>
      <w:pPr>
        <w:spacing w:after="0" w:line="233"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Conducting and launching operations on an international scale requires close coordination of activities across multiple jurisdictions and consumes significant management resources. If we fail to coordinate and manage these activities effectively for any reason, including the risks noted below, our business, financial condition, or results of operations could be adversely affected.</w:t>
      </w:r>
    </w:p>
    <w:p>
      <w:pPr>
        <w:spacing w:after="0" w:line="193"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The Acquisition increases the following risks and challenges associated with conducting business outside the U.S., where we expect a growing proportion of our operations and revenue to be located:</w:t>
      </w:r>
    </w:p>
    <w:p>
      <w:pPr>
        <w:spacing w:after="0" w:line="178" w:lineRule="exact"/>
        <w:rPr>
          <w:sz w:val="20"/>
          <w:szCs w:val="20"/>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payment cycles and difficulties in collecting accounts receivable outside of the United States;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sales cycles due to the volume of transactions taking place through public tenders;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staffing and managing foreign operations;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consistency, and unexpected changes, in legislative or regulatory requirements of foreign countries into which we sell our products;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governmental and regulatory scrutiny and investigations;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burden of complying with a wide variety of foreign laws, regulations, and legal standards;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and export requirements, tariffs, taxes, and other trade barriers;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enactment of laws regarding the management of and access to data and public networks and websites;</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negative impact of a global health crisis, such as the outbreak of a serious infectious disease, to our commercial or manufacturing operations, including the loss of productivity from our own workforce and consequences of any restrictions on the movement of people or materials;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future limitations on foreign-owned businesses;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taxes;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beyond our control, including political, social and economic instability, and security concerns in general.</w:t>
      </w:r>
    </w:p>
    <w:p>
      <w:pPr>
        <w:spacing w:after="0" w:line="24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Additionally, we must comply with complex foreign and U.S. laws and regulations, such as the U.S. Foreign Corrupt Practices Act, the U.K. Bribery Act, and other local laws prohibiting corrupt payments to governmental officials and requiring issuers to maintain accurate books and records or maintain appropriate accounting controls, fair competition regulations, the U.S. Office of Foreign Assets Control sanctions compliance program, and other similar laws and regulations. Violations of these laws and regulations could result in fines and penalties, criminal sanctions, restrictions on our business conduct and on our ability to offer our products in one or more countries, our ability to enter into governmental sale, supply, or service contracts, and could also materially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 or that our policies will be adopted or enforceable in all jurisdictions.</w:t>
      </w:r>
    </w:p>
    <w:p>
      <w:pPr>
        <w:spacing w:after="0" w:line="201"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As we continue to expand our business into multiple international markets, our success will depend, in large part, on our ability to anticipate and effectively manage these and other risks associated with our international operations. Any of these risks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could harm our international operations and negatively impact our sales, adversely affecting our business, results of operations, financial condition and growth prospects.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risks associated with transactions denominated in foreign currency.</w:t>
      </w:r>
    </w:p>
    <w:p>
      <w:pPr>
        <w:spacing w:after="0" w:line="24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Changes in the value of the relevant currencies may affect the cost of certain items required in our operations and contractual agreements. Changes in currency exchange rates, such as the recent strengthening of the U.S. dollar relative to the Euro,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238"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2"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As a public company, we will continue to incur significant legal, accounting, consulting and other expenses that we did not incur as a private company, including costs associated with public company accounting and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72"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our recent acquisitions of Decipher Biosciences and HalioDx, both of which were previously private companies and were not subject to audits of internal controls, require or will require us to incorporate additional controls to such businesses,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20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Investors’ expectations of our performance relating to environmental, social and governance factors may impose additional costs and expose us to new risks.</w:t>
      </w:r>
    </w:p>
    <w:p>
      <w:pPr>
        <w:spacing w:after="0" w:line="24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There is an increasing focus from certain investors, employees, regulators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19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results of operations, and financial condition could be adversely affected.</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you may not be able to sell shares of our common stock at or above the price you paid.</w:t>
      </w:r>
    </w:p>
    <w:p>
      <w:pPr>
        <w:spacing w:after="0" w:line="24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The trading price of our common stock is likely to continue to be highly volatile and could be subject to wide fluctuations in response to various factors, some of which are beyond our control. These factors include:</w:t>
      </w:r>
    </w:p>
    <w:p>
      <w:pPr>
        <w:spacing w:after="0" w:line="178" w:lineRule="exact"/>
        <w:rPr>
          <w:sz w:val="20"/>
          <w:szCs w:val="20"/>
          <w:color w:val="auto"/>
        </w:rPr>
      </w:pPr>
    </w:p>
    <w:p>
      <w:pPr>
        <w:ind w:left="620" w:hanging="310"/>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and our competitors’ results of operations;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macroeconomic impact of the current COVID-19 outbreak;</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commercial relationships or capital commitments;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reimbursement by current or potential payers, including governmental payers;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new securities analysts’ reports or changed recommendations for our stock;</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revenue, due in part to the way in which we recognize revenue;</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regulatory oversight of our products;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of, or our involvement in, litigation;</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acquisitions of businesses or technologies by us or our competitors, including the effect of additional equity we or our competitors issue as consideration for such acquisitions;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major change in our management;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including inflation and changes in interest rates, and slow or negative growth of our markets.</w:t>
      </w:r>
    </w:p>
    <w:p>
      <w:pPr>
        <w:spacing w:after="0" w:line="291"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2"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78" w:lineRule="exact"/>
        <w:rPr>
          <w:sz w:val="20"/>
          <w:szCs w:val="20"/>
          <w:color w:val="auto"/>
        </w:rPr>
      </w:pPr>
    </w:p>
    <w:p>
      <w:pPr>
        <w:ind w:left="620" w:hanging="310"/>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of directors to issue, without further action by the stockholders, up to 5.0 million shares of undesignated preferred stock;</w:t>
      </w:r>
    </w:p>
    <w:p>
      <w:pPr>
        <w:spacing w:after="0" w:line="200" w:lineRule="exact"/>
        <w:rPr>
          <w:rFonts w:ascii="Times New Roman" w:cs="Times New Roman" w:eastAsia="Times New Roman" w:hAnsi="Times New Roman"/>
          <w:sz w:val="17"/>
          <w:szCs w:val="17"/>
          <w:color w:val="auto"/>
        </w:rPr>
      </w:pPr>
    </w:p>
    <w:p>
      <w:pPr>
        <w:spacing w:after="0" w:line="385"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left="620" w:hanging="310"/>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any action to be taken by our stockholders be effected at a duly called annual or special meeting and not by written consent;</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specify that special meetings of our stockholders can be called only by our board of directors, our chairman of the board, or our chief executive officer;</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that our board of directors is divided into three classes, Class I, Class II and Class III, with each class serving staggered terms;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our directors may be removed only for cause;</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vacancies on our board of directors may, except as otherwise required by law, be filled only by a majority of directors then in office, even if less than a quorum;</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the federal district courts of the United States shall be the exclusive forum for the resolution of any complaint asserting a cause of action arising under the Securities Act of 1933, as amended;</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specify that no stockholder is permitted to cumulate votes at any election of directors;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 super-majority of votes to amend certain of the above-mentioned provisions.</w:t>
      </w:r>
    </w:p>
    <w:p>
      <w:pPr>
        <w:spacing w:after="0" w:line="24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have never paid dividends on our capital stock, and we do not anticipate paying dividends in the foreseeable future.</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100" w:type="dxa"/>
            <w:vAlign w:val="bottom"/>
          </w:tcPr>
          <w:p>
            <w:pPr>
              <w:spacing w:after="0"/>
              <w:rPr>
                <w:sz w:val="19"/>
                <w:szCs w:val="19"/>
                <w:color w:val="auto"/>
              </w:rPr>
            </w:pP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146"/>
        </w:trPr>
        <w:tc>
          <w:tcPr>
            <w:tcW w:w="9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0" w:type="dxa"/>
            <w:vAlign w:val="bottom"/>
            <w:vMerge w:val="restart"/>
          </w:tcPr>
          <w:p>
            <w:pPr>
              <w:ind w:left="188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00" w:type="dxa"/>
            <w:vAlign w:val="bottom"/>
            <w:vMerge w:val="restart"/>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Form</w:t>
            </w:r>
          </w:p>
        </w:tc>
        <w:tc>
          <w:tcPr>
            <w:tcW w:w="100" w:type="dxa"/>
            <w:vAlign w:val="bottom"/>
            <w:vMerge w:val="restart"/>
          </w:tcPr>
          <w:p>
            <w:pPr>
              <w:spacing w:after="0"/>
              <w:rPr>
                <w:sz w:val="12"/>
                <w:szCs w:val="12"/>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00" w:type="dxa"/>
            <w:vAlign w:val="bottom"/>
            <w:vMerge w:val="restart"/>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0" w:type="dxa"/>
            <w:vAlign w:val="bottom"/>
            <w:vMerge w:val="restart"/>
          </w:tcPr>
          <w:p>
            <w:pPr>
              <w:spacing w:after="0"/>
              <w:rPr>
                <w:sz w:val="12"/>
                <w:szCs w:val="12"/>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Filing Date</w:t>
            </w:r>
          </w:p>
        </w:tc>
        <w:tc>
          <w:tcPr>
            <w:tcW w:w="100" w:type="dxa"/>
            <w:vAlign w:val="bottom"/>
            <w:vMerge w:val="restart"/>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Herewith</w:t>
            </w:r>
          </w:p>
        </w:tc>
        <w:tc>
          <w:tcPr>
            <w:tcW w:w="0" w:type="dxa"/>
            <w:vAlign w:val="bottom"/>
          </w:tcPr>
          <w:p>
            <w:pPr>
              <w:spacing w:after="0"/>
              <w:rPr>
                <w:sz w:val="1"/>
                <w:szCs w:val="1"/>
                <w:color w:val="auto"/>
              </w:rPr>
            </w:pPr>
          </w:p>
        </w:tc>
      </w:tr>
      <w:tr>
        <w:trPr>
          <w:trHeight w:val="391"/>
        </w:trPr>
        <w:tc>
          <w:tcPr>
            <w:tcW w:w="900" w:type="dxa"/>
            <w:vAlign w:val="bottom"/>
          </w:tcPr>
          <w:p>
            <w:pPr>
              <w:spacing w:after="0"/>
              <w:rPr>
                <w:sz w:val="24"/>
                <w:szCs w:val="24"/>
                <w:color w:val="auto"/>
              </w:rPr>
            </w:pPr>
          </w:p>
        </w:tc>
        <w:tc>
          <w:tcPr>
            <w:tcW w:w="5480" w:type="dxa"/>
            <w:vAlign w:val="bottom"/>
            <w:gridSpan w:val="4"/>
          </w:tcPr>
          <w:p>
            <w:pPr>
              <w:ind w:left="260"/>
              <w:spacing w:after="0"/>
              <w:rPr>
                <w:sz w:val="20"/>
                <w:szCs w:val="20"/>
                <w:color w:val="auto"/>
              </w:rPr>
            </w:pPr>
            <w:r>
              <w:rPr>
                <w:rFonts w:ascii="Times New Roman" w:cs="Times New Roman" w:eastAsia="Times New Roman" w:hAnsi="Times New Roman"/>
                <w:sz w:val="17"/>
                <w:szCs w:val="17"/>
                <w:u w:val="single" w:color="auto"/>
                <w:color w:val="0000FF"/>
              </w:rPr>
              <w:t>31.1   Certification of Principal Executive Officer pursuant to Rules 13a-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bl>
    <w:p>
      <w:pPr>
        <w:ind w:left="1700"/>
        <w:spacing w:after="0" w:line="220" w:lineRule="auto"/>
        <w:rPr>
          <w:sz w:val="20"/>
          <w:szCs w:val="20"/>
          <w:color w:val="auto"/>
        </w:rPr>
      </w:pPr>
      <w:r>
        <w:rPr>
          <w:rFonts w:ascii="Times New Roman" w:cs="Times New Roman" w:eastAsia="Times New Roman" w:hAnsi="Times New Roman"/>
          <w:sz w:val="17"/>
          <w:szCs w:val="17"/>
          <w:u w:val="single" w:color="auto"/>
          <w:color w:val="0000FF"/>
        </w:rPr>
        <w:t>14(a)/15d-14(a), as adopted pursuant to Section 302 of the</w:t>
      </w:r>
    </w:p>
    <w:p>
      <w:pPr>
        <w:ind w:left="1700"/>
        <w:spacing w:after="0"/>
        <w:rPr>
          <w:sz w:val="20"/>
          <w:szCs w:val="20"/>
          <w:color w:val="auto"/>
        </w:rPr>
      </w:pPr>
      <w:r>
        <w:rPr>
          <w:rFonts w:ascii="Times New Roman" w:cs="Times New Roman" w:eastAsia="Times New Roman" w:hAnsi="Times New Roman"/>
          <w:sz w:val="17"/>
          <w:szCs w:val="17"/>
          <w:u w:val="single" w:color="auto"/>
          <w:color w:val="0000FF"/>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2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838"/>
        </w:trPr>
        <w:tc>
          <w:tcPr>
            <w:tcW w:w="14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220" w:type="dxa"/>
            <w:vAlign w:val="bottom"/>
          </w:tcPr>
          <w:p>
            <w:pPr>
              <w:spacing w:after="0"/>
              <w:rPr>
                <w:sz w:val="24"/>
                <w:szCs w:val="24"/>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 13a-</w:t>
            </w:r>
          </w:p>
        </w:tc>
        <w:tc>
          <w:tcPr>
            <w:tcW w:w="4920" w:type="dxa"/>
            <w:vAlign w:val="bottom"/>
          </w:tcPr>
          <w:p>
            <w:pPr>
              <w:ind w:left="4380"/>
              <w:spacing w:after="0"/>
              <w:rPr>
                <w:sz w:val="20"/>
                <w:szCs w:val="20"/>
                <w:color w:val="auto"/>
              </w:rPr>
            </w:pPr>
            <w:r>
              <w:rPr>
                <w:rFonts w:ascii="Times New Roman" w:cs="Times New Roman" w:eastAsia="Times New Roman" w:hAnsi="Times New Roman"/>
                <w:sz w:val="17"/>
                <w:szCs w:val="17"/>
                <w:color w:val="auto"/>
              </w:rPr>
              <w:t>X</w:t>
            </w:r>
          </w:p>
        </w:tc>
      </w:tr>
      <w:tr>
        <w:trPr>
          <w:trHeight w:val="146"/>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20" w:type="dxa"/>
            <w:vAlign w:val="bottom"/>
            <w:tcBorders>
              <w:top w:val="single" w:sz="8" w:color="0000FF"/>
            </w:tcBorders>
            <w:gridSpan w:val="5"/>
          </w:tcPr>
          <w:p>
            <w:pPr>
              <w:spacing w:after="0" w:line="147" w:lineRule="exact"/>
              <w:rPr>
                <w:sz w:val="20"/>
                <w:szCs w:val="20"/>
                <w:color w:val="auto"/>
              </w:rPr>
            </w:pPr>
            <w:r>
              <w:rPr>
                <w:rFonts w:ascii="Times New Roman" w:cs="Times New Roman" w:eastAsia="Times New Roman" w:hAnsi="Times New Roman"/>
                <w:sz w:val="16"/>
                <w:szCs w:val="16"/>
                <w:color w:val="0000FF"/>
              </w:rPr>
              <w:t>14(a)/15d-14(a), as adopted pursuant to Section 302 of the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tcPr>
          <w:p>
            <w:pPr>
              <w:spacing w:after="0"/>
              <w:rPr>
                <w:sz w:val="12"/>
                <w:szCs w:val="12"/>
                <w:color w:val="auto"/>
              </w:rPr>
            </w:pPr>
          </w:p>
        </w:tc>
      </w:tr>
      <w:tr>
        <w:trPr>
          <w:trHeight w:val="146"/>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80" w:type="dxa"/>
            <w:vAlign w:val="bottom"/>
            <w:tcBorders>
              <w:top w:val="single" w:sz="8" w:color="0000FF"/>
            </w:tcBorders>
            <w:gridSpan w:val="4"/>
          </w:tcPr>
          <w:p>
            <w:pPr>
              <w:spacing w:after="0" w:line="147" w:lineRule="exact"/>
              <w:rPr>
                <w:sz w:val="20"/>
                <w:szCs w:val="20"/>
                <w:color w:val="auto"/>
              </w:rPr>
            </w:pPr>
            <w:r>
              <w:rPr>
                <w:rFonts w:ascii="Times New Roman" w:cs="Times New Roman" w:eastAsia="Times New Roman" w:hAnsi="Times New Roman"/>
                <w:sz w:val="16"/>
                <w:szCs w:val="16"/>
                <w:color w:val="0000FF"/>
              </w:rPr>
              <w:t>Sarbanes-Oxley Act of 2002</w:t>
            </w:r>
          </w:p>
        </w:tc>
        <w:tc>
          <w:tcPr>
            <w:tcW w:w="5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10"/>
        </w:trPr>
        <w:tc>
          <w:tcPr>
            <w:tcW w:w="14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00"/>
              </w:rPr>
              <w:t>*</w:t>
            </w:r>
          </w:p>
        </w:tc>
        <w:tc>
          <w:tcPr>
            <w:tcW w:w="220" w:type="dxa"/>
            <w:vAlign w:val="bottom"/>
          </w:tcPr>
          <w:p>
            <w:pPr>
              <w:spacing w:after="0"/>
              <w:rPr>
                <w:sz w:val="18"/>
                <w:szCs w:val="18"/>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w:t>
            </w:r>
          </w:p>
        </w:tc>
        <w:tc>
          <w:tcPr>
            <w:tcW w:w="4920" w:type="dxa"/>
            <w:vAlign w:val="bottom"/>
          </w:tcPr>
          <w:p>
            <w:pPr>
              <w:ind w:left="4380"/>
              <w:spacing w:after="0"/>
              <w:rPr>
                <w:sz w:val="20"/>
                <w:szCs w:val="20"/>
                <w:color w:val="auto"/>
              </w:rPr>
            </w:pPr>
            <w:r>
              <w:rPr>
                <w:rFonts w:ascii="Times New Roman" w:cs="Times New Roman" w:eastAsia="Times New Roman" w:hAnsi="Times New Roman"/>
                <w:sz w:val="17"/>
                <w:szCs w:val="17"/>
                <w:color w:val="auto"/>
              </w:rPr>
              <w:t>X</w:t>
            </w:r>
          </w:p>
        </w:tc>
      </w:tr>
      <w:tr>
        <w:trPr>
          <w:trHeight w:val="146"/>
        </w:trPr>
        <w:tc>
          <w:tcPr>
            <w:tcW w:w="10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3"/>
          </w:tcPr>
          <w:p>
            <w:pPr>
              <w:spacing w:after="0" w:line="147" w:lineRule="exact"/>
              <w:rPr>
                <w:sz w:val="20"/>
                <w:szCs w:val="20"/>
                <w:color w:val="auto"/>
              </w:rPr>
            </w:pPr>
            <w:r>
              <w:rPr>
                <w:rFonts w:ascii="Times New Roman" w:cs="Times New Roman" w:eastAsia="Times New Roman" w:hAnsi="Times New Roman"/>
                <w:sz w:val="16"/>
                <w:szCs w:val="16"/>
                <w:color w:val="0000FF"/>
              </w:rPr>
              <w:t>§ 1350 (Section 906 of the Sarbanes-Oxley Act of 2002)</w:t>
            </w:r>
          </w:p>
        </w:tc>
        <w:tc>
          <w:tcPr>
            <w:tcW w:w="620" w:type="dxa"/>
            <w:vAlign w:val="bottom"/>
            <w:tcBorders>
              <w:top w:val="single" w:sz="8" w:color="0000FF"/>
            </w:tcBorders>
            <w:gridSpan w:val="3"/>
          </w:tcPr>
          <w:p>
            <w:pPr>
              <w:spacing w:after="0"/>
              <w:rPr>
                <w:sz w:val="12"/>
                <w:szCs w:val="12"/>
                <w:color w:val="auto"/>
              </w:rPr>
            </w:pPr>
          </w:p>
        </w:tc>
        <w:tc>
          <w:tcPr>
            <w:tcW w:w="80" w:type="dxa"/>
            <w:vAlign w:val="bottom"/>
          </w:tcPr>
          <w:p>
            <w:pPr>
              <w:spacing w:after="0"/>
              <w:rPr>
                <w:sz w:val="12"/>
                <w:szCs w:val="12"/>
                <w:color w:val="auto"/>
              </w:rPr>
            </w:pPr>
          </w:p>
        </w:tc>
        <w:tc>
          <w:tcPr>
            <w:tcW w:w="4920" w:type="dxa"/>
            <w:vAlign w:val="bottom"/>
          </w:tcPr>
          <w:p>
            <w:pPr>
              <w:spacing w:after="0"/>
              <w:rPr>
                <w:sz w:val="12"/>
                <w:szCs w:val="12"/>
                <w:color w:val="auto"/>
              </w:rPr>
            </w:pPr>
          </w:p>
        </w:tc>
      </w:tr>
      <w:tr>
        <w:trPr>
          <w:trHeight w:val="210"/>
        </w:trPr>
        <w:tc>
          <w:tcPr>
            <w:tcW w:w="14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00"/>
              </w:rPr>
              <w:t>*</w:t>
            </w:r>
          </w:p>
        </w:tc>
        <w:tc>
          <w:tcPr>
            <w:tcW w:w="220" w:type="dxa"/>
            <w:vAlign w:val="bottom"/>
          </w:tcPr>
          <w:p>
            <w:pPr>
              <w:spacing w:after="0"/>
              <w:rPr>
                <w:sz w:val="18"/>
                <w:szCs w:val="18"/>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9"/>
              </w:rPr>
              <w:t>Certification of Principal Financial Officer pursuant to 18 U.S.C. §</w:t>
            </w:r>
          </w:p>
        </w:tc>
        <w:tc>
          <w:tcPr>
            <w:tcW w:w="4920" w:type="dxa"/>
            <w:vAlign w:val="bottom"/>
          </w:tcPr>
          <w:p>
            <w:pPr>
              <w:ind w:left="4380"/>
              <w:spacing w:after="0"/>
              <w:rPr>
                <w:sz w:val="20"/>
                <w:szCs w:val="20"/>
                <w:color w:val="auto"/>
              </w:rPr>
            </w:pPr>
            <w:r>
              <w:rPr>
                <w:rFonts w:ascii="Times New Roman" w:cs="Times New Roman" w:eastAsia="Times New Roman" w:hAnsi="Times New Roman"/>
                <w:sz w:val="17"/>
                <w:szCs w:val="17"/>
                <w:color w:val="auto"/>
              </w:rPr>
              <w:t>X</w:t>
            </w:r>
          </w:p>
        </w:tc>
      </w:tr>
      <w:tr>
        <w:trPr>
          <w:trHeight w:val="146"/>
        </w:trPr>
        <w:tc>
          <w:tcPr>
            <w:tcW w:w="10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40" w:type="dxa"/>
            <w:vAlign w:val="bottom"/>
            <w:tcBorders>
              <w:top w:val="single" w:sz="8" w:color="0000FF"/>
              <w:bottom w:val="single" w:sz="8" w:color="0000FF"/>
            </w:tcBorders>
            <w:gridSpan w:val="2"/>
          </w:tcPr>
          <w:p>
            <w:pPr>
              <w:spacing w:after="0" w:line="147" w:lineRule="exact"/>
              <w:rPr>
                <w:sz w:val="20"/>
                <w:szCs w:val="20"/>
                <w:color w:val="auto"/>
              </w:rPr>
            </w:pPr>
            <w:r>
              <w:rPr>
                <w:rFonts w:ascii="Times New Roman" w:cs="Times New Roman" w:eastAsia="Times New Roman" w:hAnsi="Times New Roman"/>
                <w:sz w:val="16"/>
                <w:szCs w:val="16"/>
                <w:color w:val="0000FF"/>
              </w:rPr>
              <w:t>1350 (Section 906 of the Sarbanes-Oxley Act of 2002)</w:t>
            </w:r>
          </w:p>
        </w:tc>
        <w:tc>
          <w:tcPr>
            <w:tcW w:w="820" w:type="dxa"/>
            <w:vAlign w:val="bottom"/>
            <w:tcBorders>
              <w:top w:val="single" w:sz="8" w:color="0000FF"/>
            </w:tcBorders>
            <w:gridSpan w:val="5"/>
          </w:tcPr>
          <w:p>
            <w:pPr>
              <w:spacing w:after="0"/>
              <w:rPr>
                <w:sz w:val="12"/>
                <w:szCs w:val="12"/>
                <w:color w:val="auto"/>
              </w:rPr>
            </w:pPr>
          </w:p>
        </w:tc>
        <w:tc>
          <w:tcPr>
            <w:tcW w:w="4920" w:type="dxa"/>
            <w:vAlign w:val="bottom"/>
          </w:tcPr>
          <w:p>
            <w:pPr>
              <w:spacing w:after="0"/>
              <w:rPr>
                <w:sz w:val="12"/>
                <w:szCs w:val="12"/>
                <w:color w:val="auto"/>
              </w:rPr>
            </w:pPr>
          </w:p>
        </w:tc>
      </w:tr>
      <w:tr>
        <w:trPr>
          <w:trHeight w:val="198"/>
        </w:trPr>
        <w:tc>
          <w:tcPr>
            <w:tcW w:w="14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101.INS</w:t>
            </w:r>
          </w:p>
        </w:tc>
        <w:tc>
          <w:tcPr>
            <w:tcW w:w="220" w:type="dxa"/>
            <w:vAlign w:val="bottom"/>
          </w:tcPr>
          <w:p>
            <w:pPr>
              <w:spacing w:after="0"/>
              <w:rPr>
                <w:sz w:val="17"/>
                <w:szCs w:val="17"/>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w:t>
            </w:r>
          </w:p>
        </w:tc>
        <w:tc>
          <w:tcPr>
            <w:tcW w:w="4920" w:type="dxa"/>
            <w:vAlign w:val="bottom"/>
          </w:tcPr>
          <w:p>
            <w:pPr>
              <w:ind w:left="4380"/>
              <w:spacing w:after="0"/>
              <w:rPr>
                <w:sz w:val="20"/>
                <w:szCs w:val="20"/>
                <w:color w:val="auto"/>
              </w:rPr>
            </w:pPr>
            <w:r>
              <w:rPr>
                <w:rFonts w:ascii="Times New Roman" w:cs="Times New Roman" w:eastAsia="Times New Roman" w:hAnsi="Times New Roman"/>
                <w:sz w:val="17"/>
                <w:szCs w:val="17"/>
                <w:color w:val="auto"/>
              </w:rPr>
              <w:t>X</w:t>
            </w:r>
          </w:p>
        </w:tc>
      </w:tr>
      <w:tr>
        <w:trPr>
          <w:trHeight w:val="166"/>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gridSpan w:val="7"/>
          </w:tcPr>
          <w:p>
            <w:pPr>
              <w:spacing w:after="0" w:line="167" w:lineRule="exact"/>
              <w:rPr>
                <w:sz w:val="20"/>
                <w:szCs w:val="20"/>
                <w:color w:val="auto"/>
              </w:rPr>
            </w:pPr>
            <w:r>
              <w:rPr>
                <w:rFonts w:ascii="Times New Roman" w:cs="Times New Roman" w:eastAsia="Times New Roman" w:hAnsi="Times New Roman"/>
                <w:sz w:val="17"/>
                <w:szCs w:val="17"/>
                <w:color w:val="auto"/>
              </w:rPr>
              <w:t>appear in the Interactive Data File because its XBRL tags are</w:t>
            </w:r>
          </w:p>
        </w:tc>
        <w:tc>
          <w:tcPr>
            <w:tcW w:w="4920" w:type="dxa"/>
            <w:vAlign w:val="bottom"/>
          </w:tcPr>
          <w:p>
            <w:pPr>
              <w:spacing w:after="0"/>
              <w:rPr>
                <w:sz w:val="14"/>
                <w:szCs w:val="14"/>
                <w:color w:val="auto"/>
              </w:rPr>
            </w:pPr>
          </w:p>
        </w:tc>
      </w:tr>
      <w:tr>
        <w:trPr>
          <w:trHeight w:val="222"/>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embedded within the Inline XBRL</w:t>
            </w:r>
          </w:p>
        </w:tc>
        <w:tc>
          <w:tcPr>
            <w:tcW w:w="4920" w:type="dxa"/>
            <w:vAlign w:val="bottom"/>
          </w:tcPr>
          <w:p>
            <w:pPr>
              <w:spacing w:after="0"/>
              <w:rPr>
                <w:sz w:val="19"/>
                <w:szCs w:val="19"/>
                <w:color w:val="auto"/>
              </w:rPr>
            </w:pPr>
          </w:p>
        </w:tc>
      </w:tr>
      <w:tr>
        <w:trPr>
          <w:trHeight w:val="222"/>
        </w:trPr>
        <w:tc>
          <w:tcPr>
            <w:tcW w:w="14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101.SCH</w:t>
            </w:r>
          </w:p>
        </w:tc>
        <w:tc>
          <w:tcPr>
            <w:tcW w:w="220" w:type="dxa"/>
            <w:vAlign w:val="bottom"/>
          </w:tcPr>
          <w:p>
            <w:pPr>
              <w:spacing w:after="0"/>
              <w:rPr>
                <w:sz w:val="19"/>
                <w:szCs w:val="19"/>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Schema</w:t>
            </w:r>
          </w:p>
        </w:tc>
        <w:tc>
          <w:tcPr>
            <w:tcW w:w="4920" w:type="dxa"/>
            <w:vAlign w:val="bottom"/>
          </w:tcPr>
          <w:p>
            <w:pPr>
              <w:ind w:left="4380"/>
              <w:spacing w:after="0"/>
              <w:rPr>
                <w:sz w:val="20"/>
                <w:szCs w:val="20"/>
                <w:color w:val="auto"/>
              </w:rPr>
            </w:pPr>
            <w:r>
              <w:rPr>
                <w:rFonts w:ascii="Times New Roman" w:cs="Times New Roman" w:eastAsia="Times New Roman" w:hAnsi="Times New Roman"/>
                <w:sz w:val="17"/>
                <w:szCs w:val="17"/>
                <w:color w:val="auto"/>
              </w:rPr>
              <w:t>X</w:t>
            </w:r>
          </w:p>
        </w:tc>
      </w:tr>
      <w:tr>
        <w:trPr>
          <w:trHeight w:val="218"/>
        </w:trPr>
        <w:tc>
          <w:tcPr>
            <w:tcW w:w="14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101.CAL</w:t>
            </w:r>
          </w:p>
        </w:tc>
        <w:tc>
          <w:tcPr>
            <w:tcW w:w="220" w:type="dxa"/>
            <w:vAlign w:val="bottom"/>
          </w:tcPr>
          <w:p>
            <w:pPr>
              <w:spacing w:after="0"/>
              <w:rPr>
                <w:sz w:val="18"/>
                <w:szCs w:val="18"/>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4920" w:type="dxa"/>
            <w:vAlign w:val="bottom"/>
          </w:tcPr>
          <w:p>
            <w:pPr>
              <w:ind w:left="4380"/>
              <w:spacing w:after="0"/>
              <w:rPr>
                <w:sz w:val="20"/>
                <w:szCs w:val="20"/>
                <w:color w:val="auto"/>
              </w:rPr>
            </w:pPr>
            <w:r>
              <w:rPr>
                <w:rFonts w:ascii="Times New Roman" w:cs="Times New Roman" w:eastAsia="Times New Roman" w:hAnsi="Times New Roman"/>
                <w:sz w:val="17"/>
                <w:szCs w:val="17"/>
                <w:color w:val="auto"/>
              </w:rPr>
              <w:t>X</w:t>
            </w:r>
          </w:p>
        </w:tc>
      </w:tr>
      <w:tr>
        <w:trPr>
          <w:trHeight w:val="218"/>
        </w:trPr>
        <w:tc>
          <w:tcPr>
            <w:tcW w:w="14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101.DEF</w:t>
            </w:r>
          </w:p>
        </w:tc>
        <w:tc>
          <w:tcPr>
            <w:tcW w:w="220" w:type="dxa"/>
            <w:vAlign w:val="bottom"/>
          </w:tcPr>
          <w:p>
            <w:pPr>
              <w:spacing w:after="0"/>
              <w:rPr>
                <w:sz w:val="18"/>
                <w:szCs w:val="18"/>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4920" w:type="dxa"/>
            <w:vAlign w:val="bottom"/>
          </w:tcPr>
          <w:p>
            <w:pPr>
              <w:ind w:left="4380"/>
              <w:spacing w:after="0"/>
              <w:rPr>
                <w:sz w:val="20"/>
                <w:szCs w:val="20"/>
                <w:color w:val="auto"/>
              </w:rPr>
            </w:pPr>
            <w:r>
              <w:rPr>
                <w:rFonts w:ascii="Times New Roman" w:cs="Times New Roman" w:eastAsia="Times New Roman" w:hAnsi="Times New Roman"/>
                <w:sz w:val="17"/>
                <w:szCs w:val="17"/>
                <w:color w:val="auto"/>
              </w:rPr>
              <w:t>X</w:t>
            </w:r>
          </w:p>
        </w:tc>
      </w:tr>
      <w:tr>
        <w:trPr>
          <w:trHeight w:val="218"/>
        </w:trPr>
        <w:tc>
          <w:tcPr>
            <w:tcW w:w="14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101.LAB</w:t>
            </w:r>
          </w:p>
        </w:tc>
        <w:tc>
          <w:tcPr>
            <w:tcW w:w="220" w:type="dxa"/>
            <w:vAlign w:val="bottom"/>
          </w:tcPr>
          <w:p>
            <w:pPr>
              <w:spacing w:after="0"/>
              <w:rPr>
                <w:sz w:val="18"/>
                <w:szCs w:val="18"/>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c>
          <w:tcPr>
            <w:tcW w:w="4920" w:type="dxa"/>
            <w:vAlign w:val="bottom"/>
          </w:tcPr>
          <w:p>
            <w:pPr>
              <w:ind w:left="4380"/>
              <w:spacing w:after="0"/>
              <w:rPr>
                <w:sz w:val="20"/>
                <w:szCs w:val="20"/>
                <w:color w:val="auto"/>
              </w:rPr>
            </w:pPr>
            <w:r>
              <w:rPr>
                <w:rFonts w:ascii="Times New Roman" w:cs="Times New Roman" w:eastAsia="Times New Roman" w:hAnsi="Times New Roman"/>
                <w:sz w:val="17"/>
                <w:szCs w:val="17"/>
                <w:color w:val="auto"/>
              </w:rPr>
              <w:t>X</w:t>
            </w:r>
          </w:p>
        </w:tc>
      </w:tr>
      <w:tr>
        <w:trPr>
          <w:trHeight w:val="218"/>
        </w:trPr>
        <w:tc>
          <w:tcPr>
            <w:tcW w:w="1480" w:type="dxa"/>
            <w:vAlign w:val="bottom"/>
            <w:gridSpan w:val="6"/>
          </w:tcPr>
          <w:p>
            <w:pPr>
              <w:jc w:val="right"/>
              <w:ind w:right="20"/>
              <w:spacing w:after="0"/>
              <w:rPr>
                <w:sz w:val="20"/>
                <w:szCs w:val="20"/>
                <w:color w:val="auto"/>
              </w:rPr>
            </w:pPr>
            <w:r>
              <w:rPr>
                <w:rFonts w:ascii="Times New Roman" w:cs="Times New Roman" w:eastAsia="Times New Roman" w:hAnsi="Times New Roman"/>
                <w:sz w:val="17"/>
                <w:szCs w:val="17"/>
                <w:color w:val="auto"/>
              </w:rPr>
              <w:t>101.PRE</w:t>
            </w:r>
          </w:p>
        </w:tc>
        <w:tc>
          <w:tcPr>
            <w:tcW w:w="220" w:type="dxa"/>
            <w:vAlign w:val="bottom"/>
          </w:tcPr>
          <w:p>
            <w:pPr>
              <w:spacing w:after="0"/>
              <w:rPr>
                <w:sz w:val="18"/>
                <w:szCs w:val="18"/>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c>
          <w:tcPr>
            <w:tcW w:w="4920" w:type="dxa"/>
            <w:vAlign w:val="bottom"/>
          </w:tcPr>
          <w:p>
            <w:pPr>
              <w:ind w:left="4380"/>
              <w:spacing w:after="0"/>
              <w:rPr>
                <w:sz w:val="20"/>
                <w:szCs w:val="20"/>
                <w:color w:val="auto"/>
              </w:rPr>
            </w:pPr>
            <w:r>
              <w:rPr>
                <w:rFonts w:ascii="Times New Roman" w:cs="Times New Roman" w:eastAsia="Times New Roman" w:hAnsi="Times New Roman"/>
                <w:sz w:val="17"/>
                <w:szCs w:val="17"/>
                <w:color w:val="auto"/>
              </w:rPr>
              <w:t>X</w:t>
            </w:r>
          </w:p>
        </w:tc>
      </w:tr>
      <w:tr>
        <w:trPr>
          <w:trHeight w:val="170"/>
        </w:trPr>
        <w:tc>
          <w:tcPr>
            <w:tcW w:w="1460" w:type="dxa"/>
            <w:vAlign w:val="bottom"/>
            <w:gridSpan w:val="5"/>
          </w:tcPr>
          <w:p>
            <w:pPr>
              <w:jc w:val="right"/>
              <w:ind w:right="60"/>
              <w:spacing w:after="0" w:line="170" w:lineRule="exact"/>
              <w:rPr>
                <w:sz w:val="20"/>
                <w:szCs w:val="20"/>
                <w:color w:val="auto"/>
              </w:rPr>
            </w:pPr>
            <w:r>
              <w:rPr>
                <w:rFonts w:ascii="Times New Roman" w:cs="Times New Roman" w:eastAsia="Times New Roman" w:hAnsi="Times New Roman"/>
                <w:sz w:val="17"/>
                <w:szCs w:val="17"/>
                <w:color w:val="auto"/>
              </w:rPr>
              <w:t>104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gridSpan w:val="7"/>
          </w:tcPr>
          <w:p>
            <w:pPr>
              <w:spacing w:after="0" w:line="170" w:lineRule="exact"/>
              <w:rPr>
                <w:sz w:val="20"/>
                <w:szCs w:val="20"/>
                <w:color w:val="auto"/>
              </w:rPr>
            </w:pPr>
            <w:r>
              <w:rPr>
                <w:rFonts w:ascii="Times New Roman" w:cs="Times New Roman" w:eastAsia="Times New Roman" w:hAnsi="Times New Roman"/>
                <w:sz w:val="17"/>
                <w:szCs w:val="17"/>
                <w:color w:val="auto"/>
              </w:rPr>
              <w:t>Cover Page Interactive Data File (embedded within the Inline</w:t>
            </w:r>
          </w:p>
        </w:tc>
        <w:tc>
          <w:tcPr>
            <w:tcW w:w="4920" w:type="dxa"/>
            <w:vAlign w:val="bottom"/>
          </w:tcPr>
          <w:p>
            <w:pPr>
              <w:ind w:left="4380"/>
              <w:spacing w:after="0" w:line="170" w:lineRule="exact"/>
              <w:rPr>
                <w:sz w:val="20"/>
                <w:szCs w:val="20"/>
                <w:color w:val="auto"/>
              </w:rPr>
            </w:pPr>
            <w:r>
              <w:rPr>
                <w:rFonts w:ascii="Times New Roman" w:cs="Times New Roman" w:eastAsia="Times New Roman" w:hAnsi="Times New Roman"/>
                <w:sz w:val="17"/>
                <w:szCs w:val="17"/>
                <w:color w:val="auto"/>
              </w:rPr>
              <w:t>X</w:t>
            </w:r>
          </w:p>
        </w:tc>
      </w:tr>
      <w:tr>
        <w:trPr>
          <w:trHeight w:val="222"/>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XBRL and contained in Exhibit 101)</w:t>
            </w:r>
          </w:p>
        </w:tc>
        <w:tc>
          <w:tcPr>
            <w:tcW w:w="4920" w:type="dxa"/>
            <w:vAlign w:val="bottom"/>
          </w:tcPr>
          <w:p>
            <w:pPr>
              <w:spacing w:after="0"/>
              <w:rPr>
                <w:sz w:val="19"/>
                <w:szCs w:val="19"/>
                <w:color w:val="auto"/>
              </w:rPr>
            </w:pPr>
          </w:p>
        </w:tc>
      </w:tr>
      <w:tr>
        <w:trPr>
          <w:trHeight w:val="226"/>
        </w:trPr>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0" w:type="dxa"/>
            <w:vAlign w:val="bottom"/>
            <w:gridSpan w:val="2"/>
          </w:tcPr>
          <w:p>
            <w:pPr>
              <w:spacing w:after="0"/>
              <w:rPr>
                <w:sz w:val="19"/>
                <w:szCs w:val="19"/>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 accordance with Item 601(b)(32)(ii) of Regulation S-K and SEC Release No. 34-47986, the certifications furnished in Exhibits 32.1 and</w:t>
            </w:r>
          </w:p>
        </w:tc>
      </w:tr>
    </w:tbl>
    <w:p>
      <w:pPr>
        <w:ind w:left="1700"/>
        <w:spacing w:after="0" w:line="212" w:lineRule="auto"/>
        <w:rPr>
          <w:sz w:val="20"/>
          <w:szCs w:val="20"/>
          <w:color w:val="auto"/>
        </w:rPr>
      </w:pPr>
      <w:r>
        <w:rPr>
          <w:rFonts w:ascii="Times New Roman" w:cs="Times New Roman" w:eastAsia="Times New Roman" w:hAnsi="Times New Roman"/>
          <w:sz w:val="17"/>
          <w:szCs w:val="17"/>
          <w:color w:val="auto"/>
        </w:rPr>
        <w:t>32.2 hereto are deemed to accompany this Form 10-Q and will not be deemed “filed” for purposes of Section 18 of the Exchange Act or deemed to be incorporated by reference into any filing under the Exchange Act or the Securities Act except to the extent that the registrant</w:t>
      </w:r>
    </w:p>
    <w:p>
      <w:pPr>
        <w:ind w:left="1700"/>
        <w:spacing w:after="0"/>
        <w:rPr>
          <w:sz w:val="20"/>
          <w:szCs w:val="20"/>
          <w:color w:val="auto"/>
        </w:rPr>
      </w:pPr>
      <w:r>
        <w:rPr>
          <w:rFonts w:ascii="Times New Roman" w:cs="Times New Roman" w:eastAsia="Times New Roman" w:hAnsi="Times New Roman"/>
          <w:sz w:val="17"/>
          <w:szCs w:val="17"/>
          <w:color w:val="auto"/>
        </w:rPr>
        <w:t>specifically incorporates it by reference.</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10"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8" w:lineRule="exact"/>
        <w:rPr>
          <w:sz w:val="20"/>
          <w:szCs w:val="20"/>
          <w:color w:val="auto"/>
        </w:rPr>
      </w:pPr>
    </w:p>
    <w:p>
      <w:pPr>
        <w:ind w:firstLine="730"/>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Date: November 3, 2022</w:t>
      </w:r>
    </w:p>
    <w:p>
      <w:pPr>
        <w:spacing w:after="0" w:line="200" w:lineRule="exact"/>
        <w:rPr>
          <w:sz w:val="20"/>
          <w:szCs w:val="20"/>
          <w:color w:val="auto"/>
        </w:rPr>
      </w:pPr>
    </w:p>
    <w:p>
      <w:pPr>
        <w:spacing w:after="0" w:line="34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VERACYTE, INC.</w:t>
      </w:r>
    </w:p>
    <w:p>
      <w:pPr>
        <w:spacing w:after="0" w:line="317" w:lineRule="exact"/>
        <w:rPr>
          <w:sz w:val="20"/>
          <w:szCs w:val="20"/>
          <w:color w:val="auto"/>
        </w:rPr>
      </w:pPr>
    </w:p>
    <w:p>
      <w:pPr>
        <w:ind w:left="4500"/>
        <w:spacing w:after="0"/>
        <w:tabs>
          <w:tab w:leader="none" w:pos="57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40640</wp:posOffset>
            </wp:positionV>
            <wp:extent cx="18783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spacing w:after="0" w:line="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Rebecca Chambers</w:t>
      </w:r>
    </w:p>
    <w:p>
      <w:pPr>
        <w:ind w:left="580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1240"/>
          </w:cols>
          <w:pgMar w:left="320" w:top="12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PRINCIPAL EXECUTIVE OFFICER’S 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 Marc Stapley, certify that:</w:t>
      </w:r>
    </w:p>
    <w:p>
      <w:pPr>
        <w:spacing w:after="0" w:line="214" w:lineRule="exact"/>
        <w:rPr>
          <w:sz w:val="20"/>
          <w:szCs w:val="20"/>
          <w:color w:val="auto"/>
        </w:rPr>
      </w:pPr>
    </w:p>
    <w:p>
      <w:pPr>
        <w:ind w:left="1380" w:hanging="648"/>
        <w:spacing w:after="0"/>
        <w:tabs>
          <w:tab w:leader="none" w:pos="13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Veracyte, Inc. for the quarter ended September 30, 2022;</w:t>
      </w:r>
    </w:p>
    <w:p>
      <w:pPr>
        <w:spacing w:after="0" w:line="214" w:lineRule="exact"/>
        <w:rPr>
          <w:rFonts w:ascii="Times New Roman" w:cs="Times New Roman" w:eastAsia="Times New Roman" w:hAnsi="Times New Roman"/>
          <w:sz w:val="17"/>
          <w:szCs w:val="17"/>
          <w:color w:val="auto"/>
        </w:rPr>
      </w:pPr>
    </w:p>
    <w:p>
      <w:pPr>
        <w:ind w:right="180" w:firstLine="732"/>
        <w:spacing w:after="0" w:line="284" w:lineRule="auto"/>
        <w:tabs>
          <w:tab w:leader="none" w:pos="137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right="160" w:firstLine="732"/>
        <w:spacing w:after="0" w:line="284" w:lineRule="auto"/>
        <w:tabs>
          <w:tab w:leader="none" w:pos="137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ind w:right="120" w:firstLine="732"/>
        <w:spacing w:after="0" w:line="267" w:lineRule="auto"/>
        <w:tabs>
          <w:tab w:leader="none" w:pos="136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ind w:firstLine="1385"/>
        <w:spacing w:after="0" w:line="267" w:lineRule="auto"/>
        <w:tabs>
          <w:tab w:leader="none" w:pos="198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jc w:val="both"/>
        <w:ind w:right="160" w:firstLine="1385"/>
        <w:spacing w:after="0" w:line="267" w:lineRule="auto"/>
        <w:tabs>
          <w:tab w:leader="none" w:pos="199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right="60" w:firstLine="1385"/>
        <w:spacing w:after="0" w:line="284" w:lineRule="auto"/>
        <w:tabs>
          <w:tab w:leader="none" w:pos="198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ind w:right="20" w:firstLine="1385"/>
        <w:spacing w:after="0" w:line="267" w:lineRule="auto"/>
        <w:tabs>
          <w:tab w:leader="none" w:pos="199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right="80" w:firstLine="732"/>
        <w:spacing w:after="0" w:line="284" w:lineRule="auto"/>
        <w:tabs>
          <w:tab w:leader="none" w:pos="1367"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Times New Roman" w:cs="Times New Roman" w:eastAsia="Times New Roman" w:hAnsi="Times New Roman"/>
          <w:sz w:val="17"/>
          <w:szCs w:val="17"/>
          <w:color w:val="auto"/>
        </w:rPr>
      </w:pPr>
    </w:p>
    <w:p>
      <w:pPr>
        <w:ind w:right="260" w:firstLine="1385"/>
        <w:spacing w:after="0" w:line="284" w:lineRule="auto"/>
        <w:tabs>
          <w:tab w:leader="none" w:pos="1976"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right="520" w:firstLine="1385"/>
        <w:spacing w:after="0" w:line="284" w:lineRule="auto"/>
        <w:tabs>
          <w:tab w:leader="none" w:pos="198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20"/>
        <w:spacing w:after="0"/>
        <w:tabs>
          <w:tab w:leader="none" w:pos="28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3, 2022</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32385</wp:posOffset>
            </wp:positionV>
            <wp:extent cx="18783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spacing w:after="0" w:line="4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Marc Stapley</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84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PRINCIPAL FINANCIAL OFFICER’S 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 Rebecca Chambers, certify that:</w:t>
      </w:r>
    </w:p>
    <w:p>
      <w:pPr>
        <w:spacing w:after="0" w:line="214" w:lineRule="exact"/>
        <w:rPr>
          <w:sz w:val="20"/>
          <w:szCs w:val="20"/>
          <w:color w:val="auto"/>
        </w:rPr>
      </w:pPr>
    </w:p>
    <w:p>
      <w:pPr>
        <w:ind w:left="1420" w:hanging="688"/>
        <w:spacing w:after="0"/>
        <w:tabs>
          <w:tab w:leader="none" w:pos="14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Veracyte, Inc. for the quarter ended September 30, 2022;</w:t>
      </w:r>
    </w:p>
    <w:p>
      <w:pPr>
        <w:spacing w:after="0" w:line="214" w:lineRule="exact"/>
        <w:rPr>
          <w:rFonts w:ascii="Times New Roman" w:cs="Times New Roman" w:eastAsia="Times New Roman" w:hAnsi="Times New Roman"/>
          <w:sz w:val="17"/>
          <w:szCs w:val="17"/>
          <w:color w:val="auto"/>
        </w:rPr>
      </w:pPr>
    </w:p>
    <w:p>
      <w:pPr>
        <w:ind w:right="140" w:firstLine="732"/>
        <w:spacing w:after="0" w:line="284" w:lineRule="auto"/>
        <w:tabs>
          <w:tab w:leader="none" w:pos="141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right="120" w:firstLine="732"/>
        <w:spacing w:after="0" w:line="284" w:lineRule="auto"/>
        <w:tabs>
          <w:tab w:leader="none" w:pos="141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ind w:right="80" w:firstLine="732"/>
        <w:spacing w:after="0" w:line="267" w:lineRule="auto"/>
        <w:tabs>
          <w:tab w:leader="none" w:pos="141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ind w:firstLine="1385"/>
        <w:spacing w:after="0" w:line="267" w:lineRule="auto"/>
        <w:tabs>
          <w:tab w:leader="none" w:pos="207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jc w:val="both"/>
        <w:ind w:right="120" w:firstLine="1385"/>
        <w:spacing w:after="0" w:line="267" w:lineRule="auto"/>
        <w:tabs>
          <w:tab w:leader="none" w:pos="20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right="220" w:firstLine="1385"/>
        <w:spacing w:after="0" w:line="284" w:lineRule="auto"/>
        <w:tabs>
          <w:tab w:leader="none" w:pos="207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ind w:right="300" w:firstLine="1385"/>
        <w:spacing w:after="0" w:line="267" w:lineRule="auto"/>
        <w:tabs>
          <w:tab w:leader="none" w:pos="208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right="40" w:firstLine="732"/>
        <w:spacing w:after="0" w:line="284" w:lineRule="auto"/>
        <w:tabs>
          <w:tab w:leader="none" w:pos="141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Times New Roman" w:cs="Times New Roman" w:eastAsia="Times New Roman" w:hAnsi="Times New Roman"/>
          <w:sz w:val="17"/>
          <w:szCs w:val="17"/>
          <w:color w:val="auto"/>
        </w:rPr>
      </w:pPr>
    </w:p>
    <w:p>
      <w:pPr>
        <w:ind w:right="180" w:firstLine="1385"/>
        <w:spacing w:after="0" w:line="284" w:lineRule="auto"/>
        <w:tabs>
          <w:tab w:leader="none" w:pos="206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right="440" w:firstLine="1385"/>
        <w:spacing w:after="0" w:line="284" w:lineRule="auto"/>
        <w:tabs>
          <w:tab w:leader="none" w:pos="207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20"/>
        <w:spacing w:after="0"/>
        <w:tabs>
          <w:tab w:leader="none" w:pos="28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3, 2022</w:t>
      </w:r>
    </w:p>
    <w:p>
      <w:pPr>
        <w:spacing w:after="0" w:line="4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32385</wp:posOffset>
            </wp:positionV>
            <wp:extent cx="23907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90775" cy="8255"/>
                    </a:xfrm>
                    <a:prstGeom prst="rect">
                      <a:avLst/>
                    </a:prstGeom>
                    <a:noFill/>
                  </pic:spPr>
                </pic:pic>
              </a:graphicData>
            </a:graphic>
          </wp:anchor>
        </w:drawing>
      </w:r>
    </w:p>
    <w:p>
      <w:pPr>
        <w:spacing w:after="0" w:line="4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Rebecca Chambers</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4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1240"/>
          </w:cols>
          <w:pgMar w:left="320" w:top="84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7" w:lineRule="exact"/>
        <w:rPr>
          <w:sz w:val="20"/>
          <w:szCs w:val="20"/>
          <w:color w:val="auto"/>
        </w:rPr>
      </w:pPr>
    </w:p>
    <w:p>
      <w:pPr>
        <w:ind w:right="240" w:firstLine="730"/>
        <w:spacing w:after="0" w:line="267" w:lineRule="auto"/>
        <w:rPr>
          <w:sz w:val="20"/>
          <w:szCs w:val="20"/>
          <w:color w:val="auto"/>
        </w:rPr>
      </w:pPr>
      <w:r>
        <w:rPr>
          <w:rFonts w:ascii="Times New Roman" w:cs="Times New Roman" w:eastAsia="Times New Roman" w:hAnsi="Times New Roman"/>
          <w:sz w:val="17"/>
          <w:szCs w:val="17"/>
          <w:color w:val="auto"/>
        </w:rPr>
        <w:t>In connection with the quarterly report of Veracyte, Inc. (the “Company”) on Form 10-Q for the quarter ended September 30,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7" w:lineRule="exact"/>
        <w:rPr>
          <w:sz w:val="20"/>
          <w:szCs w:val="20"/>
          <w:color w:val="auto"/>
        </w:rPr>
      </w:pPr>
    </w:p>
    <w:p>
      <w:pPr>
        <w:ind w:left="1380" w:hanging="302"/>
        <w:spacing w:after="0"/>
        <w:tabs>
          <w:tab w:leader="none" w:pos="13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39" w:lineRule="exact"/>
        <w:rPr>
          <w:rFonts w:ascii="Times New Roman" w:cs="Times New Roman" w:eastAsia="Times New Roman" w:hAnsi="Times New Roman"/>
          <w:sz w:val="17"/>
          <w:szCs w:val="17"/>
          <w:color w:val="auto"/>
        </w:rPr>
      </w:pPr>
    </w:p>
    <w:p>
      <w:pPr>
        <w:ind w:left="1380" w:right="700" w:hanging="302"/>
        <w:spacing w:after="0" w:line="284" w:lineRule="auto"/>
        <w:tabs>
          <w:tab w:leader="none" w:pos="137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75" w:lineRule="exact"/>
        <w:rPr>
          <w:sz w:val="20"/>
          <w:szCs w:val="20"/>
          <w:color w:val="auto"/>
        </w:rPr>
      </w:pPr>
    </w:p>
    <w:p>
      <w:pPr>
        <w:ind w:left="20"/>
        <w:spacing w:after="0"/>
        <w:tabs>
          <w:tab w:leader="none" w:pos="28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3, 2022</w:t>
      </w:r>
    </w:p>
    <w:p>
      <w:pPr>
        <w:spacing w:after="0" w:line="29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32385</wp:posOffset>
            </wp:positionV>
            <wp:extent cx="18783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spacing w:after="0" w:line="4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Marc Stapley</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849"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7" w:lineRule="exact"/>
        <w:rPr>
          <w:sz w:val="20"/>
          <w:szCs w:val="20"/>
          <w:color w:val="auto"/>
        </w:rPr>
      </w:pPr>
    </w:p>
    <w:p>
      <w:pPr>
        <w:ind w:right="240" w:firstLine="730"/>
        <w:spacing w:after="0" w:line="267" w:lineRule="auto"/>
        <w:rPr>
          <w:sz w:val="20"/>
          <w:szCs w:val="20"/>
          <w:color w:val="auto"/>
        </w:rPr>
      </w:pPr>
      <w:r>
        <w:rPr>
          <w:rFonts w:ascii="Times New Roman" w:cs="Times New Roman" w:eastAsia="Times New Roman" w:hAnsi="Times New Roman"/>
          <w:sz w:val="17"/>
          <w:szCs w:val="17"/>
          <w:color w:val="auto"/>
        </w:rPr>
        <w:t>In connection with the quarterly report of Veracyte, Inc. (the “Company”) on Form 10-Q for the quarter ended September 30,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7" w:lineRule="exact"/>
        <w:rPr>
          <w:sz w:val="20"/>
          <w:szCs w:val="20"/>
          <w:color w:val="auto"/>
        </w:rPr>
      </w:pPr>
    </w:p>
    <w:p>
      <w:pPr>
        <w:ind w:left="1380" w:hanging="302"/>
        <w:spacing w:after="0"/>
        <w:tabs>
          <w:tab w:leader="none" w:pos="13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39" w:lineRule="exact"/>
        <w:rPr>
          <w:rFonts w:ascii="Times New Roman" w:cs="Times New Roman" w:eastAsia="Times New Roman" w:hAnsi="Times New Roman"/>
          <w:sz w:val="17"/>
          <w:szCs w:val="17"/>
          <w:color w:val="auto"/>
        </w:rPr>
      </w:pPr>
    </w:p>
    <w:p>
      <w:pPr>
        <w:ind w:left="1380" w:right="700" w:hanging="302"/>
        <w:spacing w:after="0" w:line="284" w:lineRule="auto"/>
        <w:tabs>
          <w:tab w:leader="none" w:pos="137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75" w:lineRule="exact"/>
        <w:rPr>
          <w:sz w:val="20"/>
          <w:szCs w:val="20"/>
          <w:color w:val="auto"/>
        </w:rPr>
      </w:pPr>
    </w:p>
    <w:p>
      <w:pPr>
        <w:ind w:left="20"/>
        <w:spacing w:after="0"/>
        <w:tabs>
          <w:tab w:leader="none" w:pos="284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3, 2022</w:t>
      </w: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32385</wp:posOffset>
            </wp:positionV>
            <wp:extent cx="2439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Rebecca Chambers</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4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sectPr>
      <w:pgSz w:w="11900" w:h="16838" w:orient="portrait"/>
      <w:cols w:equalWidth="0" w:num="1">
        <w:col w:w="11240"/>
      </w:cols>
      <w:pgMar w:left="320" w:top="8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2022-11-03T07:02:02Z</dcterms:created>
  <dcterms:modified xsi:type="dcterms:W3CDTF">2022-11-03T07:02:02Z</dcterms:modified>
</cp:coreProperties>
</file>