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October 29, 2018</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771" w:type="dxa"/>
        <w:tblCellMar>
          <w:top w:w="0" w:type="dxa"/>
          <w:left w:w="0" w:type="dxa"/>
          <w:bottom w:w="0" w:type="dxa"/>
          <w:right w:w="0" w:type="dxa"/>
        </w:tblCellMar>
      </w:tblPr>
      <w:tr>
        <w:trPr>
          <w:trHeight w:val="234"/>
        </w:trPr>
        <w:tc>
          <w:tcPr>
            <w:tcW w:w="302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DELAWARE</w:t>
            </w:r>
          </w:p>
        </w:tc>
        <w:tc>
          <w:tcPr>
            <w:tcW w:w="372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2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48"/>
        </w:trPr>
        <w:tc>
          <w:tcPr>
            <w:tcW w:w="6740" w:type="dxa"/>
            <w:vAlign w:val="bottom"/>
            <w:gridSpan w:val="2"/>
          </w:tcPr>
          <w:p>
            <w:pPr>
              <w:jc w:val="center"/>
              <w:ind w:right="151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040" w:type="dxa"/>
            <w:vAlign w:val="bottom"/>
          </w:tcPr>
          <w:p>
            <w:pPr>
              <w:jc w:val="right"/>
              <w:ind w:right="690"/>
              <w:spacing w:after="0"/>
              <w:rPr>
                <w:sz w:val="20"/>
                <w:szCs w:val="20"/>
                <w:color w:val="auto"/>
              </w:rPr>
            </w:pPr>
            <w:r>
              <w:rPr>
                <w:rFonts w:ascii="Arial" w:cs="Arial" w:eastAsia="Arial" w:hAnsi="Arial"/>
                <w:sz w:val="18"/>
                <w:szCs w:val="18"/>
                <w:b w:val="1"/>
                <w:bCs w:val="1"/>
                <w:color w:val="auto"/>
              </w:rPr>
              <w:t>94080</w:t>
            </w:r>
          </w:p>
        </w:tc>
      </w:tr>
      <w:tr>
        <w:trPr>
          <w:trHeight w:val="297"/>
        </w:trPr>
        <w:tc>
          <w:tcPr>
            <w:tcW w:w="6740" w:type="dxa"/>
            <w:vAlign w:val="bottom"/>
            <w:gridSpan w:val="2"/>
          </w:tcPr>
          <w:p>
            <w:pPr>
              <w:jc w:val="center"/>
              <w:ind w:right="151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October 29, 2018, Veracyte, Inc. issued a press release announcing its financial results for the quarter ended September 30, 2018.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60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1040"/>
        <w:spacing w:after="0"/>
        <w:tabs>
          <w:tab w:leader="none" w:pos="15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issued by Veracyte, Inc. dated October 29, 2018.</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29, 2018</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157480</wp:posOffset>
            </wp:positionV>
            <wp:extent cx="116649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Announces Third Quarter 2018 Financial Results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Grew 34 Percent and Genomic Test Volume Increased 23 Percent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Increases Annual Revenue Guidance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Lowers Cash Burn Guidance for 2018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EDT</w:t>
      </w:r>
    </w:p>
    <w:p>
      <w:pPr>
        <w:spacing w:after="0" w:line="200" w:lineRule="exact"/>
        <w:rPr>
          <w:sz w:val="20"/>
          <w:szCs w:val="20"/>
          <w:color w:val="auto"/>
        </w:rPr>
      </w:pPr>
    </w:p>
    <w:p>
      <w:pPr>
        <w:spacing w:after="0" w:line="31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SOUTH SAN FRANCISCO, Calif., October 29, 2018 -- Veracyte, Inc. (Nasdaq: VCYT) today announced financial results for the third quarter ended September 30, 2018 and provided an update on recent business progress. For the third quarter of 2018, revenue was $ 23.5 million, an increase of 34 percent, compared with $17.5 million for the third quarter of 2017. Genomic test volume was 8,006, an increase of 23 percent compared with the same period in 2017.</w:t>
      </w:r>
    </w:p>
    <w:p>
      <w:pPr>
        <w:spacing w:after="0" w:line="12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delivered another quarter of strong revenue and genomic volume growth for our Afirma and Percepta classifiers, which are changing practice in the diagnosis of thyroid and lung cancer,” said Bonnie Anderson, Veracyte’s chairman and chief executive officer. “In addition, we are thrilled that we recently received draft Medicare coverage for our third product, the Envisia Genomic Classifier.”</w:t>
      </w:r>
    </w:p>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Anderson continued, “As a result of our strong third quarter performance and our outlook for the remainder of this year, we are raising our annual revenue guidance and lowering our cash burn guidance for 2018. And, as we look to 2019 and beyond, we believe we are well-positioned to continue making a difference in the lives of patients, providing solutions to physicians to help better inform clinical decisions, and delivering cost savings to the healthcare system.”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Financial Results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three-month period ended September 30, 2018 as compared with the third quarter of 2017:</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$23.5 million, an increase of 34 percent;</w:t>
      </w:r>
    </w:p>
    <w:p>
      <w:pPr>
        <w:spacing w:after="0" w:line="2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Genomic test volume </w:t>
      </w:r>
      <w:r>
        <w:rPr>
          <w:rFonts w:ascii="Arial" w:cs="Arial" w:eastAsia="Arial" w:hAnsi="Arial"/>
          <w:sz w:val="18"/>
          <w:szCs w:val="18"/>
          <w:color w:val="auto"/>
        </w:rPr>
        <w:t>was 8,006, an increase of 23 percent;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65 percent, an increase of 6 percent;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$19.5 million, an increase of 17 percent;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($4.5) million, an improvement of 37 percent;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($0.12), an improvement of 43 percent;</w:t>
      </w:r>
    </w:p>
    <w:p>
      <w:pPr>
        <w:spacing w:after="0" w:line="9" w:lineRule="exact"/>
        <w:rPr>
          <w:rFonts w:ascii="Arial" w:cs="Arial" w:eastAsia="Arial" w:hAnsi="Arial"/>
          <w:sz w:val="18"/>
          <w:szCs w:val="18"/>
          <w:color w:val="auto"/>
        </w:rPr>
      </w:pPr>
    </w:p>
    <w:p>
      <w:pPr>
        <w:ind w:left="340" w:hanging="332"/>
        <w:spacing w:after="0" w:line="21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Cash burn</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was $2.4 million, an improvement of 58 percent; and</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$77.8 million at September 30, 2018</w:t>
      </w:r>
      <w:r>
        <w:rPr>
          <w:rFonts w:ascii="Arial" w:cs="Arial" w:eastAsia="Arial" w:hAnsi="Arial"/>
          <w:sz w:val="18"/>
          <w:szCs w:val="18"/>
          <w:i w:val="1"/>
          <w:i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nine-month period ended September 30, 2018, as compared to the prior year period of 2017:</w:t>
      </w:r>
    </w:p>
    <w:p>
      <w:pPr>
        <w:spacing w:after="0" w:line="144"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$66.3 million, an increase of 27 percent;</w:t>
      </w:r>
    </w:p>
    <w:p>
      <w:pPr>
        <w:spacing w:after="0" w:line="2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Genomic test volume </w:t>
      </w:r>
      <w:r>
        <w:rPr>
          <w:rFonts w:ascii="Arial" w:cs="Arial" w:eastAsia="Arial" w:hAnsi="Arial"/>
          <w:sz w:val="18"/>
          <w:szCs w:val="18"/>
          <w:color w:val="auto"/>
        </w:rPr>
        <w:t>was 22,556, an increase of 20 percent;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63 percent, an increase of 2 percent;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$61.1 million, an increase of 16 percent</w:t>
      </w:r>
    </w:p>
    <w:p>
      <w:pPr>
        <w:sectPr>
          <w:pgSz w:w="11900" w:h="16838" w:orient="portrait"/>
          <w:cols w:equalWidth="0" w:num="1">
            <w:col w:w="11420"/>
          </w:cols>
          <w:pgMar w:left="240" w:top="576" w:right="239" w:bottom="1440" w:gutter="0" w:footer="0" w:header="0"/>
        </w:sectPr>
      </w:pPr>
    </w:p>
    <w:bookmarkStart w:id="4" w:name="page5"/>
    <w:bookmarkEnd w:id="4"/>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($19.9) million, an improvement of 12 percent;</w:t>
      </w:r>
    </w:p>
    <w:p>
      <w:pPr>
        <w:spacing w:after="0" w:line="27"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($0.56), an improvement of 16 percent; and</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Cash Burn</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was $13.7 million, an improvement of 28 percent.</w:t>
      </w:r>
    </w:p>
    <w:p>
      <w:pPr>
        <w:spacing w:after="0" w:line="328" w:lineRule="exact"/>
        <w:rPr>
          <w:sz w:val="20"/>
          <w:szCs w:val="20"/>
          <w:color w:val="auto"/>
        </w:rPr>
      </w:pPr>
    </w:p>
    <w:p>
      <w:pPr>
        <w:ind w:right="240" w:firstLine="8"/>
        <w:spacing w:after="0" w:line="260"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the “Non-GAAP Financial Measures” for an explanation of cash burn and the “Reconciliation of Net Cash Used in Operating Activities to Cash Burn” table included in the financial statements in this press release.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and Recent Business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Growth:</w:t>
      </w:r>
    </w:p>
    <w:p>
      <w:pPr>
        <w:spacing w:after="0" w:line="31" w:lineRule="exact"/>
        <w:rPr>
          <w:sz w:val="20"/>
          <w:szCs w:val="20"/>
          <w:color w:val="auto"/>
        </w:rPr>
      </w:pPr>
    </w:p>
    <w:p>
      <w:pPr>
        <w:jc w:val="both"/>
        <w:ind w:left="240" w:right="100" w:hanging="232"/>
        <w:spacing w:after="0" w:line="250"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Completed national transition from the Afirma Gene Expression Classifier (GEC) to the Genomic Sequencing Classifier (GSC), retiring all GEC testing and accelerating the adoption of the Afirma Xpression Atlas for surgical and treatment decisions in the third quarter of 2018.</w:t>
      </w:r>
    </w:p>
    <w:p>
      <w:pPr>
        <w:ind w:left="240" w:right="80" w:hanging="232"/>
        <w:spacing w:after="0" w:line="250"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the number of physicians ordering Percepta to nearly 200, across 140 institutions, primarily through a continued focus on sales and marketing initiatives, as of September 30, 2018.</w:t>
      </w:r>
    </w:p>
    <w:p>
      <w:pPr>
        <w:ind w:left="240" w:right="760" w:hanging="232"/>
        <w:spacing w:after="0" w:line="262"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Envisia Early Access Program sites that have submitted samples for genomic testing to 15 - exceeding the company’s expectations.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Expansion:</w:t>
      </w:r>
    </w:p>
    <w:p>
      <w:pPr>
        <w:spacing w:after="0" w:line="31" w:lineRule="exact"/>
        <w:rPr>
          <w:sz w:val="20"/>
          <w:szCs w:val="20"/>
          <w:color w:val="auto"/>
        </w:rPr>
      </w:pPr>
    </w:p>
    <w:p>
      <w:pPr>
        <w:ind w:left="240" w:right="280" w:hanging="232"/>
        <w:spacing w:after="0" w:line="262"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draft Medicare coverage for the Envisia Genomic Classifier through the MolDX program; upon anticipated finalization in early 2019, Veracyte will be positioned to ramp commercial adoption of Envisia and begin to grow associated revenue next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Development:</w:t>
      </w:r>
    </w:p>
    <w:p>
      <w:pPr>
        <w:spacing w:after="0" w:line="31" w:lineRule="exact"/>
        <w:rPr>
          <w:sz w:val="20"/>
          <w:szCs w:val="20"/>
          <w:color w:val="auto"/>
        </w:rPr>
      </w:pPr>
    </w:p>
    <w:p>
      <w:pPr>
        <w:ind w:left="240" w:right="60" w:hanging="232"/>
        <w:spacing w:after="0" w:line="250"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Positive performance and clinical utility data for the Afirma GSC and Xpression Atlas were presented at the American Thyroid Association annual meeting. Results show that the Afirma GSC is identifying even more benign thyroid nodules in real-world practice than was demonstrated in the company’s clinical validation study, previously published in </w:t>
      </w:r>
      <w:r>
        <w:rPr>
          <w:rFonts w:ascii="Arial" w:cs="Arial" w:eastAsia="Arial" w:hAnsi="Arial"/>
          <w:sz w:val="18"/>
          <w:szCs w:val="18"/>
          <w:i w:val="1"/>
          <w:iCs w:val="1"/>
          <w:color w:val="auto"/>
        </w:rPr>
        <w:t>JAMA Surgery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40" w:hanging="232"/>
        <w:spacing w:after="0" w:line="250"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Early results of the ongoing Percepta registry clinical utility study were presented at CHEST 2018 and show that the genomic test changed clinical decision-making and reduced invasive procedures at every evaluation time point up to 12 months post-testing.</w:t>
      </w:r>
    </w:p>
    <w:p>
      <w:pPr>
        <w:ind w:left="240" w:right="120" w:hanging="232"/>
        <w:spacing w:after="0" w:line="262"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validation data for the Envisia classifier were also presented at CHEST 2018 and confirm the test’s ability to improve diagnosis of idiopathic pulmonary fibrosis - without the need for surgery.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31" w:lineRule="exact"/>
        <w:rPr>
          <w:sz w:val="20"/>
          <w:szCs w:val="20"/>
          <w:color w:val="auto"/>
        </w:rPr>
      </w:pPr>
    </w:p>
    <w:p>
      <w:pPr>
        <w:ind w:left="240" w:right="20" w:hanging="232"/>
        <w:spacing w:after="0" w:line="256"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2018, Veracyte issued and sold 5,750,000 shares of common stock in a registered public offering, including the underwriters' exercise in full of their option to purchase an additional 750,000 shares, at a price to the public of $10.25 per share. Net proceeds from the offering were approximately $55.0 million.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2018 Financial Outlook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Veracyte is increasing its 2018 annual revenue guidance to a range of $90.0 million to $91.0 million from its previous guidance range of $87 million and $89 million. In addition, the company is reducing its annual cash burn guidance to a range of $17.0 million to $18.0 million from its previous guidance range of $18 million to $21 million.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00" w:lineRule="exact"/>
        <w:rPr>
          <w:sz w:val="20"/>
          <w:szCs w:val="20"/>
          <w:color w:val="auto"/>
        </w:rPr>
      </w:pPr>
    </w:p>
    <w:p>
      <w:pPr>
        <w:spacing w:after="0" w:line="26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company will host a conference call and simultaneous webcast today at 4:30 p.m. EDT to discuss its financial results and provide a general business update. The call and webcast may be accessed as follows:</w:t>
      </w:r>
    </w:p>
    <w:p>
      <w:pPr>
        <w:sectPr>
          <w:pgSz w:w="11900" w:h="16838" w:orient="portrait"/>
          <w:cols w:equalWidth="0" w:num="1">
            <w:col w:w="11240"/>
          </w:cols>
          <w:pgMar w:left="240" w:top="580" w:right="419" w:bottom="1440" w:gutter="0" w:footer="0" w:header="0"/>
        </w:sectPr>
      </w:pPr>
    </w:p>
    <w:bookmarkStart w:id="5" w:name="page6"/>
    <w:bookmarkEnd w:id="5"/>
    <w:p>
      <w:pPr>
        <w:ind w:left="3980"/>
        <w:spacing w:after="0"/>
        <w:rPr>
          <w:sz w:val="20"/>
          <w:szCs w:val="20"/>
          <w:color w:val="auto"/>
        </w:rPr>
      </w:pPr>
      <w:r>
        <w:rPr>
          <w:rFonts w:ascii="Arial" w:cs="Arial" w:eastAsia="Arial" w:hAnsi="Arial"/>
          <w:sz w:val="18"/>
          <w:szCs w:val="18"/>
          <w:color w:val="auto"/>
        </w:rPr>
        <w:t>Webcast: https://investor.veracyte.com/events-presentations</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Dial-in number (U.S.): (855) 541-0980</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International Number: (970) 315-0440</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Conference ID: 1658434</w:t>
      </w:r>
    </w:p>
    <w:p>
      <w:pPr>
        <w:spacing w:after="0" w:line="266"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00" w:lineRule="exact"/>
        <w:rPr>
          <w:sz w:val="20"/>
          <w:szCs w:val="20"/>
          <w:color w:val="auto"/>
        </w:rPr>
      </w:pPr>
    </w:p>
    <w:p>
      <w:pPr>
        <w:spacing w:after="0" w:line="3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Veracyte (Nasdaq: VCYT) is a leading genomic diagnostics company that improves patient care by providing trustworthy and actionable answers to challenging clinical questions. The company's products uniquely combine advanced genomic technology, clinical science and machine learning to provide answers that give physicians and patients a clear path forward, informing both diagnosis and treatment decisions without the need for costly, risky surgeries that are often unnecessary. Since its founding in 2008, Veracyte has commercialized three genomic tests, which are transforming the diagnosis of thyroid cancer, lung cancer and idiopathic pulmonary fibrosis and collectively target a $2 billion market opportunity. Veracyte is based in South San Francisco, California. For more information, please visit www.veracyte.com and follow the company on Twitter (@veracyte).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and the Veracyte logo are trademarks of Veracyte,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our belief that we have a strong foundation in place to drive revenue growth, our beliefs regarding momentum in our business and potential drivers of future growth, our expectations regarding full-year 2018 revenue and cash burn, our ability to move Afirma classifier testing to the GSC, commercial expansion of Envisia in 2019, our development of a nasal swab test for early detection of lung cancer, and our ability to drive revenue growth across our endocrinology and pulmonology franchises.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history of losses since inception; our ability to enhance the performance of our Afirma classifier; our ability to successfully transition to our next-generation Afirma GSC; the performance and acceptance of our Percepta and Envisia classifiers; our ability to increase usage of and reimbursement for the Afirma and Percepta classifiers and to obtain adequate reimbursement for our Envisia classifier, as well as any future products we may develop or sell; our ability to continue our momentum and growth; our dependence on a few payers for a significant portion of our revenue; and other risks set forth in the company's filings with the Securities and Exchange Commission, including the risks set forth in the company's Quarterly Report on Form 10-Q for the quarter ended June 30, 2018. These forward-looking statements speak only as of the date hereof and Veracyte specifically disclaims any obligation to update these forward-looking statements.</w:t>
      </w:r>
    </w:p>
    <w:p>
      <w:pPr>
        <w:sectPr>
          <w:pgSz w:w="11900" w:h="16838" w:orient="portrait"/>
          <w:cols w:equalWidth="0" w:num="1">
            <w:col w:w="11360"/>
          </w:cols>
          <w:pgMar w:left="240" w:top="962"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00" w:lineRule="exact"/>
        <w:rPr>
          <w:sz w:val="20"/>
          <w:szCs w:val="20"/>
          <w:color w:val="auto"/>
        </w:rPr>
      </w:pPr>
    </w:p>
    <w:p>
      <w:pPr>
        <w:spacing w:after="0" w:line="3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supplement our consolidated financial statements prepared in accordance with generally accepted accounting principles in the United States (GAAP), we monitor and consider cash burn, which is a non-GAAP financial measure. This non-GAAP financial measure is not based on any standardized methodology prescribed by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non-GAAP measure is that cash burn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in our most recent Quarterly Report on Form 10-Q and Annual Report on Form 10-K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pacing w:after="0" w:line="200" w:lineRule="exact"/>
        <w:rPr>
          <w:sz w:val="20"/>
          <w:szCs w:val="20"/>
          <w:color w:val="auto"/>
        </w:rPr>
      </w:pPr>
    </w:p>
    <w:p>
      <w:pPr>
        <w:spacing w:after="0" w:line="28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Because of these limitations, cash burn should not be considered in isolation from, or as a substitute for, financial information prepared in accordance with GAAP. Investors are encouraged to review the reconciliation of cash burn to net cash used in operating activities provided in the tables below.</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Veracyte Media &amp; Investor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Angie McCabe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650-243-6371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angie@veracyte.com</w:t>
      </w:r>
    </w:p>
    <w:p>
      <w:pPr>
        <w:sectPr>
          <w:pgSz w:w="11900" w:h="16838" w:orient="portrait"/>
          <w:cols w:equalWidth="0" w:num="1">
            <w:col w:w="11420"/>
          </w:cols>
          <w:pgMar w:left="240" w:top="576"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90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September</w:t>
            </w:r>
          </w:p>
        </w:tc>
        <w:tc>
          <w:tcPr>
            <w:tcW w:w="2820" w:type="dxa"/>
            <w:vAlign w:val="bottom"/>
            <w:gridSpan w:val="5"/>
          </w:tcPr>
          <w:p>
            <w:pPr>
              <w:jc w:val="right"/>
              <w:spacing w:after="0"/>
              <w:rPr>
                <w:sz w:val="20"/>
                <w:szCs w:val="20"/>
                <w:color w:val="auto"/>
              </w:rPr>
            </w:pPr>
            <w:r>
              <w:rPr>
                <w:rFonts w:ascii="Arial" w:cs="Arial" w:eastAsia="Arial" w:hAnsi="Arial"/>
                <w:sz w:val="18"/>
                <w:szCs w:val="18"/>
                <w:b w:val="1"/>
                <w:bCs w:val="1"/>
                <w:color w:val="auto"/>
              </w:rPr>
              <w:t>Nine Months Ended September</w:t>
            </w:r>
          </w:p>
        </w:tc>
        <w:tc>
          <w:tcPr>
            <w:tcW w:w="0" w:type="dxa"/>
            <w:vAlign w:val="bottom"/>
          </w:tcPr>
          <w:p>
            <w:pPr>
              <w:spacing w:after="0"/>
              <w:rPr>
                <w:sz w:val="1"/>
                <w:szCs w:val="1"/>
                <w:color w:val="auto"/>
              </w:rPr>
            </w:pPr>
          </w:p>
        </w:tc>
      </w:tr>
      <w:tr>
        <w:trPr>
          <w:trHeight w:val="246"/>
        </w:trPr>
        <w:tc>
          <w:tcPr>
            <w:tcW w:w="5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23,466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17,519</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66,258</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52,357</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20,426</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10,679</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31,247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23,215</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77"/>
        </w:trPr>
        <w:tc>
          <w:tcPr>
            <w:tcW w:w="534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0"/>
        </w:trPr>
        <w:tc>
          <w:tcPr>
            <w:tcW w:w="53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27,770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23,887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85,434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72,851</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(20,494)</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38,620,036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33,946,748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35,769,623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33,881,705</w:t>
            </w: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440" w:top="738" w:right="3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7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September 30, 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1"/>
                <w:szCs w:val="21"/>
                <w:color w:val="auto"/>
              </w:rPr>
            </w:pPr>
          </w:p>
        </w:tc>
        <w:tc>
          <w:tcPr>
            <w:tcW w:w="1960" w:type="dxa"/>
            <w:vAlign w:val="bottom"/>
          </w:tcPr>
          <w:p>
            <w:pPr>
              <w:jc w:val="right"/>
              <w:ind w:right="87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77,846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33,891</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12,262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Supplies</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7"/>
        </w:trPr>
        <w:tc>
          <w:tcPr>
            <w:tcW w:w="67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3"/>
        </w:trPr>
        <w:tc>
          <w:tcPr>
            <w:tcW w:w="67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95,374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53,928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12,267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57"/>
        </w:trPr>
        <w:tc>
          <w:tcPr>
            <w:tcW w:w="67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7"/>
        </w:trPr>
        <w:tc>
          <w:tcPr>
            <w:tcW w:w="67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9,261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43"/>
        </w:trPr>
        <w:tc>
          <w:tcPr>
            <w:tcW w:w="67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25,192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Capital lease liability, net of current portion</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43"/>
        </w:trPr>
        <w:tc>
          <w:tcPr>
            <w:tcW w:w="67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39,660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41,444</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37,225</w:t>
            </w:r>
          </w:p>
        </w:tc>
        <w:tc>
          <w:tcPr>
            <w:tcW w:w="0" w:type="dxa"/>
            <w:vAlign w:val="bottom"/>
          </w:tcPr>
          <w:p>
            <w:pPr>
              <w:spacing w:after="0"/>
              <w:rPr>
                <w:sz w:val="1"/>
                <w:szCs w:val="1"/>
                <w:color w:val="auto"/>
              </w:rPr>
            </w:pPr>
          </w:p>
        </w:tc>
      </w:tr>
      <w:tr>
        <w:trPr>
          <w:trHeight w:val="257"/>
        </w:trPr>
        <w:tc>
          <w:tcPr>
            <w:tcW w:w="6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3"/>
        <w:spacing w:after="0" w:line="246"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condensed balance sheet at December 31, 2017 has been derived from the audited financial statements at that date included in the Company's Form 10-K filed with the Securities and Exchange Commission dated February 27, 2018.</w:t>
      </w:r>
    </w:p>
    <w:p>
      <w:pPr>
        <w:sectPr>
          <w:pgSz w:w="11900" w:h="16838" w:orient="portrait"/>
          <w:cols w:equalWidth="0" w:num="1">
            <w:col w:w="11140"/>
          </w:cols>
          <w:pgMar w:left="400" w:top="738"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9"/>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VERACYTE, INC.</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Condensed Statements of Cash Flows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(In thousands of dollars)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400" w:type="dxa"/>
            <w:vAlign w:val="bottom"/>
          </w:tcPr>
          <w:p>
            <w:pPr>
              <w:spacing w:after="0"/>
              <w:rPr>
                <w:sz w:val="19"/>
                <w:szCs w:val="19"/>
                <w:color w:val="auto"/>
              </w:rPr>
            </w:pPr>
          </w:p>
        </w:tc>
        <w:tc>
          <w:tcPr>
            <w:tcW w:w="270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(19,894)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(22,564)</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Interest on end-of-term debt obligations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Supplies inventory</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Prepaid expenses and current other assets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7"/>
        </w:trPr>
        <w:tc>
          <w:tcPr>
            <w:tcW w:w="6400" w:type="dxa"/>
            <w:vAlign w:val="bottom"/>
          </w:tcPr>
          <w:p>
            <w:pPr>
              <w:ind w:left="340"/>
              <w:spacing w:after="0"/>
              <w:rPr>
                <w:sz w:val="20"/>
                <w:szCs w:val="20"/>
                <w:color w:val="auto"/>
              </w:rPr>
            </w:pPr>
            <w:r>
              <w:rPr>
                <w:rFonts w:ascii="Arial" w:cs="Arial" w:eastAsia="Arial" w:hAnsi="Arial"/>
                <w:sz w:val="18"/>
                <w:szCs w:val="18"/>
                <w:color w:val="auto"/>
              </w:rPr>
              <w:t>Accrued liabilities and deferred rent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(18,099)</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55,039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legal settlement regard short swing profits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capital lease liability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57,670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43,955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(18,144)</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34,494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59,942</w:t>
            </w: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78,449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line="201" w:lineRule="exact"/>
              <w:rPr>
                <w:sz w:val="20"/>
                <w:szCs w:val="20"/>
                <w:color w:val="auto"/>
              </w:rPr>
            </w:pPr>
            <w:r>
              <w:rPr>
                <w:rFonts w:ascii="Arial" w:cs="Arial" w:eastAsia="Arial" w:hAnsi="Arial"/>
                <w:sz w:val="18"/>
                <w:szCs w:val="18"/>
                <w:b w:val="1"/>
                <w:bCs w:val="1"/>
                <w:color w:val="auto"/>
              </w:rPr>
              <w:t>Supplementary cash flow information of non-cash investing and financing</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40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Interest paid on debt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bl>
    <w:p>
      <w:pPr>
        <w:sectPr>
          <w:pgSz w:w="11900" w:h="16838" w:orient="portrait"/>
          <w:cols w:equalWidth="0" w:num="1">
            <w:col w:w="9100"/>
          </w:cols>
          <w:pgMar w:left="1420" w:top="738" w:right="137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46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 2017</w:t>
            </w: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77,846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33,891</w:t>
            </w:r>
          </w:p>
        </w:tc>
      </w:tr>
      <w:tr>
        <w:trPr>
          <w:trHeight w:val="277"/>
        </w:trPr>
        <w:tc>
          <w:tcPr>
            <w:tcW w:w="8060" w:type="dxa"/>
            <w:vAlign w:val="bottom"/>
          </w:tcPr>
          <w:p>
            <w:pPr>
              <w:spacing w:after="0"/>
              <w:rPr>
                <w:sz w:val="20"/>
                <w:szCs w:val="20"/>
                <w:color w:val="auto"/>
              </w:rPr>
            </w:pPr>
            <w:r>
              <w:rPr>
                <w:rFonts w:ascii="Arial" w:cs="Arial" w:eastAsia="Arial" w:hAnsi="Arial"/>
                <w:sz w:val="18"/>
                <w:szCs w:val="18"/>
                <w:color w:val="auto"/>
              </w:rPr>
              <w:t>Restricted cash in long term assets, deposit for lease security</w:t>
            </w: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78,449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34,494</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RECONCILIATION OF NET CASH USED IN OPERATING ACTIVITIES TO CASH BURN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 September 30,</w:t>
            </w:r>
          </w:p>
        </w:tc>
      </w:tr>
      <w:tr>
        <w:trPr>
          <w:trHeight w:val="264"/>
        </w:trPr>
        <w:tc>
          <w:tcPr>
            <w:tcW w:w="80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37"/>
        </w:trPr>
        <w:tc>
          <w:tcPr>
            <w:tcW w:w="808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(5,103)</w:t>
            </w:r>
          </w:p>
        </w:tc>
      </w:tr>
      <w:tr>
        <w:trPr>
          <w:trHeight w:val="283"/>
        </w:trPr>
        <w:tc>
          <w:tcPr>
            <w:tcW w:w="8080" w:type="dxa"/>
            <w:vAlign w:val="bottom"/>
          </w:tcPr>
          <w:p>
            <w:pPr>
              <w:spacing w:after="0"/>
              <w:rPr>
                <w:sz w:val="20"/>
                <w:szCs w:val="20"/>
                <w:color w:val="auto"/>
              </w:rPr>
            </w:pPr>
            <w:r>
              <w:rPr>
                <w:rFonts w:ascii="Arial" w:cs="Arial" w:eastAsia="Arial" w:hAnsi="Arial"/>
                <w:sz w:val="16"/>
                <w:szCs w:val="16"/>
                <w:color w:val="auto"/>
              </w:rPr>
              <w:t>Plus purchases of property and equipment</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r>
      <w:tr>
        <w:trPr>
          <w:trHeight w:val="240"/>
        </w:trPr>
        <w:tc>
          <w:tcPr>
            <w:tcW w:w="8080" w:type="dxa"/>
            <w:vAlign w:val="bottom"/>
          </w:tcPr>
          <w:p>
            <w:pPr>
              <w:spacing w:after="0"/>
              <w:rPr>
                <w:sz w:val="20"/>
                <w:szCs w:val="20"/>
                <w:color w:val="auto"/>
              </w:rPr>
            </w:pPr>
            <w:r>
              <w:rPr>
                <w:rFonts w:ascii="Arial" w:cs="Arial" w:eastAsia="Arial" w:hAnsi="Arial"/>
                <w:sz w:val="16"/>
                <w:szCs w:val="16"/>
                <w:color w:val="auto"/>
              </w:rPr>
              <w:t>Cash burn</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(5,830)</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0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08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56,530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442</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626"/>
        </w:trPr>
        <w:tc>
          <w:tcPr>
            <w:tcW w:w="8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0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37"/>
        </w:trPr>
        <w:tc>
          <w:tcPr>
            <w:tcW w:w="808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(12,295)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(18,099)</w:t>
            </w: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Plus purchases of property and equipment</w:t>
            </w: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(1,455)</w:t>
            </w:r>
          </w:p>
        </w:tc>
      </w:tr>
      <w:tr>
        <w:trPr>
          <w:trHeight w:val="283"/>
        </w:trPr>
        <w:tc>
          <w:tcPr>
            <w:tcW w:w="8080" w:type="dxa"/>
            <w:vAlign w:val="bottom"/>
          </w:tcPr>
          <w:p>
            <w:pPr>
              <w:spacing w:after="0"/>
              <w:rPr>
                <w:sz w:val="20"/>
                <w:szCs w:val="20"/>
                <w:color w:val="auto"/>
              </w:rPr>
            </w:pPr>
            <w:r>
              <w:rPr>
                <w:rFonts w:ascii="Arial" w:cs="Arial" w:eastAsia="Arial" w:hAnsi="Arial"/>
                <w:sz w:val="16"/>
                <w:szCs w:val="16"/>
                <w:color w:val="auto"/>
              </w:rPr>
              <w:t>Less proceeds from the sale of property and equipment</w:t>
            </w:r>
          </w:p>
        </w:tc>
        <w:tc>
          <w:tcPr>
            <w:tcW w:w="2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440</w:t>
            </w:r>
          </w:p>
        </w:tc>
      </w:tr>
      <w:tr>
        <w:trPr>
          <w:trHeight w:val="240"/>
        </w:trPr>
        <w:tc>
          <w:tcPr>
            <w:tcW w:w="8080" w:type="dxa"/>
            <w:vAlign w:val="bottom"/>
          </w:tcPr>
          <w:p>
            <w:pPr>
              <w:spacing w:after="0"/>
              <w:rPr>
                <w:sz w:val="20"/>
                <w:szCs w:val="20"/>
                <w:color w:val="auto"/>
              </w:rPr>
            </w:pPr>
            <w:r>
              <w:rPr>
                <w:rFonts w:ascii="Arial" w:cs="Arial" w:eastAsia="Arial" w:hAnsi="Arial"/>
                <w:sz w:val="16"/>
                <w:szCs w:val="16"/>
                <w:color w:val="auto"/>
              </w:rPr>
              <w:t>Cash burn</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(13,715)</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(19,114)</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0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08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57,670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970</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80"/>
      </w:cols>
      <w:pgMar w:left="28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2019-12-28T18:59:00Z</dcterms:created>
  <dcterms:modified xsi:type="dcterms:W3CDTF">2019-12-28T18:59:00Z</dcterms:modified>
</cp:coreProperties>
</file>