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VERACYTE,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0" w:type="dxa"/>
        <w:tblCellMar>
          <w:top w:w="0" w:type="dxa"/>
          <w:left w:w="0" w:type="dxa"/>
          <w:bottom w:w="0" w:type="dxa"/>
          <w:right w:w="0" w:type="dxa"/>
        </w:tblCellMar>
      </w:tblPr>
      <w:tr>
        <w:trPr>
          <w:trHeight w:val="214"/>
        </w:trPr>
        <w:tc>
          <w:tcPr>
            <w:tcW w:w="4040" w:type="dxa"/>
            <w:vAlign w:val="bottom"/>
          </w:tcPr>
          <w:p>
            <w:pPr>
              <w:jc w:val="center"/>
              <w:ind w:right="23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001-36156</w:t>
            </w:r>
          </w:p>
        </w:tc>
        <w:tc>
          <w:tcPr>
            <w:tcW w:w="24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20-5455398</w:t>
            </w:r>
          </w:p>
        </w:tc>
      </w:tr>
      <w:tr>
        <w:trPr>
          <w:trHeight w:val="148"/>
        </w:trPr>
        <w:tc>
          <w:tcPr>
            <w:tcW w:w="4040" w:type="dxa"/>
            <w:vAlign w:val="bottom"/>
          </w:tcPr>
          <w:p>
            <w:pPr>
              <w:jc w:val="center"/>
              <w:ind w:right="23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80" w:type="dxa"/>
            <w:vAlign w:val="bottom"/>
          </w:tcPr>
          <w:p>
            <w:pPr>
              <w:jc w:val="center"/>
              <w:ind w:left="12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40" w:type="dxa"/>
            <w:vAlign w:val="bottom"/>
          </w:tcPr>
          <w:p>
            <w:pPr>
              <w:jc w:val="center"/>
              <w:ind w:right="22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2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80" w:type="dxa"/>
            <w:vAlign w:val="bottom"/>
          </w:tcPr>
          <w:p>
            <w:pPr>
              <w:jc w:val="center"/>
              <w:ind w:left="12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040" w:type="dxa"/>
            <w:vAlign w:val="bottom"/>
          </w:tcPr>
          <w:p>
            <w:pPr>
              <w:jc w:val="center"/>
              <w:ind w:left="1179"/>
              <w:spacing w:after="0"/>
              <w:rPr>
                <w:sz w:val="20"/>
                <w:szCs w:val="20"/>
                <w:color w:val="auto"/>
              </w:rPr>
            </w:pPr>
            <w:r>
              <w:rPr>
                <w:rFonts w:ascii="Times New Roman" w:cs="Times New Roman" w:eastAsia="Times New Roman" w:hAnsi="Times New Roman"/>
                <w:sz w:val="18"/>
                <w:szCs w:val="18"/>
                <w:b w:val="1"/>
                <w:bCs w:val="1"/>
                <w:color w:val="auto"/>
                <w:w w:val="99"/>
              </w:rPr>
              <w:t>6000 Shoreline Court, Suite 300,</w:t>
            </w:r>
          </w:p>
        </w:tc>
        <w:tc>
          <w:tcPr>
            <w:tcW w:w="22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27"/>
        </w:trPr>
        <w:tc>
          <w:tcPr>
            <w:tcW w:w="4040" w:type="dxa"/>
            <w:vAlign w:val="bottom"/>
          </w:tcPr>
          <w:p>
            <w:pPr>
              <w:jc w:val="center"/>
              <w:ind w:left="1179"/>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2260" w:type="dxa"/>
            <w:vAlign w:val="bottom"/>
          </w:tcPr>
          <w:p>
            <w:pPr>
              <w:spacing w:after="0"/>
              <w:rPr>
                <w:sz w:val="19"/>
                <w:szCs w:val="19"/>
                <w:color w:val="auto"/>
              </w:rPr>
            </w:pPr>
          </w:p>
        </w:tc>
        <w:tc>
          <w:tcPr>
            <w:tcW w:w="24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90"/>
        </w:trPr>
        <w:tc>
          <w:tcPr>
            <w:tcW w:w="4040" w:type="dxa"/>
            <w:vAlign w:val="bottom"/>
          </w:tcPr>
          <w:p>
            <w:pPr>
              <w:jc w:val="center"/>
              <w:ind w:left="11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60" w:type="dxa"/>
            <w:vAlign w:val="bottom"/>
          </w:tcPr>
          <w:p>
            <w:pPr>
              <w:spacing w:after="0"/>
              <w:rPr>
                <w:sz w:val="16"/>
                <w:szCs w:val="16"/>
                <w:color w:val="auto"/>
              </w:rPr>
            </w:pPr>
          </w:p>
        </w:tc>
        <w:tc>
          <w:tcPr>
            <w:tcW w:w="2480" w:type="dxa"/>
            <w:vAlign w:val="bottom"/>
          </w:tcPr>
          <w:p>
            <w:pPr>
              <w:jc w:val="center"/>
              <w:ind w:left="12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243-6300</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VCYT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right="200"/>
        <w:spacing w:after="0" w:line="261" w:lineRule="auto"/>
        <w:rPr>
          <w:sz w:val="20"/>
          <w:szCs w:val="20"/>
          <w:color w:val="auto"/>
        </w:rPr>
      </w:pPr>
      <w:r>
        <w:rPr>
          <w:rFonts w:ascii="Times New Roman" w:cs="Times New Roman" w:eastAsia="Times New Roman" w:hAnsi="Times New Roman"/>
          <w:sz w:val="18"/>
          <w:szCs w:val="18"/>
          <w:color w:val="auto"/>
        </w:rPr>
        <w:t>On February 29, 2024, Veracyte, Inc. (the “Company”) filed a prospectus supplement (“Prospectus Supplement”) to its effective shelf registration statement on Form S-3ASR (File No. 333-277529) filed with the Securities and Exchange Commission on February 29, 2024. The Company filed the Prospectus Supplement for the purpose of registering for resale up to 1,681,384 shares of the Company’s common stock issued in connection with the Company’s acquisition of C2i Genomics, Inc., a Delaware corporation, on February 5, 2024.</w:t>
      </w:r>
    </w:p>
    <w:p>
      <w:pPr>
        <w:spacing w:after="0" w:line="180"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In connection with the filing of the Prospectus Supplement, the Company is filing an opinion of its counsel, Fenwick &amp; West LLP, regarding the legality of the common stock being registered, which opinion is attached as Exhibit 5.1 to this Current Report on Form 8-K.</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104"/>
        <w:spacing w:after="0"/>
        <w:tabs>
          <w:tab w:leader="none" w:pos="824"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74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77" w:lineRule="exact"/>
        <w:rPr>
          <w:sz w:val="20"/>
          <w:szCs w:val="20"/>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Fenwick &amp; West LLP.</w:t>
      </w:r>
    </w:p>
    <w:p>
      <w:pPr>
        <w:spacing w:after="0" w:line="129"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Fenwick &amp; West LLP (contained in Exhibit 5.1).</w:t>
      </w:r>
    </w:p>
    <w:p>
      <w:pPr>
        <w:spacing w:after="0" w:line="117"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84"/>
          </w:cols>
          <w:pgMar w:left="436" w:top="293" w:right="479" w:bottom="1440" w:gutter="0" w:footer="0" w:header="0"/>
        </w:sectPr>
      </w:pPr>
    </w:p>
    <w:bookmarkStart w:id="2" w:name="page3"/>
    <w:bookmarkEnd w:id="2"/>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29, 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VERACYTE,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Rebecca Chambers</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5126355"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2635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Veracyte,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6000 Shoreline Court,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180" w:firstLine="440"/>
        <w:spacing w:after="0" w:line="253" w:lineRule="auto"/>
        <w:rPr>
          <w:sz w:val="20"/>
          <w:szCs w:val="20"/>
          <w:color w:val="auto"/>
        </w:rPr>
      </w:pPr>
      <w:r>
        <w:rPr>
          <w:rFonts w:ascii="Times New Roman" w:cs="Times New Roman" w:eastAsia="Times New Roman" w:hAnsi="Times New Roman"/>
          <w:sz w:val="18"/>
          <w:szCs w:val="18"/>
          <w:color w:val="auto"/>
        </w:rPr>
        <w:t>As counsel to Veracyte,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we deliver this opinion with respect to certain matters in connection with the offering of up to (a) 1,681,384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par value $0.001 per share, issued to certain selling stockholders (the “</w:t>
      </w:r>
      <w:r>
        <w:rPr>
          <w:rFonts w:ascii="Times New Roman" w:cs="Times New Roman" w:eastAsia="Times New Roman" w:hAnsi="Times New Roman"/>
          <w:sz w:val="18"/>
          <w:szCs w:val="18"/>
          <w:b w:val="1"/>
          <w:bCs w:val="1"/>
          <w:i w:val="1"/>
          <w:iCs w:val="1"/>
          <w:color w:val="auto"/>
        </w:rPr>
        <w:t>Selling Stockholders</w:t>
      </w:r>
      <w:r>
        <w:rPr>
          <w:rFonts w:ascii="Times New Roman" w:cs="Times New Roman" w:eastAsia="Times New Roman" w:hAnsi="Times New Roman"/>
          <w:sz w:val="18"/>
          <w:szCs w:val="18"/>
          <w:color w:val="auto"/>
        </w:rPr>
        <w:t>”) pursuant to that certain Agreement and Plan of Merger, dated as of January 5, 2024, by and among the Company, C2i Genomics, Inc. and the other parties thereto. The Shares were registered pursuant to the Registration Statement on Form S-3ASR (File No. 333-277529) filed by the Company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February 29, 2024 (the registration statement at the time it automatically became effective, including the documents or portions thereof incorporated by reference therein, as modified or superseded as described therein, and the information deemed to be a part thereof pursuant to Rule 430B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under the Securities Act, including the prospectus dated February 29, 2024, included therein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as supplemented by the final prospectus supplement dated February 29, 2024, filed with the Commission pursuant to Rule 424(b) under the Securities Act (the “</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and, together with the Base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The offering of the Shares by the Selling Stockholders pursuant to the Registration Statement and the Prospectus is referred to herein as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This opinion is being furnished in connection with the requirements of Item 601(b)(5) of Regulation S-K under the Securities Act, and no opinion is expressed herein as to any matter pertaining to the contents of the Registration Statement or related Prospectus, other than as expressly stated herein with respect to the offering by the Selling Stockholders of the Shares.</w:t>
      </w:r>
    </w:p>
    <w:p>
      <w:pPr>
        <w:spacing w:after="0" w:line="18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As to matters of fact relevant to the opinions rendered herein, we have examined such documents, certificates and other instruments which we have deemed necessary or advisable, including a certificate addressed to us and dated the date hereof executed by the Company. We have not undertaken any independent investigation to verify the accuracy of any such information, representations or warranties or to determine the existence or absence of any fact, and no inference as to our knowledge of the existence or absence of any fact should be drawn from our representation of the Company or the rendering of the opinions set forth below. We have not considered parol evidence in connection with any of the agreements or instruments reviewed by us in connection with this letter.</w:t>
      </w:r>
    </w:p>
    <w:p>
      <w:pPr>
        <w:sectPr>
          <w:pgSz w:w="11900" w:h="16838" w:orient="portrait"/>
          <w:cols w:equalWidth="0" w:num="1">
            <w:col w:w="11020"/>
          </w:cols>
          <w:pgMar w:left="440" w:top="117" w:right="439" w:bottom="1440" w:gutter="0" w:footer="0" w:header="0"/>
        </w:sectPr>
      </w:pPr>
    </w:p>
    <w:bookmarkStart w:id="4" w:name="page5"/>
    <w:bookmarkEnd w:id="4"/>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our examination of documents for purposes of this letter, we have assumed, and express no opinion as to, the genuineness and authenticity of all signatures on original documents, the authenticity and completeness of all documents submitted to us as originals, that each document is what it purports to be, the conformity to originals of all documents submitted to us as copies or facsimile copies, the absence of any termination, modification or waiver of or amendment to any document reviewed by us (other than as has been disclosed to us), the legal competence or capacity of all persons or entities (other than the Company) executing the same and (other than the Company) the due authorization, execution and delivery of all documents by each party thereto. We have also assumed the conformity of the documents filed with the Commission via the Electronic Data Gathering, Analysis and Retrieval System (“</w:t>
      </w:r>
      <w:r>
        <w:rPr>
          <w:rFonts w:ascii="Times New Roman" w:cs="Times New Roman" w:eastAsia="Times New Roman" w:hAnsi="Times New Roman"/>
          <w:sz w:val="18"/>
          <w:szCs w:val="18"/>
          <w:b w:val="1"/>
          <w:bCs w:val="1"/>
          <w:i w:val="1"/>
          <w:iCs w:val="1"/>
          <w:color w:val="auto"/>
        </w:rPr>
        <w:t>EDGAR</w:t>
      </w:r>
      <w:r>
        <w:rPr>
          <w:rFonts w:ascii="Times New Roman" w:cs="Times New Roman" w:eastAsia="Times New Roman" w:hAnsi="Times New Roman"/>
          <w:sz w:val="18"/>
          <w:szCs w:val="18"/>
          <w:color w:val="auto"/>
        </w:rPr>
        <w:t>”), except for required EDGAR formatting changes, to physical copies submitted for our examination.</w:t>
      </w:r>
    </w:p>
    <w:p>
      <w:pPr>
        <w:spacing w:after="0" w:line="18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opinions in this letter are limited to the existing General Corporation Law of the State of Delaware now in effect. We express no opinion with respect to any other laws.</w:t>
      </w:r>
    </w:p>
    <w:p>
      <w:pPr>
        <w:spacing w:after="0" w:line="162"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We express no opinion regarding the effectiveness of any waiver or stay, extension or of unknown future rights. Further, we express no opinion regarding the effect of provisions relating to indemnification, exculpation or contribution to the extent such provisions may be held unenforceable as contrary to federal or state securities laws or public policy.</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and exceptions contained herein, we are of the following opinion: the Shares to be sold by the Selling Stockholders pursuant to the Registration Statement and the Prospectus are validly issued, fully paid and nonassessable.</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Report on Form 8-K to be filed by the Company with the Commission in connection with the Offering and further consent to all references to us, if any, in the Registration Statement, the Prospectus and any amendments thereto. In giving this consent we do not thereby admit that we come within the category of persons whose consent is required under Section 7 of the Securities Act or the rules and regulations of the Commission thereunder.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[Concluding Paragraph Follows on Next Page]</w:t>
      </w:r>
    </w:p>
    <w:p>
      <w:pPr>
        <w:sectPr>
          <w:pgSz w:w="11900" w:h="16838" w:orient="portrait"/>
          <w:cols w:equalWidth="0" w:num="1">
            <w:col w:w="11000"/>
          </w:cols>
          <w:pgMar w:left="440" w:top="270" w:right="459" w:bottom="1440" w:gutter="0" w:footer="0" w:header="0"/>
        </w:sectPr>
      </w:pPr>
    </w:p>
    <w:bookmarkStart w:id="5" w:name="page6"/>
    <w:bookmarkEnd w:id="5"/>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opinion is intended solely for use in connection with the issuance and sale of the Shares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is based solely on our understanding of facts in existence as of such date after the aforementioned examination and does not address any potential changes in facts, circumstance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Fenwick &amp; West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FENWICK &amp; WEST LLP</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2024-02-29T16:47:38Z</dcterms:created>
  <dcterms:modified xsi:type="dcterms:W3CDTF">2024-02-29T16:47:38Z</dcterms:modified>
</cp:coreProperties>
</file>