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March 12, 2021</w:t>
            </w:r>
          </w:p>
        </w:tc>
        <w:tc>
          <w:tcPr>
            <w:tcW w:w="2340" w:type="dxa"/>
            <w:vAlign w:val="bottom"/>
          </w:tcPr>
          <w:p>
            <w:pPr>
              <w:spacing w:after="0"/>
              <w:rPr>
                <w:sz w:val="20"/>
                <w:szCs w:val="20"/>
                <w:color w:val="auto"/>
              </w:rPr>
            </w:pPr>
          </w:p>
        </w:tc>
      </w:tr>
      <w:tr>
        <w:trPr>
          <w:trHeight w:val="445"/>
        </w:trPr>
        <w:tc>
          <w:tcPr>
            <w:tcW w:w="2320" w:type="dxa"/>
            <w:vAlign w:val="bottom"/>
          </w:tcPr>
          <w:p>
            <w:pPr>
              <w:spacing w:after="0"/>
              <w:rPr>
                <w:sz w:val="24"/>
                <w:szCs w:val="24"/>
                <w:color w:val="auto"/>
              </w:rPr>
            </w:pP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40" w:type="dxa"/>
            <w:vAlign w:val="bottom"/>
          </w:tcPr>
          <w:p>
            <w:pPr>
              <w:spacing w:after="0"/>
              <w:rPr>
                <w:sz w:val="24"/>
                <w:szCs w:val="24"/>
                <w:color w:val="auto"/>
              </w:rPr>
            </w:pPr>
          </w:p>
        </w:tc>
      </w:tr>
      <w:tr>
        <w:trPr>
          <w:trHeight w:val="230"/>
        </w:trPr>
        <w:tc>
          <w:tcPr>
            <w:tcW w:w="232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40" w:type="dxa"/>
            <w:vAlign w:val="bottom"/>
          </w:tcPr>
          <w:p>
            <w:pPr>
              <w:spacing w:after="0"/>
              <w:rPr>
                <w:sz w:val="20"/>
                <w:szCs w:val="20"/>
                <w:color w:val="auto"/>
              </w:rPr>
            </w:pPr>
          </w:p>
        </w:tc>
      </w:tr>
      <w:tr>
        <w:trPr>
          <w:trHeight w:val="513"/>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4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 of</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40" w:type="dxa"/>
            <w:vAlign w:val="bottom"/>
          </w:tcPr>
          <w:p>
            <w:pPr>
              <w:jc w:val="center"/>
              <w:ind w:left="1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20" w:type="dxa"/>
            <w:vAlign w:val="bottom"/>
          </w:tcPr>
          <w:p>
            <w:pPr>
              <w:jc w:val="center"/>
              <w:ind w:right="150"/>
              <w:spacing w:after="0"/>
              <w:rPr>
                <w:sz w:val="20"/>
                <w:szCs w:val="20"/>
                <w:color w:val="auto"/>
              </w:rPr>
            </w:pPr>
            <w:r>
              <w:rPr>
                <w:rFonts w:ascii="Arial" w:cs="Arial" w:eastAsia="Arial" w:hAnsi="Arial"/>
                <w:sz w:val="18"/>
                <w:szCs w:val="18"/>
                <w:color w:val="auto"/>
                <w:w w:val="94"/>
              </w:rPr>
              <w:t>incorporation)</w:t>
            </w:r>
          </w:p>
        </w:tc>
        <w:tc>
          <w:tcPr>
            <w:tcW w:w="5120" w:type="dxa"/>
            <w:vAlign w:val="bottom"/>
          </w:tcPr>
          <w:p>
            <w:pPr>
              <w:spacing w:after="0"/>
              <w:rPr>
                <w:sz w:val="20"/>
                <w:szCs w:val="20"/>
                <w:color w:val="auto"/>
              </w:rPr>
            </w:pPr>
          </w:p>
        </w:tc>
        <w:tc>
          <w:tcPr>
            <w:tcW w:w="2340" w:type="dxa"/>
            <w:vAlign w:val="bottom"/>
          </w:tcPr>
          <w:p>
            <w:pPr>
              <w:jc w:val="center"/>
              <w:ind w:left="130"/>
              <w:spacing w:after="0"/>
              <w:rPr>
                <w:sz w:val="20"/>
                <w:szCs w:val="20"/>
                <w:color w:val="auto"/>
              </w:rPr>
            </w:pPr>
            <w:r>
              <w:rPr>
                <w:rFonts w:ascii="Arial" w:cs="Arial" w:eastAsia="Arial" w:hAnsi="Arial"/>
                <w:sz w:val="18"/>
                <w:szCs w:val="18"/>
                <w:color w:val="auto"/>
                <w:w w:val="93"/>
              </w:rPr>
              <w:t>No.)</w:t>
            </w:r>
          </w:p>
        </w:tc>
      </w:tr>
      <w:tr>
        <w:trPr>
          <w:trHeight w:val="526"/>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4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340" w:type="dxa"/>
            <w:vAlign w:val="bottom"/>
          </w:tcPr>
          <w:p>
            <w:pPr>
              <w:jc w:val="center"/>
              <w:ind w:left="17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96"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On March 12, 2021, Veracyte, Inc., a Delaware corporation (“Veracyte") completed its previously announced acquisition of Decipher Biosciences, Inc., a Delaware corporation ("Decipher"), pursuant to the terms of an Agreement and Plan of Merger (the "Merger Agreement") dated as of February 2, 2021.</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the terms of the Merger Agreement, Decipher became a wholly owned subsidiary of Veracyte. At the closing, all outstanding shares of Decipher capital stock and options to purchase Decipher capital stock were cancelled in exchange for approximately $600 million in cash to existing Decipher securityholders, subject to customary purchase price adjustments. Fortis Advisors LLC, is acting as the stockholders' agent.</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foregoing summary of the Merger Agreement and the transactions contemplated thereby do not purport to be complete and are subject to, and qualified in their entirety by, the full text of the Merger Agreement, which will be filed as an exhibit to Veracyte's Quarterly Report on Form 10-Q for the three months ended March 31, 2021.</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3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15, 2021</w:t>
      </w:r>
    </w:p>
    <w:p>
      <w:pPr>
        <w:spacing w:after="0" w:line="27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26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Keith Kennedy</w:t>
      </w:r>
    </w:p>
    <w:p>
      <w:pPr>
        <w:spacing w:after="0" w:line="63"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2021-03-15T15:43:02Z</dcterms:created>
  <dcterms:modified xsi:type="dcterms:W3CDTF">2021-03-15T15:43:02Z</dcterms:modified>
</cp:coreProperties>
</file>